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112B7">
      <w:pPr>
        <w:spacing w:line="460" w:lineRule="exact"/>
        <w:jc w:val="center"/>
        <w:rPr>
          <w:rFonts w:hint="eastAsia" w:ascii="宋体" w:hAnsi="宋体" w:eastAsia="宋体" w:cs="宋体"/>
          <w:b/>
          <w:color w:val="auto"/>
          <w:sz w:val="48"/>
          <w:szCs w:val="48"/>
          <w:highlight w:val="none"/>
        </w:rPr>
      </w:pPr>
      <w:bookmarkStart w:id="20" w:name="_GoBack"/>
      <w:bookmarkEnd w:id="20"/>
    </w:p>
    <w:p w14:paraId="63510B84">
      <w:pPr>
        <w:spacing w:line="460" w:lineRule="exact"/>
        <w:jc w:val="center"/>
        <w:rPr>
          <w:rFonts w:hint="eastAsia" w:ascii="宋体" w:hAnsi="宋体" w:eastAsia="宋体" w:cs="宋体"/>
          <w:b/>
          <w:color w:val="auto"/>
          <w:sz w:val="48"/>
          <w:szCs w:val="48"/>
          <w:highlight w:val="none"/>
        </w:rPr>
      </w:pPr>
    </w:p>
    <w:p w14:paraId="21D11311">
      <w:pPr>
        <w:spacing w:line="460" w:lineRule="exact"/>
        <w:jc w:val="center"/>
        <w:rPr>
          <w:rFonts w:hint="eastAsia" w:ascii="宋体" w:hAnsi="宋体" w:eastAsia="宋体" w:cs="宋体"/>
          <w:b/>
          <w:color w:val="auto"/>
          <w:sz w:val="48"/>
          <w:szCs w:val="48"/>
          <w:highlight w:val="none"/>
        </w:rPr>
      </w:pPr>
    </w:p>
    <w:p w14:paraId="671694E6">
      <w:pPr>
        <w:spacing w:line="460" w:lineRule="exact"/>
        <w:jc w:val="center"/>
        <w:rPr>
          <w:rFonts w:hint="eastAsia" w:ascii="宋体" w:hAnsi="宋体" w:eastAsia="宋体" w:cs="宋体"/>
          <w:b/>
          <w:color w:val="auto"/>
          <w:sz w:val="48"/>
          <w:szCs w:val="48"/>
          <w:highlight w:val="none"/>
        </w:rPr>
      </w:pPr>
    </w:p>
    <w:p w14:paraId="18C6A440">
      <w:pPr>
        <w:spacing w:line="460" w:lineRule="exact"/>
        <w:jc w:val="center"/>
        <w:rPr>
          <w:rFonts w:hint="eastAsia" w:ascii="宋体" w:hAnsi="宋体" w:eastAsia="宋体" w:cs="宋体"/>
          <w:b/>
          <w:color w:val="auto"/>
          <w:sz w:val="48"/>
          <w:szCs w:val="48"/>
          <w:highlight w:val="none"/>
        </w:rPr>
      </w:pPr>
    </w:p>
    <w:p w14:paraId="1F2815FA">
      <w:pPr>
        <w:spacing w:line="460" w:lineRule="exact"/>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施工合同</w:t>
      </w:r>
    </w:p>
    <w:p w14:paraId="494B768D">
      <w:pPr>
        <w:spacing w:line="460" w:lineRule="exact"/>
        <w:jc w:val="center"/>
        <w:rPr>
          <w:rFonts w:hint="eastAsia" w:ascii="宋体" w:hAnsi="宋体" w:eastAsia="宋体" w:cs="宋体"/>
          <w:color w:val="auto"/>
          <w:sz w:val="44"/>
          <w:szCs w:val="44"/>
          <w:highlight w:val="none"/>
        </w:rPr>
      </w:pPr>
    </w:p>
    <w:p w14:paraId="331D70CC">
      <w:pPr>
        <w:spacing w:line="460" w:lineRule="exact"/>
        <w:jc w:val="center"/>
        <w:rPr>
          <w:rFonts w:hint="eastAsia" w:ascii="宋体" w:hAnsi="宋体" w:eastAsia="宋体" w:cs="宋体"/>
          <w:color w:val="auto"/>
          <w:highlight w:val="none"/>
        </w:rPr>
      </w:pPr>
    </w:p>
    <w:p w14:paraId="2156647F">
      <w:pPr>
        <w:spacing w:line="460" w:lineRule="exact"/>
        <w:jc w:val="center"/>
        <w:rPr>
          <w:rFonts w:hint="eastAsia" w:ascii="宋体" w:hAnsi="宋体" w:eastAsia="宋体" w:cs="宋体"/>
          <w:color w:val="auto"/>
          <w:highlight w:val="none"/>
        </w:rPr>
      </w:pPr>
    </w:p>
    <w:p w14:paraId="0C13C2AC">
      <w:pPr>
        <w:spacing w:line="460" w:lineRule="exact"/>
        <w:jc w:val="center"/>
        <w:rPr>
          <w:rFonts w:hint="eastAsia" w:ascii="宋体" w:hAnsi="宋体" w:eastAsia="宋体" w:cs="宋体"/>
          <w:color w:val="auto"/>
          <w:highlight w:val="none"/>
        </w:rPr>
      </w:pPr>
    </w:p>
    <w:p w14:paraId="6D27E89A">
      <w:pPr>
        <w:spacing w:line="460" w:lineRule="exact"/>
        <w:jc w:val="center"/>
        <w:rPr>
          <w:rFonts w:hint="eastAsia" w:ascii="宋体" w:hAnsi="宋体" w:eastAsia="宋体" w:cs="宋体"/>
          <w:color w:val="auto"/>
          <w:highlight w:val="none"/>
        </w:rPr>
      </w:pPr>
    </w:p>
    <w:p w14:paraId="56A58F89">
      <w:pPr>
        <w:spacing w:line="460" w:lineRule="exact"/>
        <w:jc w:val="center"/>
        <w:rPr>
          <w:rFonts w:hint="eastAsia" w:ascii="宋体" w:hAnsi="宋体" w:eastAsia="宋体" w:cs="宋体"/>
          <w:color w:val="auto"/>
          <w:highlight w:val="none"/>
        </w:rPr>
      </w:pPr>
    </w:p>
    <w:p w14:paraId="3AA4D48D">
      <w:pPr>
        <w:spacing w:line="360" w:lineRule="auto"/>
        <w:ind w:firstLine="565" w:firstLineChars="176"/>
        <w:rPr>
          <w:rFonts w:hint="eastAsia" w:ascii="宋体" w:hAnsi="宋体" w:eastAsia="宋体" w:cs="宋体"/>
          <w:b/>
          <w:color w:val="auto"/>
          <w:sz w:val="32"/>
          <w:szCs w:val="30"/>
          <w:highlight w:val="none"/>
        </w:rPr>
      </w:pPr>
    </w:p>
    <w:p w14:paraId="08D0DD1F">
      <w:pPr>
        <w:spacing w:line="360" w:lineRule="auto"/>
        <w:ind w:left="74" w:firstLine="1205" w:firstLineChars="400"/>
        <w:rPr>
          <w:rFonts w:hint="eastAsia" w:ascii="宋体" w:hAnsi="宋体" w:eastAsia="宋体" w:cs="宋体"/>
          <w:b/>
          <w:color w:val="auto"/>
          <w:sz w:val="30"/>
          <w:szCs w:val="30"/>
          <w:highlight w:val="none"/>
          <w:u w:val="single"/>
        </w:rPr>
      </w:pPr>
      <w:r>
        <w:rPr>
          <w:rFonts w:hint="eastAsia" w:ascii="宋体" w:hAnsi="宋体" w:eastAsia="宋体" w:cs="宋体"/>
          <w:b/>
          <w:color w:val="auto"/>
          <w:sz w:val="30"/>
          <w:szCs w:val="30"/>
          <w:highlight w:val="none"/>
        </w:rPr>
        <w:t>发包人：</w:t>
      </w:r>
      <w:r>
        <w:rPr>
          <w:rFonts w:hint="eastAsia" w:ascii="宋体" w:hAnsi="宋体" w:eastAsia="宋体" w:cs="宋体"/>
          <w:b/>
          <w:color w:val="auto"/>
          <w:sz w:val="30"/>
          <w:szCs w:val="30"/>
          <w:highlight w:val="none"/>
          <w:u w:val="single"/>
        </w:rPr>
        <w:t>西安</w:t>
      </w:r>
      <w:r>
        <w:rPr>
          <w:rFonts w:hint="eastAsia" w:ascii="宋体" w:hAnsi="宋体" w:eastAsia="宋体" w:cs="宋体"/>
          <w:b/>
          <w:color w:val="auto"/>
          <w:sz w:val="30"/>
          <w:szCs w:val="30"/>
          <w:highlight w:val="none"/>
          <w:u w:val="single"/>
          <w:lang w:val="en-US" w:eastAsia="zh-CN"/>
        </w:rPr>
        <w:t>市第四十五中学</w:t>
      </w:r>
      <w:r>
        <w:rPr>
          <w:rFonts w:hint="eastAsia" w:ascii="宋体" w:hAnsi="宋体" w:eastAsia="宋体" w:cs="宋体"/>
          <w:b/>
          <w:color w:val="auto"/>
          <w:sz w:val="30"/>
          <w:szCs w:val="30"/>
          <w:highlight w:val="none"/>
          <w:u w:val="single"/>
        </w:rPr>
        <w:t xml:space="preserve">        </w:t>
      </w:r>
    </w:p>
    <w:p w14:paraId="7DAE59F6">
      <w:pPr>
        <w:spacing w:line="360" w:lineRule="auto"/>
        <w:ind w:firstLine="1274" w:firstLineChars="423"/>
        <w:rPr>
          <w:rFonts w:hint="eastAsia" w:ascii="宋体" w:hAnsi="宋体" w:eastAsia="宋体" w:cs="宋体"/>
          <w:color w:val="auto"/>
          <w:sz w:val="30"/>
          <w:szCs w:val="30"/>
          <w:highlight w:val="none"/>
          <w:u w:val="single"/>
        </w:rPr>
      </w:pPr>
      <w:r>
        <w:rPr>
          <w:rFonts w:hint="eastAsia" w:ascii="宋体" w:hAnsi="宋体" w:eastAsia="宋体" w:cs="宋体"/>
          <w:b/>
          <w:color w:val="auto"/>
          <w:sz w:val="30"/>
          <w:szCs w:val="30"/>
          <w:highlight w:val="none"/>
        </w:rPr>
        <w:t>承包人：</w:t>
      </w:r>
    </w:p>
    <w:p w14:paraId="1910D7DA">
      <w:pPr>
        <w:spacing w:line="360" w:lineRule="auto"/>
        <w:ind w:firstLine="1274" w:firstLineChars="423"/>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日  期：    年  月  日</w:t>
      </w:r>
      <w:bookmarkStart w:id="0" w:name="_Toc385848066"/>
    </w:p>
    <w:p w14:paraId="1F6504B3">
      <w:pPr>
        <w:rPr>
          <w:rFonts w:ascii="仿宋" w:hAnsi="仿宋" w:eastAsia="仿宋" w:cs="仿宋"/>
          <w:color w:val="auto"/>
          <w:highlight w:val="none"/>
        </w:rPr>
      </w:pPr>
    </w:p>
    <w:bookmarkEnd w:id="0"/>
    <w:p w14:paraId="332DD3D5">
      <w:pPr>
        <w:widowControl/>
        <w:spacing w:line="360" w:lineRule="auto"/>
        <w:ind w:firstLine="480" w:firstLineChars="200"/>
        <w:jc w:val="left"/>
        <w:rPr>
          <w:rFonts w:ascii="仿宋" w:hAnsi="仿宋" w:eastAsia="仿宋" w:cs="仿宋"/>
          <w:color w:val="auto"/>
          <w:kern w:val="0"/>
          <w:sz w:val="24"/>
          <w:highlight w:val="none"/>
        </w:rPr>
      </w:pPr>
    </w:p>
    <w:p w14:paraId="0D883F37">
      <w:pPr>
        <w:spacing w:line="312" w:lineRule="auto"/>
        <w:jc w:val="center"/>
        <w:rPr>
          <w:rFonts w:hint="eastAsia" w:ascii="宋体" w:hAnsi="宋体" w:eastAsia="宋体" w:cs="宋体"/>
          <w:color w:val="auto"/>
          <w:sz w:val="28"/>
          <w:szCs w:val="28"/>
          <w:highlight w:val="none"/>
        </w:rPr>
      </w:pPr>
      <w:r>
        <w:rPr>
          <w:rFonts w:hint="eastAsia" w:ascii="仿宋" w:hAnsi="仿宋" w:eastAsia="仿宋" w:cs="仿宋"/>
          <w:color w:val="auto"/>
          <w:sz w:val="24"/>
          <w:highlight w:val="none"/>
        </w:rPr>
        <w:br w:type="page"/>
      </w:r>
      <w:bookmarkStart w:id="1" w:name="_Toc29726"/>
      <w:r>
        <w:rPr>
          <w:rFonts w:hint="eastAsia" w:ascii="宋体" w:hAnsi="宋体" w:eastAsia="宋体" w:cs="宋体"/>
          <w:b/>
          <w:bCs/>
          <w:color w:val="auto"/>
          <w:sz w:val="28"/>
          <w:szCs w:val="28"/>
          <w:highlight w:val="none"/>
        </w:rPr>
        <w:t>主要合同条款</w:t>
      </w:r>
      <w:bookmarkEnd w:id="1"/>
    </w:p>
    <w:p w14:paraId="687807D6">
      <w:pPr>
        <w:tabs>
          <w:tab w:val="left" w:pos="525"/>
          <w:tab w:val="left" w:pos="1200"/>
        </w:tabs>
        <w:snapToGrid w:val="0"/>
        <w:spacing w:line="312" w:lineRule="auto"/>
        <w:jc w:val="center"/>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第一部分  协议书</w:t>
      </w:r>
      <w:bookmarkStart w:id="2" w:name="_Toc6009"/>
      <w:bookmarkStart w:id="3" w:name="_Toc7569"/>
      <w:bookmarkStart w:id="4" w:name="_Toc362026039"/>
      <w:bookmarkStart w:id="5" w:name="_Toc63350479"/>
      <w:bookmarkStart w:id="6" w:name="_Toc7497"/>
      <w:bookmarkStart w:id="7" w:name="_Toc342748411"/>
    </w:p>
    <w:p w14:paraId="22B2CA1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发包人（全称）：</w:t>
      </w:r>
    </w:p>
    <w:p w14:paraId="2205075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承包人（全称）：</w:t>
      </w:r>
    </w:p>
    <w:p w14:paraId="3E24E913">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依照《中华人民共和国民法典》、《中华人民共和国建筑法》及其他有关法律、行政法规，遵循平等、自愿、公平和诚实信用的原则，各方就本建设工程施工协商一致，订立本合同。</w:t>
      </w:r>
    </w:p>
    <w:p w14:paraId="377986FD">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一、工程概况</w:t>
      </w:r>
    </w:p>
    <w:p w14:paraId="30C1522E">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工程名称：</w:t>
      </w:r>
    </w:p>
    <w:p w14:paraId="1CF65DA2">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工程地点：</w:t>
      </w:r>
    </w:p>
    <w:p w14:paraId="17DE640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p w14:paraId="65A62AA1">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二、工程承包范围</w:t>
      </w:r>
    </w:p>
    <w:p w14:paraId="0C306B0A">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工程内容：</w:t>
      </w:r>
      <w:r>
        <w:rPr>
          <w:rFonts w:hint="eastAsia" w:ascii="宋体" w:hAnsi="宋体" w:eastAsia="宋体" w:cs="宋体"/>
          <w:color w:val="auto"/>
          <w:sz w:val="24"/>
          <w:szCs w:val="24"/>
          <w:highlight w:val="none"/>
          <w:u w:val="single"/>
        </w:rPr>
        <w:t>施工图设计范围内和工程量清单内的全部内容。</w:t>
      </w:r>
    </w:p>
    <w:p w14:paraId="751F548C">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工程承包范围：</w:t>
      </w:r>
    </w:p>
    <w:p w14:paraId="41AACBD6">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u w:val="single"/>
        </w:rPr>
        <w:t xml:space="preserve">（1）                         </w:t>
      </w:r>
    </w:p>
    <w:p w14:paraId="45B10A91">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u w:val="single"/>
        </w:rPr>
        <w:t xml:space="preserve">（2）                         </w:t>
      </w:r>
    </w:p>
    <w:p w14:paraId="421EC478">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u w:val="single"/>
        </w:rPr>
        <w:t xml:space="preserve">（3）                         </w:t>
      </w:r>
    </w:p>
    <w:p w14:paraId="3C34310E">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u w:val="single"/>
        </w:rPr>
        <w:t xml:space="preserve">（4）                         </w:t>
      </w:r>
    </w:p>
    <w:p w14:paraId="7A09DF11">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u w:val="single"/>
        </w:rPr>
        <w:t xml:space="preserve">（5）                         </w:t>
      </w:r>
    </w:p>
    <w:p w14:paraId="5E45BE63">
      <w:pPr>
        <w:keepNext w:val="0"/>
        <w:keepLines w:val="0"/>
        <w:pageBreakBefore w:val="0"/>
        <w:widowControl/>
        <w:kinsoku/>
        <w:wordWrap/>
        <w:overflowPunct/>
        <w:topLinePunct w:val="0"/>
        <w:autoSpaceDE/>
        <w:autoSpaceDN/>
        <w:bidi w:val="0"/>
        <w:spacing w:line="440" w:lineRule="exact"/>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u w:val="single"/>
        </w:rPr>
        <w:t xml:space="preserve">（6）                         </w:t>
      </w:r>
    </w:p>
    <w:p w14:paraId="42D131FE">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承包方式：</w:t>
      </w:r>
    </w:p>
    <w:p w14:paraId="544E35E6">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三、合同工期：</w:t>
      </w:r>
    </w:p>
    <w:p w14:paraId="48BD096A">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总日历天数：     天；计划开工日期：      ；计划竣工日期：       ；</w:t>
      </w:r>
    </w:p>
    <w:p w14:paraId="3F8E5D38">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（实际开、竣工时间以发包人和监理单位最终审批的开、竣工报告时间为准）</w:t>
      </w:r>
    </w:p>
    <w:p w14:paraId="074A6D22">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四、质量标准</w:t>
      </w:r>
    </w:p>
    <w:p w14:paraId="46E7BA0E">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工程质量符合国家现行施工验收规范和质量检验“合格”标准。承包人严格按照国家颁发的施工验收规范及工程设计图纸要求进行施工，工程质量应达到国家或专业质量检验评定标准的合格条件。</w:t>
      </w:r>
    </w:p>
    <w:p w14:paraId="565D3EF2">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五、合同价款</w:t>
      </w:r>
    </w:p>
    <w:p w14:paraId="4490125C">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综合单价：详见承包人的报价书。</w:t>
      </w:r>
    </w:p>
    <w:p w14:paraId="03737424">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暂定合同总价为：大写（人民币）：XXX元整;</w:t>
      </w:r>
    </w:p>
    <w:p w14:paraId="06AE2224">
      <w:pPr>
        <w:keepNext w:val="0"/>
        <w:keepLines w:val="0"/>
        <w:pageBreakBefore w:val="0"/>
        <w:kinsoku/>
        <w:wordWrap/>
        <w:overflowPunct/>
        <w:topLinePunct w:val="0"/>
        <w:autoSpaceDE/>
        <w:autoSpaceDN/>
        <w:bidi w:val="0"/>
        <w:adjustRightInd w:val="0"/>
        <w:snapToGrid w:val="0"/>
        <w:spacing w:line="440" w:lineRule="exact"/>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小写（人民币）：XXX元（</w:t>
      </w:r>
      <w:r>
        <w:rPr>
          <w:rFonts w:hint="eastAsia" w:ascii="宋体" w:hAnsi="宋体" w:eastAsia="宋体" w:cs="宋体"/>
          <w:color w:val="auto"/>
          <w:sz w:val="24"/>
          <w:szCs w:val="24"/>
          <w:highlight w:val="none"/>
          <w:lang w:eastAsia="zh-Hans"/>
        </w:rPr>
        <w:t>最终以采购人的审定金额为准</w:t>
      </w:r>
      <w:r>
        <w:rPr>
          <w:rFonts w:hint="eastAsia" w:ascii="宋体" w:hAnsi="宋体" w:eastAsia="宋体" w:cs="宋体"/>
          <w:color w:val="auto"/>
          <w:sz w:val="24"/>
          <w:szCs w:val="24"/>
          <w:highlight w:val="none"/>
        </w:rPr>
        <w:t>）</w:t>
      </w:r>
    </w:p>
    <w:p w14:paraId="3C288448">
      <w:pPr>
        <w:keepNext w:val="0"/>
        <w:keepLines w:val="0"/>
        <w:pageBreakBefore w:val="0"/>
        <w:kinsoku/>
        <w:wordWrap/>
        <w:overflowPunct/>
        <w:topLinePunct w:val="0"/>
        <w:autoSpaceDE/>
        <w:autoSpaceDN/>
        <w:bidi w:val="0"/>
        <w:adjustRightInd w:val="0"/>
        <w:snapToGrid w:val="0"/>
        <w:spacing w:line="44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当保持单项价格的合理性，严禁出现不平衡报价的情况，项目采购结束后，甲方有权对各单项价格进行核查，对于严重超过市场价格的单价，将在正式合同中明确:对于认定为不平衡报价的单项，如果发生数量变动，将按照有利于甲方的单价进行认价。</w:t>
      </w:r>
    </w:p>
    <w:p w14:paraId="685DEEC2">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合同价款支付最终结算以采购人审定金额为准，由成交供应商承担该工程全部审计费用。</w:t>
      </w:r>
    </w:p>
    <w:p w14:paraId="5E3EEF04">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水电费的收取结算按照学校规定执行。</w:t>
      </w:r>
    </w:p>
    <w:p w14:paraId="013FD224">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六、双方项目代表</w:t>
      </w:r>
    </w:p>
    <w:p w14:paraId="5B44277C">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p>
    <w:p w14:paraId="2645939A">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代表姓名：         ；所属部门：    ；身份证      。</w:t>
      </w:r>
    </w:p>
    <w:p w14:paraId="26C6345D">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p w14:paraId="1E092A6E">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项目经理姓名：      ；职     称：       ；身份证号：       ；执业资格证书号：    ；注册证书号：      ；执业印章号：     ；</w:t>
      </w:r>
    </w:p>
    <w:p w14:paraId="574E4E33">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七、组成合同的文件</w:t>
      </w:r>
    </w:p>
    <w:p w14:paraId="3DF3848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组成本合同的文件包括：</w:t>
      </w:r>
    </w:p>
    <w:p w14:paraId="5679BE02">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① 本合同协议书及附件(含合同中澄清文件)；</w:t>
      </w:r>
    </w:p>
    <w:p w14:paraId="7F48F857">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② 合同专用条款(含数据表和答疑纪要中与此有关的部分)；</w:t>
      </w:r>
    </w:p>
    <w:p w14:paraId="440A6F40">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③ 本合同通用条款；</w:t>
      </w:r>
    </w:p>
    <w:p w14:paraId="0CCBAE63">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④ </w:t>
      </w:r>
      <w:r>
        <w:rPr>
          <w:rFonts w:hint="eastAsia" w:ascii="宋体" w:hAnsi="宋体" w:eastAsia="宋体" w:cs="宋体"/>
          <w:color w:val="auto"/>
          <w:kern w:val="0"/>
          <w:sz w:val="24"/>
          <w:szCs w:val="24"/>
          <w:highlight w:val="none"/>
          <w:lang w:val="en-US" w:eastAsia="zh-CN"/>
        </w:rPr>
        <w:t>成交</w:t>
      </w:r>
      <w:r>
        <w:rPr>
          <w:rFonts w:hint="eastAsia" w:ascii="宋体" w:hAnsi="宋体" w:eastAsia="宋体" w:cs="宋体"/>
          <w:color w:val="auto"/>
          <w:kern w:val="0"/>
          <w:sz w:val="24"/>
          <w:szCs w:val="24"/>
          <w:highlight w:val="none"/>
        </w:rPr>
        <w:t>通知书；</w:t>
      </w:r>
    </w:p>
    <w:p w14:paraId="0E17D706">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⑤ 采购文件(含答疑纪要、工程量清单与此有关的部分)；</w:t>
      </w:r>
    </w:p>
    <w:p w14:paraId="64C17755">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⑥ 采购文件及采购文件附录(含承包人在评标期间递交和确认并经发包人同意的对有关问题的补充资料和澄清文件等)；</w:t>
      </w:r>
    </w:p>
    <w:p w14:paraId="66C83872">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⑦ 图纸；</w:t>
      </w:r>
    </w:p>
    <w:p w14:paraId="5A9EC0E6">
      <w:pPr>
        <w:keepNext w:val="0"/>
        <w:keepLines w:val="0"/>
        <w:pageBreakBefore w:val="0"/>
        <w:widowControl/>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⑧ 标准、规范及有关技术文件；</w:t>
      </w:r>
    </w:p>
    <w:p w14:paraId="66A97F48">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八、付款方式</w:t>
      </w:r>
    </w:p>
    <w:p w14:paraId="7C15189C">
      <w:pPr>
        <w:keepNext w:val="0"/>
        <w:keepLines w:val="0"/>
        <w:pageBreakBefore w:val="0"/>
        <w:kinsoku/>
        <w:wordWrap/>
        <w:overflowPunct/>
        <w:topLinePunct w:val="0"/>
        <w:autoSpaceDE/>
        <w:autoSpaceDN/>
        <w:bidi w:val="0"/>
        <w:adjustRightInd w:val="0"/>
        <w:snapToGrid w:val="0"/>
        <w:spacing w:line="440" w:lineRule="exact"/>
        <w:ind w:firstLine="420" w:firstLineChars="175"/>
        <w:textAlignment w:val="auto"/>
        <w:rPr>
          <w:rFonts w:hint="eastAsia" w:ascii="宋体" w:hAnsi="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1.</w:t>
      </w:r>
      <w:r>
        <w:rPr>
          <w:rFonts w:hint="eastAsia" w:ascii="宋体" w:hAnsi="宋体" w:eastAsia="宋体" w:cs="宋体"/>
          <w:b w:val="0"/>
          <w:bCs w:val="0"/>
          <w:color w:val="auto"/>
          <w:kern w:val="2"/>
          <w:sz w:val="24"/>
          <w:szCs w:val="24"/>
          <w:lang w:val="en-US" w:eastAsia="zh-CN" w:bidi="ar-SA"/>
        </w:rPr>
        <w:t>合同签订后30日内采购人支付合同金额的50%</w:t>
      </w:r>
      <w:r>
        <w:rPr>
          <w:rFonts w:hint="eastAsia" w:ascii="宋体" w:hAnsi="宋体" w:eastAsia="宋体" w:cs="宋体"/>
          <w:color w:val="auto"/>
          <w:sz w:val="24"/>
          <w:szCs w:val="24"/>
          <w:highlight w:val="none"/>
        </w:rPr>
        <w:t>；</w:t>
      </w:r>
    </w:p>
    <w:p w14:paraId="57921FEB">
      <w:pPr>
        <w:keepNext w:val="0"/>
        <w:keepLines w:val="0"/>
        <w:pageBreakBefore w:val="0"/>
        <w:kinsoku/>
        <w:wordWrap/>
        <w:overflowPunct/>
        <w:topLinePunct w:val="0"/>
        <w:autoSpaceDE/>
        <w:autoSpaceDN/>
        <w:bidi w:val="0"/>
        <w:adjustRightInd w:val="0"/>
        <w:snapToGrid w:val="0"/>
        <w:spacing w:line="440" w:lineRule="exact"/>
        <w:ind w:firstLine="420" w:firstLineChars="175"/>
        <w:textAlignment w:val="auto"/>
        <w:rPr>
          <w:rFonts w:hint="eastAsia" w:ascii="宋体" w:hAnsi="宋体" w:eastAsia="宋体" w:cs="宋体"/>
          <w:color w:val="auto"/>
          <w:sz w:val="24"/>
          <w:szCs w:val="24"/>
          <w:highlight w:val="none"/>
        </w:rPr>
      </w:pPr>
      <w:r>
        <w:rPr>
          <w:rFonts w:hint="eastAsia" w:ascii="宋体" w:hAnsi="宋体" w:cs="宋体"/>
          <w:b w:val="0"/>
          <w:bCs w:val="0"/>
          <w:color w:val="auto"/>
          <w:kern w:val="2"/>
          <w:sz w:val="24"/>
          <w:szCs w:val="24"/>
          <w:lang w:val="en-US" w:eastAsia="zh-CN" w:bidi="ar-SA"/>
        </w:rPr>
        <w:t>2.</w:t>
      </w:r>
      <w:r>
        <w:rPr>
          <w:rFonts w:hint="eastAsia" w:ascii="宋体" w:hAnsi="宋体" w:eastAsia="宋体" w:cs="宋体"/>
          <w:b w:val="0"/>
          <w:bCs w:val="0"/>
          <w:color w:val="auto"/>
          <w:kern w:val="2"/>
          <w:sz w:val="24"/>
          <w:szCs w:val="24"/>
          <w:lang w:val="en-US" w:eastAsia="zh-CN" w:bidi="ar-SA"/>
        </w:rPr>
        <w:t>项目经验收合格并审计结束后，根据实际工程量据实结算，达到付款条件起30日内，支付剩余全部款项。</w:t>
      </w:r>
    </w:p>
    <w:p w14:paraId="318A7174">
      <w:pPr>
        <w:keepNext w:val="0"/>
        <w:keepLines w:val="0"/>
        <w:pageBreakBefore w:val="0"/>
        <w:kinsoku/>
        <w:wordWrap/>
        <w:overflowPunct/>
        <w:topLinePunct w:val="0"/>
        <w:autoSpaceDE/>
        <w:autoSpaceDN/>
        <w:bidi w:val="0"/>
        <w:adjustRightInd w:val="0"/>
        <w:snapToGrid w:val="0"/>
        <w:spacing w:line="440" w:lineRule="exact"/>
        <w:ind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.采购人应支付的一切款项及应承担的责任均包含在最终审计金额内，之外再无其他款项。</w:t>
      </w:r>
    </w:p>
    <w:p w14:paraId="6A7EC8F4">
      <w:pPr>
        <w:keepNext w:val="0"/>
        <w:keepLines w:val="0"/>
        <w:pageBreakBefore w:val="0"/>
        <w:kinsoku/>
        <w:wordWrap/>
        <w:overflowPunct/>
        <w:topLinePunct w:val="0"/>
        <w:autoSpaceDE/>
        <w:autoSpaceDN/>
        <w:bidi w:val="0"/>
        <w:adjustRightInd w:val="0"/>
        <w:snapToGrid w:val="0"/>
        <w:spacing w:line="440" w:lineRule="exact"/>
        <w:ind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.成交供应商应当在采购人支付每笔工程款之前向采购人开具等额合法有效且符合甲方要求的增值税发票，否则采购人有权拒绝支付工程款且不承担任何违约责任。</w:t>
      </w:r>
    </w:p>
    <w:p w14:paraId="12144B5E">
      <w:pPr>
        <w:keepNext w:val="0"/>
        <w:keepLines w:val="0"/>
        <w:pageBreakBefore w:val="0"/>
        <w:kinsoku/>
        <w:wordWrap/>
        <w:overflowPunct/>
        <w:topLinePunct w:val="0"/>
        <w:autoSpaceDE/>
        <w:autoSpaceDN/>
        <w:bidi w:val="0"/>
        <w:adjustRightInd w:val="0"/>
        <w:snapToGrid w:val="0"/>
        <w:spacing w:line="440" w:lineRule="exact"/>
        <w:ind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.合同价款支付最终结算以采购人审定金额为准，由成交供应商承担该工程全部审计费用。</w:t>
      </w:r>
    </w:p>
    <w:p w14:paraId="17A02E9B">
      <w:pPr>
        <w:keepNext w:val="0"/>
        <w:keepLines w:val="0"/>
        <w:pageBreakBefore w:val="0"/>
        <w:kinsoku/>
        <w:wordWrap/>
        <w:overflowPunct/>
        <w:topLinePunct w:val="0"/>
        <w:autoSpaceDE/>
        <w:autoSpaceDN/>
        <w:bidi w:val="0"/>
        <w:adjustRightInd w:val="0"/>
        <w:snapToGrid w:val="0"/>
        <w:spacing w:line="440" w:lineRule="exact"/>
        <w:ind w:firstLine="420" w:firstLineChars="175"/>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.水电费的收取结算按照学校规定执行。</w:t>
      </w:r>
    </w:p>
    <w:p w14:paraId="51B3BE0C">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九、责任范围</w:t>
      </w:r>
    </w:p>
    <w:p w14:paraId="2C940F6F">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（一）甲方责任：</w:t>
      </w:r>
    </w:p>
    <w:p w14:paraId="38E174F8">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负责解决施工及生活用水、用电、道路畅通。</w:t>
      </w:r>
    </w:p>
    <w:p w14:paraId="4E5E7CD2">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及时组织工程竣工验收工作。</w:t>
      </w:r>
    </w:p>
    <w:p w14:paraId="3EA64CCB">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按本合同规定的期限办理竣工验收并支付乙方工程款。</w:t>
      </w:r>
    </w:p>
    <w:p w14:paraId="50485753">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（二）乙方责任：</w:t>
      </w:r>
    </w:p>
    <w:p w14:paraId="39B04466">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按施工安全规范保证施工质量，精心施工、按时完工、交付使用，凡施工期发生的施工质量、安全事故由乙方负责。</w:t>
      </w:r>
    </w:p>
    <w:p w14:paraId="597E52E6">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（1）乙方应加强对现场施工人员防火防盗安全教育，施工人员不得在施工现场违法乱纪，一旦发生问题，后果自负。</w:t>
      </w:r>
    </w:p>
    <w:p w14:paraId="62A60BC5">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（2）乙方现场施工人员应无条件服从遵守施工场内各项管理规定，无条件服从场地内保安的管理，妥善处理好相邻单位的关系，否则一切后果自负。</w:t>
      </w:r>
    </w:p>
    <w:p w14:paraId="6010316E">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（3）乙方施工期间损坏原有建筑物、消防设施及原有供电设施设备应负责一切后果。</w:t>
      </w:r>
    </w:p>
    <w:p w14:paraId="6311B2AB">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乙方负责做好材料、设备的采购，保管工作。</w:t>
      </w:r>
    </w:p>
    <w:p w14:paraId="6969C416">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乙方负责及时清理建筑垃圾，工程施工结束后，负责清理完毕场内建筑垃圾。</w:t>
      </w:r>
    </w:p>
    <w:p w14:paraId="0F25EE6F">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乙方负责施工现场周边围挡封闭及安全警示标志等防护防范措施。</w:t>
      </w:r>
    </w:p>
    <w:p w14:paraId="6EA5A8F0">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十、违约责任</w:t>
      </w:r>
    </w:p>
    <w:p w14:paraId="686C3EC4">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任一方不履行本合同义务或者履行义务不符合约定的，守约方有权要求违约方承担继续履行、赔偿损失或支付违约金等违约责任。</w:t>
      </w:r>
    </w:p>
    <w:p w14:paraId="5D313AD6">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如乙方未能按本合同履约，每延迟一日乙方按应如期交货金额的【5‰】承担违约金，但最高不超过合同总价。</w:t>
      </w:r>
    </w:p>
    <w:p w14:paraId="4BC9EF2C">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如甲方未能按本合同规定的付款期付款，每延迟一日甲方按应如期付款金额的【5‰】承担违约金，但最高不超过合同总价。</w:t>
      </w:r>
    </w:p>
    <w:p w14:paraId="4CB6A5A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十一、保修</w:t>
      </w:r>
    </w:p>
    <w:p w14:paraId="3C256EA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质保</w:t>
      </w:r>
      <w:r>
        <w:rPr>
          <w:rFonts w:hint="eastAsia" w:ascii="宋体" w:hAnsi="宋体" w:eastAsia="宋体" w:cs="宋体"/>
          <w:color w:val="auto"/>
          <w:sz w:val="24"/>
          <w:szCs w:val="24"/>
          <w:highlight w:val="none"/>
        </w:rPr>
        <w:t>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质保</w:t>
      </w:r>
      <w:r>
        <w:rPr>
          <w:rFonts w:hint="eastAsia" w:ascii="宋体" w:hAnsi="宋体" w:eastAsia="宋体" w:cs="宋体"/>
          <w:color w:val="auto"/>
          <w:sz w:val="24"/>
          <w:szCs w:val="24"/>
          <w:highlight w:val="none"/>
        </w:rPr>
        <w:t>起始日从甲方代表最终验收记录上签字之日起算。</w:t>
      </w:r>
    </w:p>
    <w:p w14:paraId="45D3465F">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保修期内，乙方应在接到保修通知之日，在24小时内派人修理，否则甲方可委托其他单位或人员修理。因乙方原因造成的返修费用，</w:t>
      </w:r>
      <w:r>
        <w:rPr>
          <w:rFonts w:hint="eastAsia" w:ascii="宋体" w:hAnsi="宋体" w:cs="宋体"/>
          <w:color w:val="auto"/>
          <w:sz w:val="24"/>
          <w:szCs w:val="24"/>
          <w:highlight w:val="none"/>
          <w:lang w:val="en-US" w:eastAsia="zh-CN"/>
        </w:rPr>
        <w:t>由乙方承担</w:t>
      </w:r>
      <w:r>
        <w:rPr>
          <w:rFonts w:hint="eastAsia" w:ascii="宋体" w:hAnsi="宋体" w:eastAsia="宋体" w:cs="宋体"/>
          <w:color w:val="auto"/>
          <w:sz w:val="24"/>
          <w:szCs w:val="24"/>
          <w:highlight w:val="none"/>
        </w:rPr>
        <w:t>，非乙方原因造成返修的经济支付，由甲方承担。</w:t>
      </w:r>
    </w:p>
    <w:p w14:paraId="06BFD1F5">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十二、其它事项</w:t>
      </w:r>
    </w:p>
    <w:p w14:paraId="3FC57AC2">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（一）本项目以甲方最终审计价格为准，施工单位自行在施工过程中如产生隐蔽工程费用及施工所需增加相关费用，由施工单位自行解决。</w:t>
      </w:r>
    </w:p>
    <w:p w14:paraId="373C637E">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（二）合同价款在合同约定后，任何一方不得擅自改变，但发生下列情况之一的可作调整：</w:t>
      </w:r>
    </w:p>
    <w:p w14:paraId="3F68FEB1">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采购人确认的工程量增减。</w:t>
      </w:r>
    </w:p>
    <w:p w14:paraId="0963159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 xml:space="preserve">采购人确认的设计变更或工程洽商。 </w:t>
      </w:r>
    </w:p>
    <w:p w14:paraId="7AC362F4">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其它双方认可的增减或调整。</w:t>
      </w:r>
    </w:p>
    <w:p w14:paraId="12F1DCA4">
      <w:pPr>
        <w:keepNext w:val="0"/>
        <w:keepLines w:val="0"/>
        <w:pageBreakBefore w:val="0"/>
        <w:kinsoku/>
        <w:wordWrap/>
        <w:overflowPunct/>
        <w:topLinePunct w:val="0"/>
        <w:autoSpaceDE/>
        <w:autoSpaceDN/>
        <w:bidi w:val="0"/>
        <w:adjustRightInd w:val="0"/>
        <w:snapToGrid w:val="0"/>
        <w:spacing w:line="44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合同内所含工程变更，均应具备书面签证，书面签证需符合工程质量标准、工程项目相关法律法规及甲方规定。调整内容需采购人确认的书面文件方能计入的决算。</w:t>
      </w:r>
    </w:p>
    <w:p w14:paraId="022C7FA0">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（三）因乙方人员施工不当造成的损失乙方自负。</w:t>
      </w:r>
    </w:p>
    <w:p w14:paraId="2CA9EBFE">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（四）合同未尽事项，经双方研究另立补充协议，磋商文件、响应文件与本合同同具法律效力。合同执行中若发生争议，应通过友好协商解决。协商调解不成时，可向甲方项目所在地人民法院起诉。</w:t>
      </w:r>
    </w:p>
    <w:p w14:paraId="0AE28267">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（五）合同经双方签字盖章生效,至保修期满后失效。</w:t>
      </w:r>
    </w:p>
    <w:p w14:paraId="084BF3A9">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十三、合同生效</w:t>
      </w:r>
    </w:p>
    <w:p w14:paraId="0E505710">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合同订立时间：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3E3C31DB">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合同订立地点：</w:t>
      </w:r>
    </w:p>
    <w:p w14:paraId="21B8D858">
      <w:pPr>
        <w:keepNext w:val="0"/>
        <w:keepLines w:val="0"/>
        <w:pageBreakBefore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本合同各方约定后生效。</w:t>
      </w:r>
    </w:p>
    <w:p w14:paraId="7FF52105">
      <w:pPr>
        <w:tabs>
          <w:tab w:val="left" w:pos="6660"/>
        </w:tabs>
        <w:spacing w:line="312" w:lineRule="auto"/>
        <w:ind w:firstLine="480" w:firstLineChars="200"/>
        <w:rPr>
          <w:rFonts w:hint="eastAsia" w:ascii="宋体" w:hAnsi="宋体" w:eastAsia="宋体" w:cs="宋体"/>
          <w:color w:val="auto"/>
          <w:sz w:val="24"/>
          <w:szCs w:val="24"/>
          <w:highlight w:val="none"/>
        </w:rPr>
      </w:pPr>
    </w:p>
    <w:p w14:paraId="3456CF43">
      <w:pPr>
        <w:tabs>
          <w:tab w:val="left" w:pos="522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  包  人：（公章）                    承  包  人：（公章）</w:t>
      </w:r>
    </w:p>
    <w:p w14:paraId="7D0DBEC6">
      <w:pPr>
        <w:tabs>
          <w:tab w:val="left" w:pos="5040"/>
          <w:tab w:val="left" w:pos="6300"/>
          <w:tab w:val="left" w:pos="918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地      址：</w:t>
      </w:r>
    </w:p>
    <w:p w14:paraId="54622986">
      <w:pPr>
        <w:tabs>
          <w:tab w:val="left" w:pos="504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政 编码：                            邮 政 编码：</w:t>
      </w:r>
    </w:p>
    <w:p w14:paraId="378041AB">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                            法定代表人：</w:t>
      </w:r>
    </w:p>
    <w:p w14:paraId="6025778B">
      <w:pPr>
        <w:tabs>
          <w:tab w:val="left" w:pos="6300"/>
        </w:tabs>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                            委托代理人：</w:t>
      </w:r>
    </w:p>
    <w:p w14:paraId="7490C80D">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      话：</w:t>
      </w:r>
    </w:p>
    <w:p w14:paraId="1430C3EA">
      <w:pPr>
        <w:spacing w:line="312"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传      真：                            传      真：</w:t>
      </w:r>
    </w:p>
    <w:p w14:paraId="45AA491F">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银行：                            开 户 银行：</w:t>
      </w:r>
    </w:p>
    <w:p w14:paraId="6A1548F2">
      <w:pPr>
        <w:spacing w:line="312"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账</w:t>
      </w:r>
      <w:r>
        <w:rPr>
          <w:rFonts w:hint="eastAsia" w:ascii="宋体" w:hAnsi="宋体" w:eastAsia="宋体" w:cs="宋体"/>
          <w:color w:val="auto"/>
          <w:sz w:val="24"/>
          <w:szCs w:val="24"/>
          <w:highlight w:val="none"/>
        </w:rPr>
        <w:t xml:space="preserve">      号：                            </w:t>
      </w:r>
      <w:r>
        <w:rPr>
          <w:rFonts w:hint="eastAsia" w:ascii="宋体" w:hAnsi="宋体" w:cs="宋体"/>
          <w:color w:val="auto"/>
          <w:sz w:val="24"/>
          <w:szCs w:val="24"/>
          <w:highlight w:val="none"/>
          <w:lang w:val="en-US" w:eastAsia="zh-CN"/>
        </w:rPr>
        <w:t>账</w:t>
      </w:r>
      <w:r>
        <w:rPr>
          <w:rFonts w:hint="eastAsia" w:ascii="宋体" w:hAnsi="宋体" w:eastAsia="宋体" w:cs="宋体"/>
          <w:color w:val="auto"/>
          <w:sz w:val="24"/>
          <w:szCs w:val="24"/>
          <w:highlight w:val="none"/>
        </w:rPr>
        <w:t xml:space="preserve">      号：</w:t>
      </w:r>
    </w:p>
    <w:p w14:paraId="312A7C56">
      <w:pPr>
        <w:spacing w:before="0" w:after="0" w:line="312" w:lineRule="auto"/>
        <w:outlineLvl w:val="9"/>
        <w:rPr>
          <w:rFonts w:hint="eastAsia" w:ascii="宋体" w:hAnsi="宋体" w:eastAsia="宋体" w:cs="宋体"/>
          <w:color w:val="auto"/>
          <w:sz w:val="24"/>
          <w:szCs w:val="24"/>
          <w:highlight w:val="none"/>
        </w:rPr>
      </w:pPr>
      <w:bookmarkStart w:id="8" w:name="_Toc32374"/>
      <w:bookmarkStart w:id="9" w:name="_Toc106961132"/>
      <w:bookmarkStart w:id="10" w:name="_Toc11133"/>
      <w:bookmarkStart w:id="11" w:name="_Toc19828"/>
      <w:r>
        <w:rPr>
          <w:rFonts w:hint="eastAsia" w:ascii="宋体" w:hAnsi="宋体" w:eastAsia="宋体" w:cs="宋体"/>
          <w:color w:val="auto"/>
          <w:sz w:val="24"/>
          <w:szCs w:val="24"/>
          <w:highlight w:val="none"/>
        </w:rPr>
        <w:t>通用条款</w:t>
      </w:r>
      <w:bookmarkEnd w:id="2"/>
      <w:bookmarkEnd w:id="3"/>
      <w:bookmarkEnd w:id="4"/>
      <w:r>
        <w:rPr>
          <w:rFonts w:hint="eastAsia" w:ascii="宋体" w:hAnsi="宋体" w:eastAsia="宋体" w:cs="宋体"/>
          <w:color w:val="auto"/>
          <w:sz w:val="24"/>
          <w:szCs w:val="24"/>
          <w:highlight w:val="none"/>
        </w:rPr>
        <w:t>（范本）</w:t>
      </w:r>
      <w:bookmarkEnd w:id="5"/>
      <w:bookmarkEnd w:id="8"/>
      <w:bookmarkEnd w:id="9"/>
      <w:bookmarkEnd w:id="10"/>
      <w:bookmarkEnd w:id="11"/>
      <w:bookmarkStart w:id="12" w:name="_Toc534215877"/>
      <w:bookmarkStart w:id="13" w:name="_Toc26157"/>
    </w:p>
    <w:p w14:paraId="42B58F96">
      <w:pPr>
        <w:spacing w:before="0" w:after="0" w:line="312" w:lineRule="auto"/>
        <w:outlineLvl w:val="9"/>
        <w:rPr>
          <w:rFonts w:hint="eastAsia" w:ascii="宋体" w:hAnsi="宋体" w:eastAsia="宋体" w:cs="宋体"/>
          <w:color w:val="auto"/>
          <w:sz w:val="24"/>
          <w:szCs w:val="24"/>
          <w:highlight w:val="none"/>
        </w:rPr>
      </w:pPr>
      <w:bookmarkStart w:id="14" w:name="_Toc25586"/>
      <w:bookmarkStart w:id="15" w:name="_Toc63350480"/>
      <w:bookmarkStart w:id="16" w:name="_Toc106961133"/>
      <w:bookmarkStart w:id="17" w:name="_Toc15710"/>
      <w:bookmarkStart w:id="18" w:name="_Toc22798"/>
      <w:r>
        <w:rPr>
          <w:rFonts w:hint="eastAsia" w:ascii="宋体" w:hAnsi="宋体" w:eastAsia="宋体" w:cs="宋体"/>
          <w:color w:val="auto"/>
          <w:sz w:val="24"/>
          <w:szCs w:val="24"/>
          <w:highlight w:val="none"/>
        </w:rPr>
        <w:t>专用条款</w:t>
      </w:r>
      <w:bookmarkEnd w:id="6"/>
      <w:bookmarkEnd w:id="7"/>
      <w:bookmarkEnd w:id="12"/>
      <w:bookmarkEnd w:id="13"/>
      <w:r>
        <w:rPr>
          <w:rFonts w:hint="eastAsia" w:ascii="宋体" w:hAnsi="宋体" w:eastAsia="宋体" w:cs="宋体"/>
          <w:color w:val="auto"/>
          <w:sz w:val="24"/>
          <w:szCs w:val="24"/>
          <w:highlight w:val="none"/>
        </w:rPr>
        <w:t>（范本）</w:t>
      </w:r>
      <w:bookmarkEnd w:id="14"/>
      <w:bookmarkEnd w:id="15"/>
      <w:bookmarkEnd w:id="16"/>
      <w:bookmarkEnd w:id="17"/>
      <w:bookmarkEnd w:id="18"/>
    </w:p>
    <w:p w14:paraId="5C46953C">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宋体" w:hAnsi="宋体" w:eastAsia="宋体" w:cs="宋体"/>
          <w:color w:val="auto"/>
          <w:sz w:val="24"/>
          <w:szCs w:val="24"/>
        </w:rPr>
      </w:pPr>
      <w:bookmarkStart w:id="19" w:name="_Toc106961134"/>
      <w:r>
        <w:rPr>
          <w:rFonts w:hint="eastAsia" w:ascii="宋体" w:hAnsi="宋体" w:eastAsia="宋体" w:cs="宋体"/>
          <w:color w:val="auto"/>
          <w:sz w:val="24"/>
          <w:szCs w:val="24"/>
          <w:highlight w:val="none"/>
        </w:rPr>
        <w:t>本工程合同签订依据：磋商文件、响应文件、答疑文件、图纸、工程量清单等文件所涵盖的内容</w:t>
      </w:r>
      <w:bookmarkEnd w:id="19"/>
      <w:r>
        <w:rPr>
          <w:rFonts w:hint="eastAsia" w:ascii="宋体" w:hAnsi="宋体" w:eastAsia="宋体" w:cs="宋体"/>
          <w:color w:val="auto"/>
          <w:sz w:val="24"/>
          <w:szCs w:val="24"/>
          <w:highlight w:val="none"/>
        </w:rPr>
        <w:t>。</w:t>
      </w:r>
    </w:p>
    <w:p w14:paraId="16E61272"/>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821 BT">
    <w:altName w:val="Segoe Print"/>
    <w:panose1 w:val="020B0609020202020204"/>
    <w:charset w:val="00"/>
    <w:family w:val="modern"/>
    <w:pitch w:val="default"/>
    <w:sig w:usb0="00000000" w:usb1="00000000" w:usb2="00000000" w:usb3="00000000" w:csb0="0000001B"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A2A6E">
    <w:pPr>
      <w:pStyle w:val="6"/>
      <w:jc w:val="center"/>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188F78D">
                          <w:pPr>
                            <w:pStyle w:val="6"/>
                          </w:pPr>
                          <w:r>
                            <w:fldChar w:fldCharType="begin"/>
                          </w:r>
                          <w:r>
                            <w:instrText xml:space="preserve"> PAGE  \* MERGEFORMAT </w:instrText>
                          </w:r>
                          <w:r>
                            <w:fldChar w:fldCharType="separate"/>
                          </w:r>
                          <w:r>
                            <w:t>10</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1188F78D">
                    <w:pPr>
                      <w:pStyle w:val="6"/>
                    </w:pPr>
                    <w:r>
                      <w:fldChar w:fldCharType="begin"/>
                    </w:r>
                    <w:r>
                      <w:instrText xml:space="preserve"> PAGE  \* MERGEFORMAT </w:instrText>
                    </w:r>
                    <w:r>
                      <w:fldChar w:fldCharType="separate"/>
                    </w:r>
                    <w:r>
                      <w:t>10</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89936">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EC3018"/>
    <w:rsid w:val="17235240"/>
    <w:rsid w:val="2FEC3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99"/>
    <w:pPr>
      <w:keepNext/>
      <w:keepLines/>
      <w:widowControl/>
      <w:spacing w:before="280" w:after="290" w:line="376" w:lineRule="auto"/>
      <w:jc w:val="left"/>
      <w:outlineLvl w:val="3"/>
    </w:pPr>
    <w:rPr>
      <w:rFonts w:ascii="Arial" w:hAnsi="Arial" w:eastAsia="黑体"/>
      <w:b/>
      <w:bCs/>
      <w:kern w:val="0"/>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Calibri" w:hAnsi="Calibri"/>
      <w:szCs w:val="20"/>
    </w:rPr>
  </w:style>
  <w:style w:type="paragraph" w:styleId="4">
    <w:name w:val="Body Text Indent"/>
    <w:basedOn w:val="1"/>
    <w:qFormat/>
    <w:uiPriority w:val="99"/>
    <w:pPr>
      <w:widowControl/>
      <w:ind w:firstLine="652" w:firstLineChars="233"/>
    </w:pPr>
    <w:rPr>
      <w:kern w:val="0"/>
    </w:rPr>
  </w:style>
  <w:style w:type="paragraph" w:styleId="5">
    <w:name w:val="Plain Text"/>
    <w:basedOn w:val="1"/>
    <w:qFormat/>
    <w:uiPriority w:val="99"/>
    <w:rPr>
      <w:rFonts w:ascii="宋体" w:hAnsi="Monospac821 BT"/>
      <w:szCs w:val="20"/>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4776</Words>
  <Characters>4834</Characters>
  <Lines>0</Lines>
  <Paragraphs>0</Paragraphs>
  <TotalTime>0</TotalTime>
  <ScaleCrop>false</ScaleCrop>
  <LinksUpToDate>false</LinksUpToDate>
  <CharactersWithSpaces>5986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2025-08-25T07:39:00Z</dcterms:created>
  <dc:creator>JYZB</dc:creator>
  <cp:lastModifiedBy>JYZB</cp:lastModifiedBy>
  <dcterms:modified xsi:type="dcterms:W3CDTF">2026-06-25T07:48:12Z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AEF1AFF90CC545EFB064944C8B8961B1_11</vt:lpwstr>
  </property>
  <property fmtid="{D5CDD505-2E9C-101B-9397-08002B2CF9AE}" pid="4" name="KSOTemplateDocerSaveRecord">
    <vt:lpwstr>eyJoZGlkIjoiNDU1NTZmYzFiNDc2MjU2MmUyODZiZjA1Yzk0MWFlYmYiLCJ1c2VySWQiOiIyNDIxOTA0MzAifQ==</vt:lpwstr>
  </property>
</Properties>
</file>