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版本号：ZJXG202606520260806002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教学办公设备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ZJXG2026065</w:t>
      </w:r>
      <w:r>
        <w:br/>
      </w:r>
      <w:r>
        <w:br/>
      </w:r>
      <w:r>
        <w:br/>
      </w:r>
    </w:p>
    <w:p>
      <w:pPr>
        <w:pStyle w:val="null3"/>
        <w:jc w:val="center"/>
        <w:outlineLvl w:val="2"/>
      </w:pPr>
      <w:r>
        <w:rPr>
          <w:rFonts w:ascii="仿宋_GB2312" w:hAnsi="仿宋_GB2312" w:cs="仿宋_GB2312" w:eastAsia="仿宋_GB2312"/>
          <w:sz w:val="28"/>
          <w:b/>
        </w:rPr>
        <w:t>西安市未央区百花小学</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西安市未央区百花小学</w:t>
      </w:r>
      <w:r>
        <w:rPr>
          <w:rFonts w:ascii="仿宋_GB2312" w:hAnsi="仿宋_GB2312" w:cs="仿宋_GB2312" w:eastAsia="仿宋_GB2312"/>
        </w:rPr>
        <w:t>委托，拟对</w:t>
      </w:r>
      <w:r>
        <w:rPr>
          <w:rFonts w:ascii="仿宋_GB2312" w:hAnsi="仿宋_GB2312" w:cs="仿宋_GB2312" w:eastAsia="仿宋_GB2312"/>
        </w:rPr>
        <w:t>教学办公设备</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ZJXG2026065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教学办公设备</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西安市未央区百花小学教学办公设备采购，具体内容详见竞争性谈判文件。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年或2025年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3、税收缴纳证明：提供2026年1月至今已缴纳的1个月的纳税证明或完税证明，依法免税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2026年1月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7、授权书被授权人身份证：法定代表人授权书及被授权人身份证（法定代表人直接参加谈判的须提供其法定代表人身份证），非法人单位参照执行。供应商需在项目电子化交易系统中按要求上传相应证明文件并进行电子签章。</w:t>
      </w:r>
    </w:p>
    <w:p>
      <w:pPr>
        <w:pStyle w:val="null3"/>
      </w:pPr>
      <w:r>
        <w:rPr>
          <w:rFonts w:ascii="仿宋_GB2312" w:hAnsi="仿宋_GB2312" w:cs="仿宋_GB2312" w:eastAsia="仿宋_GB2312"/>
        </w:rPr>
        <w:t>8、信用查询：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w:t>
      </w:r>
    </w:p>
    <w:p>
      <w:pPr>
        <w:pStyle w:val="null3"/>
      </w:pPr>
      <w:r>
        <w:rPr>
          <w:rFonts w:ascii="仿宋_GB2312" w:hAnsi="仿宋_GB2312" w:cs="仿宋_GB2312" w:eastAsia="仿宋_GB2312"/>
        </w:rPr>
        <w:t>9、是否接受联合体投标：本合同包不接受联合体投标，提供非联合体投标声明。供应商需在项目电子化交易系统中按要求上传相应证明文件并进行电子签章。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西安市未央区百花小学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西安市未央区谭家街道白花村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13379090599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采购包1：818,300.00元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空调、智慧黑板</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收取。 成交单位服务费交纳信息 银行户名：陕西中鉴项目管理有限公司 开户行：招商银行股份有限公司西安分行营业部 账号：129911072510777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西安市未央区百花小学</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西安市未央区百花小学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西安市未央区百花小学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陕西中鉴项目管理有限公司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按照竞争性谈判文件及成交供应商竞争性谈判响应文件进行履约验收。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联系人：白洁</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西安市未央区百花小学教学办公设备采购，具体内容详见竞争性谈判文件。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818,300.00</w:t>
      </w:r>
    </w:p>
    <w:p>
      <w:pPr>
        <w:pStyle w:val="null3"/>
      </w:pPr>
      <w:r>
        <w:rPr>
          <w:rFonts w:ascii="仿宋_GB2312" w:hAnsi="仿宋_GB2312" w:cs="仿宋_GB2312" w:eastAsia="仿宋_GB2312"/>
        </w:rPr>
        <w:t>采购包最高限价（元）: 818,300.00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教学办公设备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818,300.00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标的名称：教学办公设备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4"/>
                <w:b/>
                <w:color w:val="333333"/>
              </w:rPr>
              <w:t>一、技术参数</w:t>
            </w:r>
          </w:p>
          <w:tbl>
            <w:tblPr>
              <w:tblInd w:type="dxa" w:w="90"/>
              <w:tblBorders>
                <w:top w:val="none" w:color="000000" w:sz="4"/>
                <w:left w:val="none" w:color="000000" w:sz="4"/>
                <w:bottom w:val="none" w:color="000000" w:sz="4"/>
                <w:right w:val="none" w:color="000000" w:sz="4"/>
                <w:insideH w:val="none"/>
                <w:insideV w:val="none"/>
              </w:tblBorders>
            </w:tblPr>
            <w:tblGrid>
              <w:gridCol w:w="100"/>
              <w:gridCol w:w="139"/>
              <w:gridCol w:w="154"/>
              <w:gridCol w:w="110"/>
              <w:gridCol w:w="2042"/>
            </w:tblGrid>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产品名称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技术参数</w:t>
                  </w:r>
                </w:p>
              </w:tc>
            </w:tr>
            <w:tr>
              <w:tc>
                <w:tcPr>
                  <w:tcW w:type="dxa" w:w="1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★智慧黑板（核心产品）</w:t>
                  </w:r>
                </w:p>
              </w:tc>
              <w:tc>
                <w:tcPr>
                  <w:tcW w:type="dxa" w:w="1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1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29</w:t>
                  </w:r>
                </w:p>
              </w:tc>
              <w:tc>
                <w:tcPr>
                  <w:tcW w:type="dxa" w:w="20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6"/>
                      <w:color w:val="000000"/>
                    </w:rPr>
                    <w:t>1.整机采用全金属外壳，三拼接平面一体化设计，整体外观尺寸：宽≥4200mm高≥1200mm，厚≤120mm，整机屏幕不小于86英寸 ，分辨率不低于3840*2160。</w:t>
                  </w:r>
                  <w:r>
                    <w:br/>
                  </w:r>
                  <w:r>
                    <w:rPr>
                      <w:rFonts w:ascii="仿宋_GB2312" w:hAnsi="仿宋_GB2312" w:cs="仿宋_GB2312" w:eastAsia="仿宋_GB2312"/>
                      <w:sz w:val="16"/>
                      <w:color w:val="000000"/>
                    </w:rPr>
                    <w:t>2.整机中间主屏采用钢化玻璃防护，硬度达到9H。</w:t>
                  </w:r>
                  <w:r>
                    <w:br/>
                  </w:r>
                  <w:r>
                    <w:rPr>
                      <w:rFonts w:ascii="仿宋_GB2312" w:hAnsi="仿宋_GB2312" w:cs="仿宋_GB2312" w:eastAsia="仿宋_GB2312"/>
                      <w:sz w:val="16"/>
                      <w:color w:val="000000"/>
                    </w:rPr>
                    <w:t>3.整机设备屏幕亮度：≥350cd/㎡，整机色域覆盖率（NTSC）≥72%。</w:t>
                  </w:r>
                  <w:r>
                    <w:br/>
                  </w:r>
                  <w:r>
                    <w:rPr>
                      <w:rFonts w:ascii="仿宋_GB2312" w:hAnsi="仿宋_GB2312" w:cs="仿宋_GB2312" w:eastAsia="仿宋_GB2312"/>
                      <w:sz w:val="16"/>
                      <w:color w:val="000000"/>
                    </w:rPr>
                    <w:t>4.整机嵌入式系统版本≥Android 15，CPU≥8核，主频≥1.6GHz，内存≥2GB，存储空间≥32GB。须提供相应的证明材料（包括但不限于测试报告、官网和功能截图等）。</w:t>
                  </w:r>
                  <w:r>
                    <w:br/>
                  </w:r>
                  <w:r>
                    <w:rPr>
                      <w:rFonts w:ascii="仿宋_GB2312" w:hAnsi="仿宋_GB2312" w:cs="仿宋_GB2312" w:eastAsia="仿宋_GB2312"/>
                      <w:sz w:val="16"/>
                      <w:color w:val="000000"/>
                    </w:rPr>
                    <w:t>5.整机摄像头支持环境色温判断，根据环境调节合适的显示图像效果。须提供相应的证明材料（包括但不限于测试报告、官网和功能截图等）。</w:t>
                  </w:r>
                  <w:r>
                    <w:br/>
                  </w:r>
                  <w:r>
                    <w:rPr>
                      <w:rFonts w:ascii="仿宋_GB2312" w:hAnsi="仿宋_GB2312" w:cs="仿宋_GB2312" w:eastAsia="仿宋_GB2312"/>
                      <w:sz w:val="16"/>
                      <w:color w:val="000000"/>
                    </w:rPr>
                    <w:t>6.整机设备内置2.2声道扬声器，位于设备上边框，最大功率≥80W。须提供相应的证明材料（包括但不限于测试报告、官网和功能截图等）。</w:t>
                  </w:r>
                  <w:r>
                    <w:br/>
                  </w:r>
                  <w:r>
                    <w:rPr>
                      <w:rFonts w:ascii="仿宋_GB2312" w:hAnsi="仿宋_GB2312" w:cs="仿宋_GB2312" w:eastAsia="仿宋_GB2312"/>
                      <w:sz w:val="16"/>
                      <w:color w:val="000000"/>
                    </w:rPr>
                    <w:t>7.整机支持提笔书写，在Windows系统下可实现无需点击任意功能入口，当检测到触控笔笔尖接触屏幕时，自动进入书写模式。</w:t>
                  </w:r>
                  <w:r>
                    <w:br/>
                  </w:r>
                  <w:r>
                    <w:rPr>
                      <w:rFonts w:ascii="仿宋_GB2312" w:hAnsi="仿宋_GB2312" w:cs="仿宋_GB2312" w:eastAsia="仿宋_GB2312"/>
                      <w:sz w:val="16"/>
                      <w:color w:val="000000"/>
                    </w:rPr>
                    <w:t>8.设备采用先进触控技术，整机支持双系统中进行40点或以上触控。</w:t>
                  </w:r>
                  <w:r>
                    <w:br/>
                  </w:r>
                  <w:r>
                    <w:rPr>
                      <w:rFonts w:ascii="仿宋_GB2312" w:hAnsi="仿宋_GB2312" w:cs="仿宋_GB2312" w:eastAsia="仿宋_GB2312"/>
                      <w:sz w:val="16"/>
                      <w:color w:val="000000"/>
                    </w:rPr>
                    <w:t>9.前置USB接口支持Android系统、Windows系统读取外接移动存储设备。</w:t>
                  </w:r>
                  <w:r>
                    <w:br/>
                  </w:r>
                  <w:r>
                    <w:rPr>
                      <w:rFonts w:ascii="仿宋_GB2312" w:hAnsi="仿宋_GB2312" w:cs="仿宋_GB2312" w:eastAsia="仿宋_GB2312"/>
                      <w:sz w:val="16"/>
                      <w:color w:val="000000"/>
                    </w:rPr>
                    <w:t>10.整机听力模式下具备AI人声语言增强功能，支持三挡强弱调节。扩声系统语言传输指数（STIPA）≥0.75。须提供相应的证明材料（包括但不限于测试报告、官网和功能截图等）。</w:t>
                  </w:r>
                  <w:r>
                    <w:br/>
                  </w:r>
                  <w:r>
                    <w:rPr>
                      <w:rFonts w:ascii="仿宋_GB2312" w:hAnsi="仿宋_GB2312" w:cs="仿宋_GB2312" w:eastAsia="仿宋_GB2312"/>
                      <w:sz w:val="16"/>
                      <w:color w:val="000000"/>
                    </w:rPr>
                    <w:t>11.整机可选择高级音效设置，支持在左右声道平衡显示范围中进行更改。中低频段可选择调节范围125Hz～1kHz,高频段可选择调节范围 2kHz～16kHz,分贝可选择调节范围-12dB～12dB。须提供相应的证明材料（包括但不限于测试报告、官网和功能截图等）。</w:t>
                  </w:r>
                  <w:r>
                    <w:br/>
                  </w:r>
                  <w:r>
                    <w:rPr>
                      <w:rFonts w:ascii="仿宋_GB2312" w:hAnsi="仿宋_GB2312" w:cs="仿宋_GB2312" w:eastAsia="仿宋_GB2312"/>
                      <w:sz w:val="16"/>
                      <w:color w:val="000000"/>
                    </w:rPr>
                    <w:t>12.整机支持手笔分离，通过提笔即写唤醒批注功能后，可进行手笔分离功能，使用笔正常书写，使用手指可以操作应用，进行点击操作。</w:t>
                  </w:r>
                  <w:r>
                    <w:br/>
                  </w:r>
                  <w:r>
                    <w:rPr>
                      <w:rFonts w:ascii="仿宋_GB2312" w:hAnsi="仿宋_GB2312" w:cs="仿宋_GB2312" w:eastAsia="仿宋_GB2312"/>
                      <w:sz w:val="16"/>
                      <w:color w:val="000000"/>
                    </w:rPr>
                    <w:t>13.电源键为三合一按键，可实现开机、关机、待机三种功能，方便老师操作设备。整机具备前置按键，支持通过前置按键进行开关机等操作。</w:t>
                  </w:r>
                  <w:r>
                    <w:br/>
                  </w:r>
                  <w:r>
                    <w:rPr>
                      <w:rFonts w:ascii="仿宋_GB2312" w:hAnsi="仿宋_GB2312" w:cs="仿宋_GB2312" w:eastAsia="仿宋_GB2312"/>
                      <w:sz w:val="16"/>
                      <w:color w:val="000000"/>
                    </w:rPr>
                    <w:t>14.整机侧边栏内置朗读工具，通过整机麦克风监测教室中学生的朗读情况，并以游戏化界面反馈学生朗读音量大小。须提供相应的证明材料（包括但不限于测试报告、官网和功能截图等）。</w:t>
                  </w:r>
                  <w:r>
                    <w:br/>
                  </w:r>
                  <w:r>
                    <w:rPr>
                      <w:rFonts w:ascii="仿宋_GB2312" w:hAnsi="仿宋_GB2312" w:cs="仿宋_GB2312" w:eastAsia="仿宋_GB2312"/>
                      <w:sz w:val="16"/>
                      <w:color w:val="000000"/>
                    </w:rPr>
                    <w:t>15.整机内置非独立摄像头，可拍摄≥4800万像素数的照片；具备摄像头指示灯；整机摄像头支持人脸识别、快速点人数、随机抽人，可识别镜头前的所有学生，并显示人脸标记、随机抽选。须提供相应的证明材料（包括但不限于测试报告、官网和功能截图等）。</w:t>
                  </w:r>
                  <w:r>
                    <w:br/>
                  </w:r>
                  <w:r>
                    <w:rPr>
                      <w:rFonts w:ascii="仿宋_GB2312" w:hAnsi="仿宋_GB2312" w:cs="仿宋_GB2312" w:eastAsia="仿宋_GB2312"/>
                      <w:sz w:val="16"/>
                      <w:color w:val="000000"/>
                    </w:rPr>
                    <w:t>16.支持标准、多媒体和节能三种图像模式调节。</w:t>
                  </w:r>
                  <w:r>
                    <w:br/>
                  </w:r>
                  <w:r>
                    <w:rPr>
                      <w:rFonts w:ascii="仿宋_GB2312" w:hAnsi="仿宋_GB2312" w:cs="仿宋_GB2312" w:eastAsia="仿宋_GB2312"/>
                      <w:sz w:val="16"/>
                      <w:color w:val="000000"/>
                    </w:rPr>
                    <w:t>17.支持无线传屏功能，可以将外部电脑的屏幕画面通过无线方式传输到整机上显示。</w:t>
                  </w:r>
                  <w:r>
                    <w:br/>
                  </w:r>
                  <w:r>
                    <w:rPr>
                      <w:rFonts w:ascii="仿宋_GB2312" w:hAnsi="仿宋_GB2312" w:cs="仿宋_GB2312" w:eastAsia="仿宋_GB2312"/>
                      <w:sz w:val="16"/>
                      <w:color w:val="000000"/>
                    </w:rPr>
                    <w:t>18.菜单可进行高级音效设置，可自由选择标准、听力、观影等不同效果。支持标准、听力、观影和AI空间感知音效模式，AI空间感知音效模式可通过内置麦克风采集教室物理环境声音，自动生成符合当前教室物理环境的频段、音量、音效。须提供相应的证明材料（包括但不限于测试报告、官网和功能截图等）。</w:t>
                  </w:r>
                  <w:r>
                    <w:br/>
                  </w:r>
                  <w:r>
                    <w:rPr>
                      <w:rFonts w:ascii="仿宋_GB2312" w:hAnsi="仿宋_GB2312" w:cs="仿宋_GB2312" w:eastAsia="仿宋_GB2312"/>
                      <w:sz w:val="16"/>
                      <w:color w:val="000000"/>
                    </w:rPr>
                    <w:t>19.触摸分辨率≥32768×32768，书写触控延迟≤25ms，触摸响应≤8ms。</w:t>
                  </w:r>
                  <w:r>
                    <w:br/>
                  </w:r>
                  <w:r>
                    <w:rPr>
                      <w:rFonts w:ascii="仿宋_GB2312" w:hAnsi="仿宋_GB2312" w:cs="仿宋_GB2312" w:eastAsia="仿宋_GB2312"/>
                      <w:sz w:val="16"/>
                      <w:color w:val="000000"/>
                    </w:rPr>
                    <w:t>20.整机具备班级视力检测功能，学⽣站在距离屏幕前≤5m处，可通过⼿势识别方式来标识方向进行视力测试，测试完成后可直接生成视力检测结果，并建立学生视力档案，对学生视力情况进⾏管理。须提供相应的证明材料（包括但不限于测试报告、官网和功能截图等）。</w:t>
                  </w:r>
                  <w:r>
                    <w:br/>
                  </w:r>
                  <w:r>
                    <w:rPr>
                      <w:rFonts w:ascii="仿宋_GB2312" w:hAnsi="仿宋_GB2312" w:cs="仿宋_GB2312" w:eastAsia="仿宋_GB2312"/>
                      <w:sz w:val="16"/>
                      <w:color w:val="000000"/>
                    </w:rPr>
                    <w:t>21.主屏支持普通粉笔直接书写，两侧副屏可支持普通粉笔、液体粉笔、成膜笔等进行板书书写。</w:t>
                  </w:r>
                  <w:r>
                    <w:br/>
                  </w:r>
                  <w:r>
                    <w:rPr>
                      <w:rFonts w:ascii="仿宋_GB2312" w:hAnsi="仿宋_GB2312" w:cs="仿宋_GB2312" w:eastAsia="仿宋_GB2312"/>
                      <w:sz w:val="16"/>
                      <w:color w:val="000000"/>
                    </w:rPr>
                    <w:t>22.整机设备副屏支持磁吸附功能，可以满足带有磁吸的板擦教具进行吸附在副屏上。</w:t>
                  </w:r>
                  <w:r>
                    <w:br/>
                  </w:r>
                  <w:r>
                    <w:rPr>
                      <w:rFonts w:ascii="仿宋_GB2312" w:hAnsi="仿宋_GB2312" w:cs="仿宋_GB2312" w:eastAsia="仿宋_GB2312"/>
                      <w:sz w:val="16"/>
                      <w:color w:val="000000"/>
                    </w:rPr>
                    <w:t>23.支持通过前置面板物理按键一键启动录屏功能，可将屏幕中显示的课件、音频内容与老师人声同时录制。</w:t>
                  </w:r>
                  <w:r>
                    <w:br/>
                  </w:r>
                  <w:r>
                    <w:rPr>
                      <w:rFonts w:ascii="仿宋_GB2312" w:hAnsi="仿宋_GB2312" w:cs="仿宋_GB2312" w:eastAsia="仿宋_GB2312"/>
                      <w:sz w:val="16"/>
                      <w:color w:val="000000"/>
                    </w:rPr>
                    <w:t>24.智能黑板具备多种纸质护眼模式，支持在任意通道下对显示画面实现纹理实时调整；纸质纹理包含牛皮纸、素描纸、宣纸、水彩纸、水纹纸等；支持透明度调节；支持色温调节。须提供相应的证明材料（包括但不限于测试报告、官网和功能截图等）。</w:t>
                  </w:r>
                  <w:r>
                    <w:br/>
                  </w:r>
                  <w:r>
                    <w:rPr>
                      <w:rFonts w:ascii="仿宋_GB2312" w:hAnsi="仿宋_GB2312" w:cs="仿宋_GB2312" w:eastAsia="仿宋_GB2312"/>
                      <w:sz w:val="16"/>
                      <w:color w:val="000000"/>
                    </w:rPr>
                    <w:t>25.侧置输入接口具备≥2路HDMI、≥1路RS232（RJ45形态）、≥1路USB接口；输出接口具备≥1路音频输出、≥1路触控USB输出。</w:t>
                  </w:r>
                  <w:r>
                    <w:br/>
                  </w:r>
                  <w:r>
                    <w:rPr>
                      <w:rFonts w:ascii="仿宋_GB2312" w:hAnsi="仿宋_GB2312" w:cs="仿宋_GB2312" w:eastAsia="仿宋_GB2312"/>
                      <w:sz w:val="16"/>
                      <w:color w:val="000000"/>
                    </w:rPr>
                    <w:t>26.支持通过Type-C接口U盘进行文件传输，兼容Type-C接口手机充电。</w:t>
                  </w:r>
                  <w:r>
                    <w:br/>
                  </w:r>
                  <w:r>
                    <w:rPr>
                      <w:rFonts w:ascii="仿宋_GB2312" w:hAnsi="仿宋_GB2312" w:cs="仿宋_GB2312" w:eastAsia="仿宋_GB2312"/>
                      <w:sz w:val="16"/>
                      <w:color w:val="000000"/>
                    </w:rPr>
                    <w:t>27.整机内置非独立外扩展的8阵列麦克风，拾音角度≥180°，可用于对教室环境音频进行采集，拾音距离≥12m。</w:t>
                  </w:r>
                  <w:r>
                    <w:br/>
                  </w:r>
                  <w:r>
                    <w:rPr>
                      <w:rFonts w:ascii="仿宋_GB2312" w:hAnsi="仿宋_GB2312" w:cs="仿宋_GB2312" w:eastAsia="仿宋_GB2312"/>
                      <w:sz w:val="16"/>
                      <w:color w:val="000000"/>
                    </w:rPr>
                    <w:t>28.触摸屏在照度100K LUX（勒克司）环境下仍能正常工作。</w:t>
                  </w:r>
                </w:p>
              </w:tc>
            </w:tr>
            <w:tr>
              <w:tc>
                <w:tcPr>
                  <w:tcW w:type="dxa" w:w="100"/>
                  <w:vMerge/>
                  <w:tcBorders>
                    <w:top w:val="none" w:color="000000" w:sz="4"/>
                    <w:left w:val="single" w:color="000000" w:sz="4"/>
                    <w:bottom w:val="single" w:color="000000" w:sz="4"/>
                    <w:right w:val="single" w:color="000000" w:sz="4"/>
                  </w:tcBorders>
                </w:tcPr>
                <w:p/>
              </w:tc>
              <w:tc>
                <w:tcPr>
                  <w:tcW w:type="dxa" w:w="139"/>
                  <w:vMerge/>
                  <w:tcBorders>
                    <w:top w:val="none" w:color="000000" w:sz="4"/>
                    <w:left w:val="none" w:color="000000" w:sz="4"/>
                    <w:bottom w:val="single" w:color="000000" w:sz="4"/>
                    <w:right w:val="single" w:color="000000" w:sz="4"/>
                  </w:tcBorders>
                </w:tcPr>
                <w:p/>
              </w:tc>
              <w:tc>
                <w:tcPr>
                  <w:tcW w:type="dxa" w:w="154"/>
                  <w:vMerge/>
                  <w:tcBorders>
                    <w:top w:val="none" w:color="000000" w:sz="4"/>
                    <w:left w:val="none" w:color="000000" w:sz="4"/>
                    <w:bottom w:val="single" w:color="000000" w:sz="4"/>
                    <w:right w:val="single" w:color="000000" w:sz="4"/>
                  </w:tcBorders>
                </w:tcPr>
                <w:p/>
              </w:tc>
              <w:tc>
                <w:tcPr>
                  <w:tcW w:type="dxa" w:w="110"/>
                  <w:vMerge/>
                  <w:tcBorders>
                    <w:top w:val="none" w:color="000000" w:sz="4"/>
                    <w:left w:val="none" w:color="000000" w:sz="4"/>
                    <w:bottom w:val="single" w:color="000000" w:sz="4"/>
                    <w:right w:val="single" w:color="000000" w:sz="4"/>
                  </w:tcBorders>
                </w:tcPr>
                <w:p/>
              </w:tc>
              <w:tc>
                <w:tcPr>
                  <w:tcW w:type="dxa" w:w="2042"/>
                  <w:vMerge/>
                  <w:tcBorders>
                    <w:top w:val="none" w:color="000000" w:sz="4"/>
                    <w:left w:val="none" w:color="000000" w:sz="4"/>
                    <w:bottom w:val="single" w:color="000000" w:sz="4"/>
                    <w:right w:val="single" w:color="000000" w:sz="4"/>
                  </w:tcBorders>
                </w:tcP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电脑模块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29</w:t>
                  </w: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6"/>
                      <w:color w:val="000000"/>
                    </w:rPr>
                    <w:t>1.采用抽拉内置式模块化电脑，抽拉内置式，PC模块可插入整机，可实现无单独接线的插拔。按压式卡扣方式，无需工具即可快速拆卸电脑模块。须提供相应的证明材料（包括但不限于测试报告、官网和功能截图等）。</w:t>
                  </w:r>
                  <w:r>
                    <w:br/>
                  </w:r>
                  <w:r>
                    <w:rPr>
                      <w:rFonts w:ascii="仿宋_GB2312" w:hAnsi="仿宋_GB2312" w:cs="仿宋_GB2312" w:eastAsia="仿宋_GB2312"/>
                      <w:sz w:val="16"/>
                      <w:color w:val="000000"/>
                    </w:rPr>
                    <w:t>2.搭载不小于Intel 12代酷睿 i5或以上配置CPU。内存：8 GB DDR4笔记本内存或以上配置。硬盘：256 GB SSD固态硬盘或以上配置。</w:t>
                  </w:r>
                  <w:r>
                    <w:br/>
                  </w:r>
                  <w:r>
                    <w:rPr>
                      <w:rFonts w:ascii="仿宋_GB2312" w:hAnsi="仿宋_GB2312" w:cs="仿宋_GB2312" w:eastAsia="仿宋_GB2312"/>
                      <w:sz w:val="16"/>
                      <w:color w:val="000000"/>
                    </w:rPr>
                    <w:t>3.和整机的连接采用万兆级接口，传输速率≥10Gbps。</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教学数据分析管理平台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29</w:t>
                  </w: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6"/>
                      <w:color w:val="000000"/>
                    </w:rPr>
                    <w:t>1.为学校提供教研全流程管理服务，包含目标计划、教学设计、集体备课、听课评课、班级氛围等流程管理和数据分析，方便学校统筹管理教学、了解全校教师的教学教研产出。</w:t>
                  </w:r>
                  <w:r>
                    <w:br/>
                  </w:r>
                  <w:r>
                    <w:rPr>
                      <w:rFonts w:ascii="仿宋_GB2312" w:hAnsi="仿宋_GB2312" w:cs="仿宋_GB2312" w:eastAsia="仿宋_GB2312"/>
                      <w:sz w:val="16"/>
                      <w:color w:val="000000"/>
                    </w:rPr>
                    <w:t>2.产品采用Saas的服务模式，后台应用B/S架构设计，支持学校管理者在Windows、Linux、Android、iOS等多种不同的操作系统上通过网页浏览器登陆进行操作，可统计全校教师软件活跃数据、点评数据及课件上传等数据。</w:t>
                  </w:r>
                  <w:r>
                    <w:br/>
                  </w:r>
                  <w:r>
                    <w:rPr>
                      <w:rFonts w:ascii="仿宋_GB2312" w:hAnsi="仿宋_GB2312" w:cs="仿宋_GB2312" w:eastAsia="仿宋_GB2312"/>
                      <w:sz w:val="16"/>
                      <w:color w:val="000000"/>
                    </w:rPr>
                    <w:t>3.支持管理员及教师使用网页端和小程序端登录。通过教研数字化管理平台公众号可进入小程序端，支持查看数据信息和教师榜单等，并定期推送数据分析报表。</w:t>
                  </w:r>
                  <w:r>
                    <w:br/>
                  </w:r>
                  <w:r>
                    <w:rPr>
                      <w:rFonts w:ascii="仿宋_GB2312" w:hAnsi="仿宋_GB2312" w:cs="仿宋_GB2312" w:eastAsia="仿宋_GB2312"/>
                      <w:sz w:val="16"/>
                      <w:color w:val="000000"/>
                    </w:rPr>
                    <w:t>4.管理者通过学校数据可视化看板，查看学校云课件教案数、累计校本研修次数等情况，掌握学校教研关键数据（云课件和教案数量，校本课件、校本教案的数据），了解关键数据环比上周的的具体情况。</w:t>
                  </w:r>
                  <w:r>
                    <w:br/>
                  </w:r>
                  <w:r>
                    <w:rPr>
                      <w:rFonts w:ascii="仿宋_GB2312" w:hAnsi="仿宋_GB2312" w:cs="仿宋_GB2312" w:eastAsia="仿宋_GB2312"/>
                      <w:sz w:val="16"/>
                      <w:color w:val="000000"/>
                    </w:rPr>
                    <w:t>5.通过多维度分析学校的信息化教学应用情况，综合评估出信息化指数，并与全省均值进行对比，管理者可了解信息化教学进展。</w:t>
                  </w:r>
                  <w:r>
                    <w:br/>
                  </w:r>
                  <w:r>
                    <w:rPr>
                      <w:rFonts w:ascii="仿宋_GB2312" w:hAnsi="仿宋_GB2312" w:cs="仿宋_GB2312" w:eastAsia="仿宋_GB2312"/>
                      <w:sz w:val="16"/>
                      <w:color w:val="000000"/>
                    </w:rPr>
                    <w:t>6.信息化数据雷达图：将信息化教学数据分五个维度进行评估，分别为资源建设、校影响力、班级氛围、学情分析、校本研修，并与全省均值对比，学校信息化教学情况一目了然。</w:t>
                  </w:r>
                  <w:r>
                    <w:br/>
                  </w:r>
                  <w:r>
                    <w:rPr>
                      <w:rFonts w:ascii="仿宋_GB2312" w:hAnsi="仿宋_GB2312" w:cs="仿宋_GB2312" w:eastAsia="仿宋_GB2312"/>
                      <w:sz w:val="16"/>
                      <w:color w:val="000000"/>
                    </w:rPr>
                    <w:t>7.呈现「集体备课次数」、[评论研讨次数]、[授课次数]和「听课次数」的数据情况，环比上周数据。榜单更新热门集备主题，直观反映学校教研进展。</w:t>
                  </w:r>
                  <w:r>
                    <w:br/>
                  </w:r>
                  <w:r>
                    <w:rPr>
                      <w:rFonts w:ascii="仿宋_GB2312" w:hAnsi="仿宋_GB2312" w:cs="仿宋_GB2312" w:eastAsia="仿宋_GB2312"/>
                      <w:sz w:val="16"/>
                      <w:color w:val="000000"/>
                    </w:rPr>
                    <w:t>8.班级氛围数据情况：支持查看不同时间段班级氛围数据情况，包含全校课堂点评情况、班级总分榜、教师榜单等，方便管理者一目了然把控全校数据。</w:t>
                  </w:r>
                  <w:r>
                    <w:br/>
                  </w:r>
                  <w:r>
                    <w:rPr>
                      <w:rFonts w:ascii="仿宋_GB2312" w:hAnsi="仿宋_GB2312" w:cs="仿宋_GB2312" w:eastAsia="仿宋_GB2312"/>
                      <w:sz w:val="16"/>
                      <w:color w:val="000000"/>
                    </w:rPr>
                    <w:t>9.听评课数据统计导出：支持对不同评课维度得分进行统计，计算平均分并找出评分薄弱项，方便管理者针对性优化教学策略，同时支持查看全校的评课记录和得分详情，并可一键导出Excel表格，方便整理。</w:t>
                  </w:r>
                  <w:r>
                    <w:br/>
                  </w:r>
                  <w:r>
                    <w:rPr>
                      <w:rFonts w:ascii="仿宋_GB2312" w:hAnsi="仿宋_GB2312" w:cs="仿宋_GB2312" w:eastAsia="仿宋_GB2312"/>
                      <w:sz w:val="16"/>
                      <w:color w:val="000000"/>
                    </w:rPr>
                    <w:t>10.展示教师在线研修情况，包括教师备课时长和在线学习时长，支持与分别按工作日和周末统计的全省均值进行对比，掌握教师日常的备课和学习情况。</w:t>
                  </w:r>
                  <w:r>
                    <w:br/>
                  </w:r>
                  <w:r>
                    <w:rPr>
                      <w:rFonts w:ascii="仿宋_GB2312" w:hAnsi="仿宋_GB2312" w:cs="仿宋_GB2312" w:eastAsia="仿宋_GB2312"/>
                      <w:sz w:val="16"/>
                      <w:color w:val="000000"/>
                    </w:rPr>
                    <w:t>11.展示本校最新教研动态，包括集体备课、听课评课、校本资源建设动态，了解学校的教研最新进展。</w:t>
                  </w:r>
                  <w:r>
                    <w:br/>
                  </w:r>
                  <w:r>
                    <w:rPr>
                      <w:rFonts w:ascii="仿宋_GB2312" w:hAnsi="仿宋_GB2312" w:cs="仿宋_GB2312" w:eastAsia="仿宋_GB2312"/>
                      <w:sz w:val="16"/>
                      <w:color w:val="000000"/>
                    </w:rPr>
                    <w:t>12.教师考勤：具备教师GPS定位打卡考勤功能。学校管理员可设置考勤时间、考勤范围，还可以查看和导出考勤数据报表。教师可在移动端进行GPS考勤，到达学校范围后即激活打卡，支持入校、离校、迟到、早退等多种打卡类型。</w:t>
                  </w:r>
                  <w:r>
                    <w:br/>
                  </w:r>
                  <w:r>
                    <w:rPr>
                      <w:rFonts w:ascii="仿宋_GB2312" w:hAnsi="仿宋_GB2312" w:cs="仿宋_GB2312" w:eastAsia="仿宋_GB2312"/>
                      <w:sz w:val="16"/>
                      <w:color w:val="000000"/>
                    </w:rPr>
                    <w:t>13.展示本校教师产生的云课件、云教案数量，及校本资源库建设情况。通过榜单直观呈现教师产出的课件/教案被获取数，教师评价有根源。</w:t>
                  </w:r>
                  <w:r>
                    <w:br/>
                  </w:r>
                  <w:r>
                    <w:rPr>
                      <w:rFonts w:ascii="仿宋_GB2312" w:hAnsi="仿宋_GB2312" w:cs="仿宋_GB2312" w:eastAsia="仿宋_GB2312"/>
                      <w:sz w:val="16"/>
                      <w:color w:val="000000"/>
                    </w:rPr>
                    <w:t>14.支持管理者按照学段-学科-年级创建教师的教研组织结构，对教师做分组管理。支持设置教研组组长，并在教研组下设置多个备课组，添加对应的备课组成员，支持对教研组/备课组进行重命名和解散等操作。</w:t>
                  </w:r>
                  <w:r>
                    <w:br/>
                  </w:r>
                  <w:r>
                    <w:rPr>
                      <w:rFonts w:ascii="仿宋_GB2312" w:hAnsi="仿宋_GB2312" w:cs="仿宋_GB2312" w:eastAsia="仿宋_GB2312"/>
                      <w:sz w:val="16"/>
                      <w:color w:val="000000"/>
                    </w:rPr>
                    <w:t>15.听评课数据查看：教师可以查看个人听评课数据，包括个人平均分，累计听课节数，累计评课节数，同时可以分析评价维度的得分情况以及个人薄弱项，帮助老师提升信息化能力。</w:t>
                  </w:r>
                  <w:r>
                    <w:br/>
                  </w:r>
                  <w:r>
                    <w:rPr>
                      <w:rFonts w:ascii="仿宋_GB2312" w:hAnsi="仿宋_GB2312" w:cs="仿宋_GB2312" w:eastAsia="仿宋_GB2312"/>
                      <w:sz w:val="16"/>
                      <w:color w:val="000000"/>
                    </w:rPr>
                    <w:t>16.管理员可根据组织架构信息，自由选定教师发送学校通知。发送后，管理员可登录教研数字化管理平台后台实时查阅教师已读、未读情况。通知的发送、接收都可在“教研数字化管理平台”微信公众号中完成，随时随地进行通知的查阅和管理。</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视频展台器</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29</w:t>
                  </w: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6"/>
                      <w:color w:val="000000"/>
                    </w:rPr>
                    <w:t>1.采用≥800万像素摄像头；采用 USB五伏电源直接供电。</w:t>
                  </w:r>
                  <w:r>
                    <w:br/>
                  </w:r>
                  <w:r>
                    <w:rPr>
                      <w:rFonts w:ascii="仿宋_GB2312" w:hAnsi="仿宋_GB2312" w:cs="仿宋_GB2312" w:eastAsia="仿宋_GB2312"/>
                      <w:sz w:val="16"/>
                      <w:color w:val="000000"/>
                    </w:rPr>
                    <w:t>2.A4大小拍摄幅面，1080P动态视频预览达到30帧/秒。</w:t>
                  </w:r>
                  <w:r>
                    <w:br/>
                  </w:r>
                  <w:r>
                    <w:rPr>
                      <w:rFonts w:ascii="仿宋_GB2312" w:hAnsi="仿宋_GB2312" w:cs="仿宋_GB2312" w:eastAsia="仿宋_GB2312"/>
                      <w:sz w:val="16"/>
                      <w:color w:val="000000"/>
                    </w:rPr>
                    <w:t>3.支持展台成像画面实时批注，预设多种笔划粗细及颜色供选择。</w:t>
                  </w:r>
                  <w:r>
                    <w:br/>
                  </w:r>
                  <w:r>
                    <w:rPr>
                      <w:rFonts w:ascii="仿宋_GB2312" w:hAnsi="仿宋_GB2312" w:cs="仿宋_GB2312" w:eastAsia="仿宋_GB2312"/>
                      <w:sz w:val="16"/>
                      <w:color w:val="000000"/>
                    </w:rPr>
                    <w:t>4.展示托板正上方具备LED补光灯，保证展示区域的亮度及展示效果。</w:t>
                  </w:r>
                  <w:r>
                    <w:br/>
                  </w:r>
                  <w:r>
                    <w:rPr>
                      <w:rFonts w:ascii="仿宋_GB2312" w:hAnsi="仿宋_GB2312" w:cs="仿宋_GB2312" w:eastAsia="仿宋_GB2312"/>
                      <w:sz w:val="16"/>
                      <w:color w:val="000000"/>
                    </w:rPr>
                    <w:t>5.支持对展台画面进行放大、缩小、旋转、自适应、冻结画面等操作。</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教学备授课软件</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29</w:t>
                  </w: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6"/>
                      <w:color w:val="000000"/>
                    </w:rPr>
                    <w:t>★1. 软件为老师提供云空间，提供可升级至不少于 30T 空间使用。须提供相应的证明材料（包括但不限于测试报告、官网和功能截图等）。</w:t>
                  </w:r>
                  <w:r>
                    <w:br/>
                  </w:r>
                  <w:r>
                    <w:rPr>
                      <w:rFonts w:ascii="仿宋_GB2312" w:hAnsi="仿宋_GB2312" w:cs="仿宋_GB2312" w:eastAsia="仿宋_GB2312"/>
                      <w:sz w:val="16"/>
                      <w:color w:val="000000"/>
                    </w:rPr>
                    <w:t xml:space="preserve">2.采用备授课一体化框架设计，教师可根据教学场景自由切换类 PPT 界面的备课模式与触控交互教学模式，适用 于教室、办公室等不同教学环境，便于教师教学使用。                                                    </w:t>
                  </w:r>
                  <w:r>
                    <w:br/>
                  </w:r>
                  <w:r>
                    <w:rPr>
                      <w:rFonts w:ascii="仿宋_GB2312" w:hAnsi="仿宋_GB2312" w:cs="仿宋_GB2312" w:eastAsia="仿宋_GB2312"/>
                      <w:sz w:val="16"/>
                      <w:color w:val="000000"/>
                    </w:rPr>
                    <w:t>3.互动课件内容的编辑修改无需人为保存即可自动同步至云空间，可根据教师需要调整云空间自动同步的时间间 隔，避免教学资源的损坏、遗失。</w:t>
                  </w:r>
                  <w:r>
                    <w:br/>
                  </w:r>
                  <w:r>
                    <w:rPr>
                      <w:rFonts w:ascii="仿宋_GB2312" w:hAnsi="仿宋_GB2312" w:cs="仿宋_GB2312" w:eastAsia="仿宋_GB2312"/>
                      <w:sz w:val="16"/>
                      <w:color w:val="000000"/>
                    </w:rPr>
                    <w:t xml:space="preserve">4. 软件支持电子化听评课功能，老师可在授课模式下在线发起听评课，其他老师可通过二维码进行评价以及获 取课件，发起老师可在我的学校中查看历史评课记录并进行文档导出，至少支持 word 及 pdf 或其他常见的文档 格式等。            </w:t>
                  </w:r>
                  <w:r>
                    <w:br/>
                  </w:r>
                  <w:r>
                    <w:rPr>
                      <w:rFonts w:ascii="仿宋_GB2312" w:hAnsi="仿宋_GB2312" w:cs="仿宋_GB2312" w:eastAsia="仿宋_GB2312"/>
                      <w:sz w:val="16"/>
                      <w:color w:val="000000"/>
                    </w:rPr>
                    <w:t>5.提供直线、箭头、正方形、圆角四边形、平行四边形、圆形、等腰三角形、直角三角形、菱形、梯形、五边形等基本几何图形以及对话框、五角星、大括号、旗子等特殊图形，特殊图形插入后支持顶点位置编辑；图形总数 量不少于 40 种，可直接插入课件供教师使用。</w:t>
                  </w:r>
                  <w:r>
                    <w:br/>
                  </w:r>
                  <w:r>
                    <w:rPr>
                      <w:rFonts w:ascii="仿宋_GB2312" w:hAnsi="仿宋_GB2312" w:cs="仿宋_GB2312" w:eastAsia="仿宋_GB2312"/>
                      <w:sz w:val="16"/>
                      <w:color w:val="000000"/>
                    </w:rPr>
                    <w:t>6. 提供互动式教学课件资源，包含 学科教育各学段各地区教材版本不少于88个；包含学科教育各学段教材版本全部教学章节，及学科教育之外的专题教育、特殊教育等不同类型的丰富课件。</w:t>
                  </w:r>
                  <w:r>
                    <w:br/>
                  </w:r>
                  <w:r>
                    <w:rPr>
                      <w:rFonts w:ascii="仿宋_GB2312" w:hAnsi="仿宋_GB2312" w:cs="仿宋_GB2312" w:eastAsia="仿宋_GB2312"/>
                      <w:sz w:val="16"/>
                      <w:color w:val="000000"/>
                    </w:rPr>
                    <w:t>7.支持对音频、视频文件进行关键帧标记，可在音、视频进度条任意位置自由设置关键帧播放节点，便于快速定 位讲解关键教学内容。</w:t>
                  </w:r>
                  <w:r>
                    <w:br/>
                  </w:r>
                  <w:r>
                    <w:rPr>
                      <w:rFonts w:ascii="仿宋_GB2312" w:hAnsi="仿宋_GB2312" w:cs="仿宋_GB2312" w:eastAsia="仿宋_GB2312"/>
                      <w:sz w:val="16"/>
                      <w:color w:val="000000"/>
                    </w:rPr>
                    <w:t>★8. 为便于教师备课具备AI智能备课功能，可以在备课场景中搜索课件库课件资源，具有至少十万份课件资源，支持整份课件或按照课件页插入课件中；能按照元素类型思维导图、课堂活动选取需要的部分补充课件缺失的部分。须提供相应的证明材料（包括但不限于测试报告、官网和功能截图等）。</w:t>
                  </w:r>
                  <w:r>
                    <w:br/>
                  </w:r>
                  <w:r>
                    <w:rPr>
                      <w:rFonts w:ascii="仿宋_GB2312" w:hAnsi="仿宋_GB2312" w:cs="仿宋_GB2312" w:eastAsia="仿宋_GB2312"/>
                      <w:sz w:val="16"/>
                      <w:color w:val="000000"/>
                    </w:rPr>
                    <w:t xml:space="preserve">9. 软件内置 AI 纠错功能，可以对老师输入的英语文本的拼写、句型、语法等进行自动识别，并可一键纠错。   </w:t>
                  </w:r>
                  <w:r>
                    <w:br/>
                  </w:r>
                  <w:r>
                    <w:rPr>
                      <w:rFonts w:ascii="仿宋_GB2312" w:hAnsi="仿宋_GB2312" w:cs="仿宋_GB2312" w:eastAsia="仿宋_GB2312"/>
                      <w:sz w:val="16"/>
                      <w:color w:val="000000"/>
                    </w:rPr>
                    <w:t>10. 支持学校校本资源建设，方便共享，可支持多种类型资源上传，如 doc,pdf,ppt,xls,mp4,wac,ogg 等，同时支 持批量上传，资源支持按年纪、学科等维度批量搜索，支持资源查看预览，创建者可进行删除、更名等操作，同 时可以本地查看资源，也可选择插入校本资源库中的资源，实现高效共享。</w:t>
                  </w:r>
                  <w:r>
                    <w:br/>
                  </w:r>
                  <w:r>
                    <w:rPr>
                      <w:rFonts w:ascii="仿宋_GB2312" w:hAnsi="仿宋_GB2312" w:cs="仿宋_GB2312" w:eastAsia="仿宋_GB2312"/>
                      <w:sz w:val="16"/>
                      <w:color w:val="000000"/>
                    </w:rPr>
                    <w:t>11. 软件提供不少于 90 节党建微课视频，包括国家要求学习的革命、建设、改革、复兴等内容，支持在线点播 及下载，支持视频关键帧打点标记，播放过程中可一键跳转，同时支持对频频随时截图方便老师插入课件。</w:t>
                  </w:r>
                  <w:r>
                    <w:br/>
                  </w:r>
                  <w:r>
                    <w:rPr>
                      <w:rFonts w:ascii="仿宋_GB2312" w:hAnsi="仿宋_GB2312" w:cs="仿宋_GB2312" w:eastAsia="仿宋_GB2312"/>
                      <w:sz w:val="16"/>
                      <w:color w:val="000000"/>
                    </w:rPr>
                    <w:t>12.提供多种翻页按键布局，翻页按键可分布于屏幕单侧或左右两侧，支持上下翻页、课件页面预览及页面非线性 跳转。</w:t>
                  </w:r>
                  <w:r>
                    <w:br/>
                  </w:r>
                  <w:r>
                    <w:rPr>
                      <w:rFonts w:ascii="仿宋_GB2312" w:hAnsi="仿宋_GB2312" w:cs="仿宋_GB2312" w:eastAsia="仿宋_GB2312"/>
                      <w:sz w:val="16"/>
                      <w:color w:val="000000"/>
                    </w:rPr>
                    <w:t>13.支持课件内所有的元素对象创建超链接，可链接到对象所在课件的相关页面、网页、文档等。</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1.5P分体变频壁挂机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6"/>
                      <w:color w:val="000000"/>
                    </w:rPr>
                    <w:t>1、电源电压：220V。</w:t>
                  </w:r>
                  <w:r>
                    <w:br/>
                  </w:r>
                  <w:r>
                    <w:rPr>
                      <w:rFonts w:ascii="仿宋_GB2312" w:hAnsi="仿宋_GB2312" w:cs="仿宋_GB2312" w:eastAsia="仿宋_GB2312"/>
                      <w:sz w:val="16"/>
                      <w:color w:val="000000"/>
                    </w:rPr>
                    <w:t>2、额定制冷量：≥3500W。</w:t>
                  </w:r>
                  <w:r>
                    <w:br/>
                  </w:r>
                  <w:r>
                    <w:rPr>
                      <w:rFonts w:ascii="仿宋_GB2312" w:hAnsi="仿宋_GB2312" w:cs="仿宋_GB2312" w:eastAsia="仿宋_GB2312"/>
                      <w:sz w:val="16"/>
                      <w:color w:val="000000"/>
                    </w:rPr>
                    <w:t>3、额定制冷功率：≤850W。</w:t>
                  </w:r>
                  <w:r>
                    <w:br/>
                  </w:r>
                  <w:r>
                    <w:rPr>
                      <w:rFonts w:ascii="仿宋_GB2312" w:hAnsi="仿宋_GB2312" w:cs="仿宋_GB2312" w:eastAsia="仿宋_GB2312"/>
                      <w:sz w:val="16"/>
                      <w:color w:val="000000"/>
                    </w:rPr>
                    <w:t>4、额定制热量：≥5000W。</w:t>
                  </w:r>
                  <w:r>
                    <w:br/>
                  </w:r>
                  <w:r>
                    <w:rPr>
                      <w:rFonts w:ascii="仿宋_GB2312" w:hAnsi="仿宋_GB2312" w:cs="仿宋_GB2312" w:eastAsia="仿宋_GB2312"/>
                      <w:sz w:val="16"/>
                      <w:color w:val="000000"/>
                    </w:rPr>
                    <w:t>5、额定制热功率：≤1250W。</w:t>
                  </w:r>
                  <w:r>
                    <w:br/>
                  </w:r>
                  <w:r>
                    <w:rPr>
                      <w:rFonts w:ascii="仿宋_GB2312" w:hAnsi="仿宋_GB2312" w:cs="仿宋_GB2312" w:eastAsia="仿宋_GB2312"/>
                      <w:sz w:val="16"/>
                      <w:color w:val="000000"/>
                    </w:rPr>
                    <w:t>6、循环风量：≥720m³/h。</w:t>
                  </w:r>
                  <w:r>
                    <w:br/>
                  </w:r>
                  <w:r>
                    <w:rPr>
                      <w:rFonts w:ascii="仿宋_GB2312" w:hAnsi="仿宋_GB2312" w:cs="仿宋_GB2312" w:eastAsia="仿宋_GB2312"/>
                      <w:sz w:val="16"/>
                      <w:color w:val="000000"/>
                    </w:rPr>
                    <w:t>7、电辅热输入功率：≤1000W。</w:t>
                  </w:r>
                  <w:r>
                    <w:br/>
                  </w:r>
                  <w:r>
                    <w:rPr>
                      <w:rFonts w:ascii="仿宋_GB2312" w:hAnsi="仿宋_GB2312" w:cs="仿宋_GB2312" w:eastAsia="仿宋_GB2312"/>
                      <w:sz w:val="16"/>
                      <w:color w:val="000000"/>
                    </w:rPr>
                    <w:t>8、能效等级：一级；APF：≥5.30。</w:t>
                  </w:r>
                  <w:r>
                    <w:br/>
                  </w:r>
                  <w:r>
                    <w:rPr>
                      <w:rFonts w:ascii="仿宋_GB2312" w:hAnsi="仿宋_GB2312" w:cs="仿宋_GB2312" w:eastAsia="仿宋_GB2312"/>
                      <w:sz w:val="16"/>
                      <w:color w:val="000000"/>
                    </w:rPr>
                    <w:t>9、制冷季节耗电量：≤350kW·h。</w:t>
                  </w:r>
                  <w:r>
                    <w:br/>
                  </w:r>
                  <w:r>
                    <w:rPr>
                      <w:rFonts w:ascii="仿宋_GB2312" w:hAnsi="仿宋_GB2312" w:cs="仿宋_GB2312" w:eastAsia="仿宋_GB2312"/>
                      <w:sz w:val="16"/>
                      <w:color w:val="000000"/>
                    </w:rPr>
                    <w:t>10、制热季节耗电量：≤290kW·h。</w:t>
                  </w:r>
                  <w:r>
                    <w:br/>
                  </w:r>
                  <w:r>
                    <w:rPr>
                      <w:rFonts w:ascii="仿宋_GB2312" w:hAnsi="仿宋_GB2312" w:cs="仿宋_GB2312" w:eastAsia="仿宋_GB2312"/>
                      <w:sz w:val="16"/>
                      <w:color w:val="000000"/>
                    </w:rPr>
                    <w:t>11、内机高风档噪音：≤41dB。</w:t>
                  </w:r>
                  <w:r>
                    <w:br/>
                  </w:r>
                  <w:r>
                    <w:rPr>
                      <w:rFonts w:ascii="仿宋_GB2312" w:hAnsi="仿宋_GB2312" w:cs="仿宋_GB2312" w:eastAsia="仿宋_GB2312"/>
                      <w:sz w:val="16"/>
                      <w:color w:val="000000"/>
                    </w:rPr>
                    <w:t>12、外机高风档噪音：≤51dB。</w:t>
                  </w:r>
                  <w:r>
                    <w:br/>
                  </w:r>
                  <w:r>
                    <w:rPr>
                      <w:rFonts w:ascii="仿宋_GB2312" w:hAnsi="仿宋_GB2312" w:cs="仿宋_GB2312" w:eastAsia="仿宋_GB2312"/>
                      <w:sz w:val="16"/>
                      <w:color w:val="000000"/>
                    </w:rPr>
                    <w:t>13、支持一键实现扫风功能，同时具备一键防直吹功能，可自动调节导风角度，规避直吹送风弊端，提升使用舒适度。</w:t>
                  </w:r>
                  <w:r>
                    <w:br/>
                  </w:r>
                  <w:r>
                    <w:rPr>
                      <w:rFonts w:ascii="仿宋_GB2312" w:hAnsi="仿宋_GB2312" w:cs="仿宋_GB2312" w:eastAsia="仿宋_GB2312"/>
                      <w:sz w:val="16"/>
                      <w:color w:val="000000"/>
                    </w:rPr>
                    <w:t>14、整机风速调节档位数量大于2档，支持多档位精细化风速调节，可适配不同使用场景的风量需求，送风调节精准灵活。</w:t>
                  </w:r>
                  <w:r>
                    <w:br/>
                  </w:r>
                  <w:r>
                    <w:rPr>
                      <w:rFonts w:ascii="仿宋_GB2312" w:hAnsi="仿宋_GB2312" w:cs="仿宋_GB2312" w:eastAsia="仿宋_GB2312"/>
                      <w:sz w:val="16"/>
                      <w:color w:val="000000"/>
                    </w:rPr>
                    <w:t>15、整机室内机搭载全自动自清洁功能，可通过凝露、结霜、化霜、高温烘干全流程清洁蒸发器，有效去除机身灰尘、霉菌杂质；室外机配备专属风叶清洁除尘功能，可自动剥离外机风叶及冷凝器积尘，保障设备换热效率。</w:t>
                  </w:r>
                  <w:r>
                    <w:br/>
                  </w:r>
                  <w:r>
                    <w:rPr>
                      <w:rFonts w:ascii="仿宋_GB2312" w:hAnsi="仿宋_GB2312" w:cs="仿宋_GB2312" w:eastAsia="仿宋_GB2312"/>
                      <w:sz w:val="16"/>
                      <w:color w:val="000000"/>
                    </w:rPr>
                    <w:t>16、整机搭载专属省电节能模式，可智能动态调节压缩机运行频率、风机转速，优化设备运行逻辑，降低整机能耗损耗，在保障制冷制热效果的前提下，实现高效节能运行。</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2P变频挂机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54</w:t>
                  </w: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6"/>
                      <w:color w:val="000000"/>
                    </w:rPr>
                    <w:t>1、电源电压：220V。</w:t>
                  </w:r>
                  <w:r>
                    <w:br/>
                  </w:r>
                  <w:r>
                    <w:rPr>
                      <w:rFonts w:ascii="仿宋_GB2312" w:hAnsi="仿宋_GB2312" w:cs="仿宋_GB2312" w:eastAsia="仿宋_GB2312"/>
                      <w:sz w:val="16"/>
                      <w:color w:val="000000"/>
                    </w:rPr>
                    <w:t>2、额定制冷量：≥5050W。</w:t>
                  </w:r>
                  <w:r>
                    <w:br/>
                  </w:r>
                  <w:r>
                    <w:rPr>
                      <w:rFonts w:ascii="仿宋_GB2312" w:hAnsi="仿宋_GB2312" w:cs="仿宋_GB2312" w:eastAsia="仿宋_GB2312"/>
                      <w:sz w:val="16"/>
                      <w:color w:val="000000"/>
                    </w:rPr>
                    <w:t>3、额定制冷功率：≤1350W。</w:t>
                  </w:r>
                  <w:r>
                    <w:br/>
                  </w:r>
                  <w:r>
                    <w:rPr>
                      <w:rFonts w:ascii="仿宋_GB2312" w:hAnsi="仿宋_GB2312" w:cs="仿宋_GB2312" w:eastAsia="仿宋_GB2312"/>
                      <w:sz w:val="16"/>
                      <w:color w:val="000000"/>
                    </w:rPr>
                    <w:t>4、额定制热量：≥7250W。</w:t>
                  </w:r>
                  <w:r>
                    <w:br/>
                  </w:r>
                  <w:r>
                    <w:rPr>
                      <w:rFonts w:ascii="仿宋_GB2312" w:hAnsi="仿宋_GB2312" w:cs="仿宋_GB2312" w:eastAsia="仿宋_GB2312"/>
                      <w:sz w:val="16"/>
                      <w:color w:val="000000"/>
                    </w:rPr>
                    <w:t>5、额定制热功率：≤2000W。</w:t>
                  </w:r>
                  <w:r>
                    <w:br/>
                  </w:r>
                  <w:r>
                    <w:rPr>
                      <w:rFonts w:ascii="仿宋_GB2312" w:hAnsi="仿宋_GB2312" w:cs="仿宋_GB2312" w:eastAsia="仿宋_GB2312"/>
                      <w:sz w:val="16"/>
                      <w:color w:val="000000"/>
                    </w:rPr>
                    <w:t>6、循环风量：≥1000m³/h。</w:t>
                  </w:r>
                  <w:r>
                    <w:br/>
                  </w:r>
                  <w:r>
                    <w:rPr>
                      <w:rFonts w:ascii="仿宋_GB2312" w:hAnsi="仿宋_GB2312" w:cs="仿宋_GB2312" w:eastAsia="仿宋_GB2312"/>
                      <w:sz w:val="16"/>
                      <w:color w:val="000000"/>
                    </w:rPr>
                    <w:t>7、电辅热输入功率：≤1000W。</w:t>
                  </w:r>
                  <w:r>
                    <w:br/>
                  </w:r>
                  <w:r>
                    <w:rPr>
                      <w:rFonts w:ascii="仿宋_GB2312" w:hAnsi="仿宋_GB2312" w:cs="仿宋_GB2312" w:eastAsia="仿宋_GB2312"/>
                      <w:sz w:val="16"/>
                      <w:color w:val="000000"/>
                    </w:rPr>
                    <w:t>8、能效等级：一级；APF：≥4.80。</w:t>
                  </w:r>
                  <w:r>
                    <w:br/>
                  </w:r>
                  <w:r>
                    <w:rPr>
                      <w:rFonts w:ascii="仿宋_GB2312" w:hAnsi="仿宋_GB2312" w:cs="仿宋_GB2312" w:eastAsia="仿宋_GB2312"/>
                      <w:sz w:val="16"/>
                      <w:color w:val="000000"/>
                    </w:rPr>
                    <w:t>9、内机高风档噪音：≤43dB。</w:t>
                  </w:r>
                  <w:r>
                    <w:br/>
                  </w:r>
                  <w:r>
                    <w:rPr>
                      <w:rFonts w:ascii="仿宋_GB2312" w:hAnsi="仿宋_GB2312" w:cs="仿宋_GB2312" w:eastAsia="仿宋_GB2312"/>
                      <w:sz w:val="16"/>
                      <w:color w:val="000000"/>
                    </w:rPr>
                    <w:t>10、外机高风档噪音：≤54dB。</w:t>
                  </w:r>
                  <w:r>
                    <w:br/>
                  </w:r>
                  <w:r>
                    <w:rPr>
                      <w:rFonts w:ascii="仿宋_GB2312" w:hAnsi="仿宋_GB2312" w:cs="仿宋_GB2312" w:eastAsia="仿宋_GB2312"/>
                      <w:sz w:val="16"/>
                      <w:color w:val="000000"/>
                    </w:rPr>
                    <w:t>11、制冷季节耗电量：≤550kW·h。</w:t>
                  </w:r>
                  <w:r>
                    <w:br/>
                  </w:r>
                  <w:r>
                    <w:rPr>
                      <w:rFonts w:ascii="仿宋_GB2312" w:hAnsi="仿宋_GB2312" w:cs="仿宋_GB2312" w:eastAsia="仿宋_GB2312"/>
                      <w:sz w:val="16"/>
                      <w:color w:val="000000"/>
                    </w:rPr>
                    <w:t>12、制热季节耗电量：≤450kW·h。</w:t>
                  </w:r>
                  <w:r>
                    <w:br/>
                  </w:r>
                  <w:r>
                    <w:rPr>
                      <w:rFonts w:ascii="仿宋_GB2312" w:hAnsi="仿宋_GB2312" w:cs="仿宋_GB2312" w:eastAsia="仿宋_GB2312"/>
                      <w:sz w:val="16"/>
                      <w:color w:val="000000"/>
                    </w:rPr>
                    <w:t>13、支持一键实现扫风功能，同时具备一键防直吹功能，可自动调节导风角度，规避直吹送风弊端，提升使用舒适度。</w:t>
                  </w:r>
                  <w:r>
                    <w:br/>
                  </w:r>
                  <w:r>
                    <w:rPr>
                      <w:rFonts w:ascii="仿宋_GB2312" w:hAnsi="仿宋_GB2312" w:cs="仿宋_GB2312" w:eastAsia="仿宋_GB2312"/>
                      <w:sz w:val="16"/>
                      <w:color w:val="000000"/>
                    </w:rPr>
                    <w:t>14、整机风速调节档位数量大于2档，支持多档位精细化风速调节，可适配不同使用场景的风量需求，送风调节精准灵活。</w:t>
                  </w:r>
                  <w:r>
                    <w:br/>
                  </w:r>
                  <w:r>
                    <w:rPr>
                      <w:rFonts w:ascii="仿宋_GB2312" w:hAnsi="仿宋_GB2312" w:cs="仿宋_GB2312" w:eastAsia="仿宋_GB2312"/>
                      <w:sz w:val="16"/>
                      <w:color w:val="000000"/>
                    </w:rPr>
                    <w:t>15、整机室内机搭载全自动自清洁功能，可通过凝露、结霜、化霜、高温烘干全流程清洁蒸发器，有效去除机身灰尘、霉菌杂质；室外机配备专属风叶清洁除尘功能，可自动剥离外机风叶及冷凝器积尘，保障设备换热效率。</w:t>
                  </w:r>
                  <w:r>
                    <w:br/>
                  </w:r>
                  <w:r>
                    <w:rPr>
                      <w:rFonts w:ascii="仿宋_GB2312" w:hAnsi="仿宋_GB2312" w:cs="仿宋_GB2312" w:eastAsia="仿宋_GB2312"/>
                      <w:sz w:val="16"/>
                      <w:color w:val="000000"/>
                    </w:rPr>
                    <w:t>16、整机搭载专属省电节能模式，可智能动态调节压缩机运行频率、风机转速，优化设备运行逻辑，降低整机能耗损耗，在保障制冷制热效果的前提下，实现高效节能运行。</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附属件</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批</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6"/>
                      <w:color w:val="000000"/>
                    </w:rPr>
                    <w:t>空调包括拆除旧机放到指定位置，提供支架、漏电保护、延长管；智慧黑板包括拆除旧机到指定位置。</w:t>
                  </w:r>
                </w:p>
              </w:tc>
            </w:tr>
            <w:tr>
              <w:tc>
                <w:tcPr>
                  <w:tcW w:type="dxa" w:w="2545"/>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6"/>
                      <w:color w:val="000000"/>
                    </w:rPr>
                    <w:t>注：</w:t>
                  </w:r>
                  <w:r>
                    <w:rPr>
                      <w:rFonts w:ascii="仿宋_GB2312" w:hAnsi="仿宋_GB2312" w:cs="仿宋_GB2312" w:eastAsia="仿宋_GB2312"/>
                      <w:sz w:val="16"/>
                      <w:color w:val="000000"/>
                    </w:rPr>
                    <w:t>1.带“★”的核心产品的技术参数供应商应按要求提供相关证明材料，未提供相关证明材料或提供的证明材料不能证明其满足谈判文件要求视为无效响应。</w:t>
                  </w:r>
                  <w:r>
                    <w:br/>
                  </w:r>
                  <w:r>
                    <w:rPr>
                      <w:rFonts w:ascii="仿宋_GB2312" w:hAnsi="仿宋_GB2312" w:cs="仿宋_GB2312" w:eastAsia="仿宋_GB2312"/>
                      <w:sz w:val="16"/>
                      <w:color w:val="000000"/>
                    </w:rPr>
                    <w:t>2.本采购包（空调、智慧黑板）产品属于节能产品政府采购品目清单中应强制采购的产品范围，供应商应当提供国家确定的认证机构出具的、处于有效期之内的节能产品认证证书，否则作无效投标处理。</w:t>
                  </w:r>
                </w:p>
                <w:p>
                  <w:pPr>
                    <w:pStyle w:val="null3"/>
                    <w:ind w:firstLine="482"/>
                    <w:jc w:val="both"/>
                  </w:pPr>
                  <w:r>
                    <w:rPr>
                      <w:rFonts w:ascii="仿宋_GB2312" w:hAnsi="仿宋_GB2312" w:cs="仿宋_GB2312" w:eastAsia="仿宋_GB2312"/>
                      <w:sz w:val="24"/>
                      <w:b/>
                      <w:color w:val="333333"/>
                    </w:rPr>
                    <w:t>二、服务要求</w:t>
                  </w:r>
                </w:p>
                <w:p>
                  <w:pPr>
                    <w:pStyle w:val="null3"/>
                    <w:ind w:firstLine="480"/>
                    <w:jc w:val="left"/>
                  </w:pPr>
                  <w:r>
                    <w:rPr>
                      <w:rFonts w:ascii="仿宋_GB2312" w:hAnsi="仿宋_GB2312" w:cs="仿宋_GB2312" w:eastAsia="仿宋_GB2312"/>
                      <w:sz w:val="24"/>
                      <w:color w:val="333333"/>
                    </w:rPr>
                    <w:t>（一）供应商应随同货物提供相应的中文的技术文件。例如：产品目录、图纸、操作手册、使用说明、维护手册或服务指南等。</w:t>
                  </w:r>
                </w:p>
                <w:p>
                  <w:pPr>
                    <w:pStyle w:val="null3"/>
                    <w:ind w:firstLine="480"/>
                    <w:jc w:val="left"/>
                  </w:pPr>
                  <w:r>
                    <w:rPr>
                      <w:rFonts w:ascii="仿宋_GB2312" w:hAnsi="仿宋_GB2312" w:cs="仿宋_GB2312" w:eastAsia="仿宋_GB2312"/>
                      <w:sz w:val="24"/>
                      <w:color w:val="333333"/>
                    </w:rPr>
                    <w:t>（二）对于合同中有要求的货物，供应商还应提供下列服务：</w:t>
                  </w:r>
                </w:p>
                <w:p>
                  <w:pPr>
                    <w:pStyle w:val="null3"/>
                    <w:ind w:firstLine="480"/>
                    <w:jc w:val="left"/>
                  </w:pPr>
                  <w:r>
                    <w:rPr>
                      <w:rFonts w:ascii="仿宋_GB2312" w:hAnsi="仿宋_GB2312" w:cs="仿宋_GB2312" w:eastAsia="仿宋_GB2312"/>
                      <w:sz w:val="24"/>
                      <w:color w:val="333333"/>
                    </w:rPr>
                    <w:t>1.货物的现场安装、调试和启动监督；</w:t>
                  </w:r>
                </w:p>
                <w:p>
                  <w:pPr>
                    <w:pStyle w:val="null3"/>
                    <w:ind w:firstLine="480"/>
                    <w:jc w:val="left"/>
                  </w:pPr>
                  <w:r>
                    <w:rPr>
                      <w:rFonts w:ascii="仿宋_GB2312" w:hAnsi="仿宋_GB2312" w:cs="仿宋_GB2312" w:eastAsia="仿宋_GB2312"/>
                      <w:sz w:val="24"/>
                      <w:color w:val="333333"/>
                    </w:rPr>
                    <w:t>2.提供货物组装和维修所需的工具，提供货物调试所需的耗材等；</w:t>
                  </w:r>
                </w:p>
                <w:p>
                  <w:pPr>
                    <w:pStyle w:val="null3"/>
                    <w:ind w:firstLine="480"/>
                    <w:jc w:val="left"/>
                  </w:pPr>
                  <w:r>
                    <w:rPr>
                      <w:rFonts w:ascii="仿宋_GB2312" w:hAnsi="仿宋_GB2312" w:cs="仿宋_GB2312" w:eastAsia="仿宋_GB2312"/>
                      <w:sz w:val="24"/>
                      <w:color w:val="333333"/>
                    </w:rPr>
                    <w:t>3.在双方商定的一定期限内对所供货物实施运行监督、维修，但前提条件是该服务并不能免除供应商在质量保证期应承担的义务。</w:t>
                  </w:r>
                </w:p>
                <w:p>
                  <w:pPr>
                    <w:pStyle w:val="null3"/>
                    <w:ind w:firstLine="480"/>
                    <w:jc w:val="left"/>
                  </w:pPr>
                  <w:r>
                    <w:rPr>
                      <w:rFonts w:ascii="仿宋_GB2312" w:hAnsi="仿宋_GB2312" w:cs="仿宋_GB2312" w:eastAsia="仿宋_GB2312"/>
                      <w:sz w:val="24"/>
                      <w:color w:val="333333"/>
                    </w:rPr>
                    <w:t>4.技术支持服务。包含货物安装及调试等完成本项目所必需的全部工作。</w:t>
                  </w:r>
                </w:p>
                <w:p>
                  <w:pPr>
                    <w:pStyle w:val="null3"/>
                    <w:ind w:firstLine="480"/>
                    <w:jc w:val="left"/>
                  </w:pPr>
                  <w:r>
                    <w:rPr>
                      <w:rFonts w:ascii="仿宋_GB2312" w:hAnsi="仿宋_GB2312" w:cs="仿宋_GB2312" w:eastAsia="仿宋_GB2312"/>
                      <w:sz w:val="24"/>
                      <w:color w:val="333333"/>
                    </w:rPr>
                    <w:t>5.就货物的安装、启动、运营、维护对甲方人员进行培训。</w:t>
                  </w:r>
                </w:p>
                <w:p>
                  <w:pPr>
                    <w:pStyle w:val="null3"/>
                    <w:ind w:firstLine="480"/>
                    <w:jc w:val="both"/>
                  </w:pPr>
                  <w:r>
                    <w:rPr>
                      <w:rFonts w:ascii="仿宋_GB2312" w:hAnsi="仿宋_GB2312" w:cs="仿宋_GB2312" w:eastAsia="仿宋_GB2312"/>
                      <w:sz w:val="24"/>
                      <w:color w:val="333333"/>
                    </w:rPr>
                    <w:t>（三）伴随服务的费用已含在合同价中，不单独进行支付。</w:t>
                  </w:r>
                </w:p>
                <w:p>
                  <w:pPr>
                    <w:pStyle w:val="null3"/>
                    <w:ind w:firstLine="482"/>
                    <w:jc w:val="both"/>
                  </w:pPr>
                  <w:r>
                    <w:rPr>
                      <w:rFonts w:ascii="仿宋_GB2312" w:hAnsi="仿宋_GB2312" w:cs="仿宋_GB2312" w:eastAsia="仿宋_GB2312"/>
                      <w:sz w:val="24"/>
                      <w:b/>
                      <w:color w:val="000000"/>
                    </w:rPr>
                    <w:t>三、商务要求</w:t>
                  </w:r>
                </w:p>
                <w:p>
                  <w:pPr>
                    <w:pStyle w:val="null3"/>
                    <w:ind w:firstLine="482"/>
                    <w:jc w:val="both"/>
                  </w:pPr>
                  <w:r>
                    <w:rPr>
                      <w:rFonts w:ascii="仿宋_GB2312" w:hAnsi="仿宋_GB2312" w:cs="仿宋_GB2312" w:eastAsia="仿宋_GB2312"/>
                      <w:sz w:val="24"/>
                      <w:b/>
                      <w:color w:val="000000"/>
                    </w:rPr>
                    <w:t>（一）交货期：</w:t>
                  </w:r>
                  <w:r>
                    <w:rPr>
                      <w:rFonts w:ascii="仿宋_GB2312" w:hAnsi="仿宋_GB2312" w:cs="仿宋_GB2312" w:eastAsia="仿宋_GB2312"/>
                      <w:sz w:val="24"/>
                      <w:color w:val="333333"/>
                    </w:rPr>
                    <w:t>自合同签订之日起</w:t>
                  </w:r>
                  <w:r>
                    <w:rPr>
                      <w:rFonts w:ascii="仿宋_GB2312" w:hAnsi="仿宋_GB2312" w:cs="仿宋_GB2312" w:eastAsia="仿宋_GB2312"/>
                      <w:sz w:val="24"/>
                      <w:color w:val="333333"/>
                    </w:rPr>
                    <w:t>30日历天内完成所有产品的供货、安装、调试工作。</w:t>
                  </w:r>
                </w:p>
                <w:p>
                  <w:pPr>
                    <w:pStyle w:val="null3"/>
                    <w:ind w:firstLine="482"/>
                    <w:jc w:val="both"/>
                  </w:pPr>
                  <w:r>
                    <w:rPr>
                      <w:rFonts w:ascii="仿宋_GB2312" w:hAnsi="仿宋_GB2312" w:cs="仿宋_GB2312" w:eastAsia="仿宋_GB2312"/>
                      <w:sz w:val="24"/>
                      <w:b/>
                      <w:color w:val="000000"/>
                    </w:rPr>
                    <w:t>（二）交货地点：</w:t>
                  </w:r>
                  <w:r>
                    <w:rPr>
                      <w:rFonts w:ascii="仿宋_GB2312" w:hAnsi="仿宋_GB2312" w:cs="仿宋_GB2312" w:eastAsia="仿宋_GB2312"/>
                      <w:sz w:val="24"/>
                      <w:color w:val="000000"/>
                    </w:rPr>
                    <w:t>采购人指定地点。</w:t>
                  </w:r>
                </w:p>
                <w:p>
                  <w:pPr>
                    <w:pStyle w:val="null3"/>
                    <w:ind w:firstLine="482"/>
                    <w:jc w:val="left"/>
                  </w:pPr>
                  <w:r>
                    <w:rPr>
                      <w:rFonts w:ascii="仿宋_GB2312" w:hAnsi="仿宋_GB2312" w:cs="仿宋_GB2312" w:eastAsia="仿宋_GB2312"/>
                      <w:sz w:val="24"/>
                      <w:b/>
                      <w:color w:val="000000"/>
                    </w:rPr>
                    <w:t>（三）付款方式：</w:t>
                  </w:r>
                  <w:r>
                    <w:rPr>
                      <w:rFonts w:ascii="仿宋_GB2312" w:hAnsi="仿宋_GB2312" w:cs="仿宋_GB2312" w:eastAsia="仿宋_GB2312"/>
                      <w:sz w:val="24"/>
                      <w:color w:val="333333"/>
                    </w:rPr>
                    <w:t>项目交付且由甲方确认合格并收到供应商开具的发票后，达到付款条件起</w:t>
                  </w:r>
                  <w:r>
                    <w:rPr>
                      <w:rFonts w:ascii="仿宋_GB2312" w:hAnsi="仿宋_GB2312" w:cs="仿宋_GB2312" w:eastAsia="仿宋_GB2312"/>
                      <w:sz w:val="24"/>
                      <w:color w:val="333333"/>
                    </w:rPr>
                    <w:t>30个工作日内，支付合同总金额的100.0%</w:t>
                  </w:r>
                </w:p>
                <w:p>
                  <w:pPr>
                    <w:pStyle w:val="null3"/>
                    <w:ind w:firstLine="482"/>
                    <w:jc w:val="both"/>
                  </w:pPr>
                  <w:r>
                    <w:rPr>
                      <w:rFonts w:ascii="仿宋_GB2312" w:hAnsi="仿宋_GB2312" w:cs="仿宋_GB2312" w:eastAsia="仿宋_GB2312"/>
                      <w:sz w:val="24"/>
                      <w:b/>
                      <w:color w:val="000000"/>
                    </w:rPr>
                    <w:t>（四）其他：</w:t>
                  </w:r>
                </w:p>
                <w:p>
                  <w:pPr>
                    <w:pStyle w:val="null3"/>
                    <w:ind w:firstLine="480"/>
                    <w:jc w:val="both"/>
                  </w:pPr>
                  <w:r>
                    <w:rPr>
                      <w:rFonts w:ascii="仿宋_GB2312" w:hAnsi="仿宋_GB2312" w:cs="仿宋_GB2312" w:eastAsia="仿宋_GB2312"/>
                      <w:sz w:val="24"/>
                      <w:color w:val="333333"/>
                    </w:rPr>
                    <w:t>1、产品质保期：质保期</w:t>
                  </w:r>
                  <w:r>
                    <w:rPr>
                      <w:rFonts w:ascii="仿宋_GB2312" w:hAnsi="仿宋_GB2312" w:cs="仿宋_GB2312" w:eastAsia="仿宋_GB2312"/>
                      <w:sz w:val="24"/>
                      <w:color w:val="333333"/>
                    </w:rPr>
                    <w:t>不少于</w:t>
                  </w:r>
                  <w:r>
                    <w:rPr>
                      <w:rFonts w:ascii="仿宋_GB2312" w:hAnsi="仿宋_GB2312" w:cs="仿宋_GB2312" w:eastAsia="仿宋_GB2312"/>
                      <w:sz w:val="24"/>
                      <w:color w:val="333333"/>
                    </w:rPr>
                    <w:t>3年，且不得低于产品生产商对产品保修期标准。</w:t>
                  </w:r>
                </w:p>
                <w:p>
                  <w:pPr>
                    <w:pStyle w:val="null3"/>
                    <w:ind w:firstLine="480"/>
                    <w:jc w:val="both"/>
                  </w:pPr>
                  <w:r>
                    <w:rPr>
                      <w:rFonts w:ascii="仿宋_GB2312" w:hAnsi="仿宋_GB2312" w:cs="仿宋_GB2312" w:eastAsia="仿宋_GB2312"/>
                      <w:sz w:val="24"/>
                      <w:color w:val="333333"/>
                    </w:rPr>
                    <w:t>2、违约责任</w:t>
                  </w:r>
                </w:p>
                <w:p>
                  <w:pPr>
                    <w:pStyle w:val="null3"/>
                    <w:ind w:firstLine="480"/>
                    <w:jc w:val="both"/>
                  </w:pPr>
                  <w:r>
                    <w:rPr>
                      <w:rFonts w:ascii="仿宋_GB2312" w:hAnsi="仿宋_GB2312" w:cs="仿宋_GB2312" w:eastAsia="仿宋_GB2312"/>
                      <w:sz w:val="24"/>
                      <w:color w:val="333333"/>
                    </w:rPr>
                    <w:t>（</w:t>
                  </w:r>
                  <w:r>
                    <w:rPr>
                      <w:rFonts w:ascii="仿宋_GB2312" w:hAnsi="仿宋_GB2312" w:cs="仿宋_GB2312" w:eastAsia="仿宋_GB2312"/>
                      <w:sz w:val="24"/>
                      <w:color w:val="333333"/>
                    </w:rPr>
                    <w:t>1）按《中华人民共和国民法典》中的相关条款执行。</w:t>
                  </w:r>
                </w:p>
                <w:p>
                  <w:pPr>
                    <w:pStyle w:val="null3"/>
                    <w:ind w:firstLine="480"/>
                    <w:jc w:val="both"/>
                  </w:pPr>
                  <w:r>
                    <w:rPr>
                      <w:rFonts w:ascii="仿宋_GB2312" w:hAnsi="仿宋_GB2312" w:cs="仿宋_GB2312" w:eastAsia="仿宋_GB2312"/>
                      <w:sz w:val="24"/>
                      <w:color w:val="333333"/>
                    </w:rPr>
                    <w:t>（</w:t>
                  </w:r>
                  <w:r>
                    <w:rPr>
                      <w:rFonts w:ascii="仿宋_GB2312" w:hAnsi="仿宋_GB2312" w:cs="仿宋_GB2312" w:eastAsia="仿宋_GB2312"/>
                      <w:sz w:val="24"/>
                      <w:color w:val="333333"/>
                    </w:rPr>
                    <w:t>2）未按合同要求提供产品或设备质量不能满足技术要求，采购人有权终止合同，并对供方违约行为进行追究，同时按《中华人民共和国政府采购法》的有关规定进行处罚。</w:t>
                  </w:r>
                </w:p>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自合同签订之日起30日历天内完成所有产品的供货、安装、调试工作。</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进度款，项目交付且由甲方确认合格并收到供应商开具的发票后，达到付款条件起30个工作日内，支付合同总金额的100.0%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质保期不少于3年，且不得低于产品生产商对产品保修期标准。</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1.各供应商所有分项报价（与最后报价比例一致）同比例下浮。 2、询问、质疑、投诉的接收和处理严格按照《中华人民共和国政府采购法》《中华人民共和国政府采购法实施条例》《政府采购质疑和投诉办法》等规定办理。供应商对采购人或代理机构的质疑答复不满意，或者采购人或代理机构未在规定期限内作出答复的，可以在答复期满后15个工作日内向同级财政部门提起投诉。 根据《陕西省财政厅关于在全省开展电子化投诉工作有关事项的通知》（陕财办采函〔2022〕15 号），政府采购供应商可登录“陕西省政府采购综合管理平台”系统进行线上投诉。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提供2026年1月至今已缴纳的1个月的纳税证明或完税证明，依法免税的单位应提供相关证明材料。此项可提供基本资格条件承诺函。供应商需在项目电子化交易系统中按要求上传相应证明文件并进行电子签章。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授权书被授权人身份证</w:t>
            </w:r>
          </w:p>
        </w:tc>
        <w:tc>
          <w:tcPr>
            <w:tcW w:type="dxa" w:w="3322"/>
          </w:tcPr>
          <w:p>
            <w:pPr>
              <w:pStyle w:val="null3"/>
            </w:pPr>
            <w:r>
              <w:rPr>
                <w:rFonts w:ascii="仿宋_GB2312" w:hAnsi="仿宋_GB2312" w:cs="仿宋_GB2312" w:eastAsia="仿宋_GB2312"/>
              </w:rPr>
              <w:t>法定代表人授权书及被授权人身份证（法定代表人直接参加谈判的须提供其法定代表人身份证），非法人单位参照执行。供应商需在项目电子化交易系统中按要求上传相应证明文件并进行电子签章。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本合同包不接受联合体投标，提供非联合体投标声明。供应商需在项目电子化交易系统中按要求上传相应证明文件并进行电子签章。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（1）竞争性谈判响应文件封面 （2）响应函 （3）法定代表人（主要负责人）委托授权书\身份证明</w:t>
            </w:r>
          </w:p>
        </w:tc>
        <w:tc>
          <w:tcPr>
            <w:tcW w:type="dxa" w:w="1661"/>
          </w:tcPr>
          <w:p>
            <w:pPr>
              <w:pStyle w:val="null3"/>
            </w:pPr>
            <w:r>
              <w:rPr>
                <w:rFonts w:ascii="仿宋_GB2312" w:hAnsi="仿宋_GB2312" w:cs="仿宋_GB2312" w:eastAsia="仿宋_GB2312"/>
              </w:rPr>
              <w:t>中小企业声明函 商务应答表 供应商应提交的相关资格证明材料 报价表 响应文件封面 产品技术参数表 分项报价表.docx 供应商认为有必要补充说明的事项.docx 残疾人福利性单位声明函 标的清单 关于符合本国产品标准的声明函 供应商资格证明文件.docx 谈判方案.docx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中小企业声明函 商务应答表 供应商应提交的相关资格证明材料 报价表 响应文件封面 产品技术参数表 分项报价表.docx 供应商认为有必要补充说明的事项.docx 残疾人福利性单位声明函 标的清单 关于符合本国产品标准的声明函 供应商资格证明文件.docx 谈判方案.docx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竞争性谈判响应文件组成</w:t>
            </w:r>
          </w:p>
        </w:tc>
        <w:tc>
          <w:tcPr>
            <w:tcW w:type="dxa" w:w="3322"/>
          </w:tcPr>
          <w:p>
            <w:pPr>
              <w:pStyle w:val="null3"/>
            </w:pPr>
            <w:r>
              <w:rPr>
                <w:rFonts w:ascii="仿宋_GB2312" w:hAnsi="仿宋_GB2312" w:cs="仿宋_GB2312" w:eastAsia="仿宋_GB2312"/>
              </w:rPr>
              <w:t>竞争性谈判响应文件应包含竞争性谈判文件要求的所有内容</w:t>
            </w:r>
          </w:p>
        </w:tc>
        <w:tc>
          <w:tcPr>
            <w:tcW w:type="dxa" w:w="1661"/>
          </w:tcPr>
          <w:p>
            <w:pPr>
              <w:pStyle w:val="null3"/>
            </w:pPr>
            <w:r>
              <w:rPr>
                <w:rFonts w:ascii="仿宋_GB2312" w:hAnsi="仿宋_GB2312" w:cs="仿宋_GB2312" w:eastAsia="仿宋_GB2312"/>
              </w:rPr>
              <w:t>中小企业声明函 商务应答表 供应商应提交的相关资格证明材料 响应文件封面 产品技术参数表 分项报价表.docx 供应商认为有必要补充说明的事项.docx 残疾人福利性单位声明函 标的清单 关于符合本国产品标准的声明函 供应商资格证明文件.docx 谈判方案.docx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符合竞争性谈判文件的要求</w:t>
            </w:r>
          </w:p>
        </w:tc>
        <w:tc>
          <w:tcPr>
            <w:tcW w:type="dxa" w:w="1661"/>
          </w:tcPr>
          <w:p>
            <w:pPr>
              <w:pStyle w:val="null3"/>
            </w:pPr>
            <w:r>
              <w:rPr>
                <w:rFonts w:ascii="仿宋_GB2312" w:hAnsi="仿宋_GB2312" w:cs="仿宋_GB2312" w:eastAsia="仿宋_GB2312"/>
              </w:rPr>
              <w:t>中小企业声明函 商务应答表 供应商应提交的相关资格证明材料 响应文件封面 产品技术参数表 分项报价表.docx 供应商认为有必要补充说明的事项.docx 残疾人福利性单位声明函 标的清单 关于符合本国产品标准的声明函 供应商资格证明文件.docx 谈判方案.docx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（1）货币单位符合竞争性谈判文件要求 （2）报价符合唯一性要求 （3）未超出采购预算或最高限价</w:t>
            </w:r>
          </w:p>
        </w:tc>
        <w:tc>
          <w:tcPr>
            <w:tcW w:type="dxa" w:w="1661"/>
          </w:tcPr>
          <w:p>
            <w:pPr>
              <w:pStyle w:val="null3"/>
            </w:pPr>
            <w:r>
              <w:rPr>
                <w:rFonts w:ascii="仿宋_GB2312" w:hAnsi="仿宋_GB2312" w:cs="仿宋_GB2312" w:eastAsia="仿宋_GB2312"/>
              </w:rPr>
              <w:t>中小企业声明函 商务应答表 供应商应提交的相关资格证明材料 响应文件封面 产品技术参数表 分项报价表.docx 供应商认为有必要补充说明的事项.docx 残疾人福利性单位声明函 标的清单 关于符合本国产品标准的声明函 供应商资格证明文件.docx 谈判方案.docx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完全响应竞争性谈判文件要求的各项技术（服务）、商务实质性条款</w:t>
            </w:r>
          </w:p>
        </w:tc>
        <w:tc>
          <w:tcPr>
            <w:tcW w:type="dxa" w:w="1661"/>
          </w:tcPr>
          <w:p>
            <w:pPr>
              <w:pStyle w:val="null3"/>
            </w:pPr>
            <w:r>
              <w:rPr>
                <w:rFonts w:ascii="仿宋_GB2312" w:hAnsi="仿宋_GB2312" w:cs="仿宋_GB2312" w:eastAsia="仿宋_GB2312"/>
              </w:rPr>
              <w:t>中小企业声明函 商务应答表 供应商应提交的相关资格证明材料 响应文件封面 产品技术参数表 分项报价表.docx 供应商认为有必要补充说明的事项.docx 残疾人福利性单位声明函 标的清单 关于符合本国产品标准的声明函 供应商资格证明文件.docx 谈判方案.docx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完全理解并响应竞争性谈判文件合同条款的要求，且未含有采购人不能接受的附加条件</w:t>
            </w:r>
          </w:p>
        </w:tc>
        <w:tc>
          <w:tcPr>
            <w:tcW w:type="dxa" w:w="1661"/>
          </w:tcPr>
          <w:p>
            <w:pPr>
              <w:pStyle w:val="null3"/>
            </w:pPr>
            <w:r>
              <w:rPr>
                <w:rFonts w:ascii="仿宋_GB2312" w:hAnsi="仿宋_GB2312" w:cs="仿宋_GB2312" w:eastAsia="仿宋_GB2312"/>
              </w:rPr>
              <w:t>中小企业声明函 商务应答表 供应商应提交的相关资格证明材料 响应文件封面 产品技术参数表 分项报价表.docx 供应商认为有必要补充说明的事项.docx 残疾人福利性单位声明函 标的清单 关于符合本国产品标准的声明函 供应商资格证明文件.docx 谈判方案.docx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★号技术指标</w:t>
            </w:r>
          </w:p>
        </w:tc>
        <w:tc>
          <w:tcPr>
            <w:tcW w:type="dxa" w:w="3322"/>
          </w:tcPr>
          <w:p>
            <w:pPr>
              <w:pStyle w:val="null3"/>
            </w:pPr>
            <w:r>
              <w:rPr>
                <w:rFonts w:ascii="仿宋_GB2312" w:hAnsi="仿宋_GB2312" w:cs="仿宋_GB2312" w:eastAsia="仿宋_GB2312"/>
              </w:rPr>
              <w:t>应符合谈判文件第三章谈判项目技术、服务、商务及其他要求中★号技术指标参数，供应商未按要求提供相关证明材料或技术指标参数存在负偏离的，均按无效响应处理。</w:t>
            </w:r>
          </w:p>
        </w:tc>
        <w:tc>
          <w:tcPr>
            <w:tcW w:type="dxa" w:w="1661"/>
          </w:tcPr>
          <w:p>
            <w:pPr>
              <w:pStyle w:val="null3"/>
            </w:pPr>
            <w:r>
              <w:rPr>
                <w:rFonts w:ascii="仿宋_GB2312" w:hAnsi="仿宋_GB2312" w:cs="仿宋_GB2312" w:eastAsia="仿宋_GB2312"/>
              </w:rPr>
              <w:t>中小企业声明函 商务应答表 供应商应提交的相关资格证明材料 响应文件封面 产品技术参数表 分项报价表.docx 供应商认为有必要补充说明的事项.docx 残疾人福利性单位声明函 标的清单 关于符合本国产品标准的声明函 供应商资格证明文件.docx 谈判方案.docx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强制采购节能产品</w:t>
            </w:r>
          </w:p>
        </w:tc>
        <w:tc>
          <w:tcPr>
            <w:tcW w:type="dxa" w:w="3322"/>
          </w:tcPr>
          <w:p>
            <w:pPr>
              <w:pStyle w:val="null3"/>
            </w:pPr>
            <w:r>
              <w:rPr>
                <w:rFonts w:ascii="仿宋_GB2312" w:hAnsi="仿宋_GB2312" w:cs="仿宋_GB2312" w:eastAsia="仿宋_GB2312"/>
              </w:rPr>
              <w:t>应提供强制采购节能产品目录中的产品，同时提供经国家确定的认证机构出具的、处于有效期之内的强制节能产品认证证书，所投产品信息应与证书内容一致。</w:t>
            </w:r>
          </w:p>
        </w:tc>
        <w:tc>
          <w:tcPr>
            <w:tcW w:type="dxa" w:w="1661"/>
          </w:tcPr>
          <w:p>
            <w:pPr>
              <w:pStyle w:val="null3"/>
            </w:pPr>
            <w:r>
              <w:rPr>
                <w:rFonts w:ascii="仿宋_GB2312" w:hAnsi="仿宋_GB2312" w:cs="仿宋_GB2312" w:eastAsia="仿宋_GB2312"/>
              </w:rPr>
              <w:t>中小企业声明函 商务应答表 供应商应提交的相关资格证明材料 响应文件封面 产品技术参数表 分项报价表.docx 供应商认为有必要补充说明的事项.docx 残疾人福利性单位声明函 标的清单 关于符合本国产品标准的声明函 供应商资格证明文件.docx 谈判方案.docx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签章或盖章符合竞争性谈判文件要求，且无遗漏</w:t>
            </w:r>
          </w:p>
        </w:tc>
        <w:tc>
          <w:tcPr>
            <w:tcW w:type="dxa" w:w="1661"/>
          </w:tcPr>
          <w:p>
            <w:pPr>
              <w:pStyle w:val="null3"/>
            </w:pPr>
            <w:r>
              <w:rPr>
                <w:rFonts w:ascii="仿宋_GB2312" w:hAnsi="仿宋_GB2312" w:cs="仿宋_GB2312" w:eastAsia="仿宋_GB2312"/>
              </w:rPr>
              <w:t>中小企业声明函 商务应答表 供应商应提交的相关资格证明材料 响应文件封面 产品技术参数表 分项报价表.docx 供应商认为有必要补充说明的事项.docx 残疾人福利性单位声明函 标的清单 关于符合本国产品标准的声明函 供应商资格证明文件.docx 谈判方案.docx 响应函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符合竞争性谈判文件的要求</w:t>
            </w:r>
          </w:p>
        </w:tc>
        <w:tc>
          <w:tcPr>
            <w:tcW w:type="dxa" w:w="1661"/>
          </w:tcPr>
          <w:p>
            <w:pPr>
              <w:pStyle w:val="null3"/>
            </w:pPr>
            <w:r>
              <w:rPr>
                <w:rFonts w:ascii="仿宋_GB2312" w:hAnsi="仿宋_GB2312" w:cs="仿宋_GB2312" w:eastAsia="仿宋_GB2312"/>
              </w:rPr>
              <w:t>中小企业声明函 商务应答表 供应商应提交的相关资格证明材料 响应文件封面 产品技术参数表 分项报价表.docx 供应商认为有必要补充说明的事项.docx 残疾人福利性单位声明函 标的清单 关于符合本国产品标准的声明函 供应商资格证明文件.docx 谈判方案.docx 响应函 监狱企业的证明文件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完全理解并接受法律法规和竞争性谈判文件对供应商合法经营的各类规约和责任义务要求，没有出现法律法规或竞争性谈判文件规定的其他无效情形</w:t>
            </w:r>
          </w:p>
        </w:tc>
        <w:tc>
          <w:tcPr>
            <w:tcW w:type="dxa" w:w="1661"/>
          </w:tcPr>
          <w:p>
            <w:pPr>
              <w:pStyle w:val="null3"/>
            </w:pPr>
            <w:r>
              <w:rPr>
                <w:rFonts w:ascii="仿宋_GB2312" w:hAnsi="仿宋_GB2312" w:cs="仿宋_GB2312" w:eastAsia="仿宋_GB2312"/>
              </w:rPr>
              <w:t>中小企业声明函 商务应答表 供应商应提交的相关资格证明材料 响应文件封面 产品技术参数表 分项报价表.docx 供应商认为有必要补充说明的事项.docx 残疾人福利性单位声明函 标的清单 关于符合本国产品标准的声明函 供应商资格证明文件.docx 谈判方案.docx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详见附件：谈判方案.docx</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