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467A69">
      <w:pPr>
        <w:pStyle w:val="7"/>
        <w:jc w:val="both"/>
        <w:rPr>
          <w:rFonts w:hint="default" w:ascii="宋体" w:hAnsi="宋体" w:eastAsia="宋体" w:cs="宋体"/>
          <w:color w:val="000000"/>
          <w:lang w:val="en-US" w:eastAsia="zh-CN"/>
        </w:rPr>
      </w:pPr>
      <w:r>
        <w:rPr>
          <w:rFonts w:hint="eastAsia" w:ascii="宋体" w:hAnsi="宋体" w:eastAsia="宋体" w:cs="宋体"/>
          <w:b/>
          <w:bCs w:val="0"/>
          <w:sz w:val="32"/>
          <w:szCs w:val="32"/>
          <w:lang w:val="en-US" w:eastAsia="zh-CN"/>
        </w:rPr>
        <w:t xml:space="preserve">合同编号：    </w:t>
      </w:r>
      <w:r>
        <w:rPr>
          <w:rFonts w:hint="eastAsia" w:ascii="宋体" w:hAnsi="宋体" w:eastAsia="宋体" w:cs="宋体"/>
          <w:b/>
          <w:bCs w:val="0"/>
          <w:sz w:val="36"/>
          <w:szCs w:val="20"/>
          <w:lang w:val="en-US" w:eastAsia="zh-CN"/>
        </w:rPr>
        <w:t xml:space="preserve"> </w:t>
      </w:r>
      <w:r>
        <w:rPr>
          <w:rFonts w:hint="eastAsia" w:ascii="宋体" w:hAnsi="宋体" w:cs="宋体"/>
          <w:color w:val="000000"/>
          <w:lang w:val="en-US" w:eastAsia="zh-CN"/>
        </w:rPr>
        <w:t xml:space="preserve">    </w:t>
      </w:r>
    </w:p>
    <w:p w14:paraId="3A112FE2">
      <w:pPr>
        <w:pStyle w:val="3"/>
        <w:rPr>
          <w:rFonts w:hint="eastAsia" w:ascii="宋体" w:hAnsi="宋体" w:cs="宋体"/>
          <w:color w:val="auto"/>
          <w:szCs w:val="21"/>
          <w:highlight w:val="none"/>
        </w:rPr>
      </w:pPr>
    </w:p>
    <w:p w14:paraId="21515E3E">
      <w:pPr>
        <w:rPr>
          <w:rFonts w:hint="eastAsia"/>
        </w:rPr>
      </w:pPr>
    </w:p>
    <w:p w14:paraId="1D0C48BA">
      <w:pPr>
        <w:pStyle w:val="10"/>
        <w:spacing w:line="360" w:lineRule="auto"/>
        <w:jc w:val="center"/>
        <w:outlineLvl w:val="1"/>
        <w:rPr>
          <w:rFonts w:hint="eastAsia" w:ascii="宋体" w:hAnsi="宋体" w:eastAsia="宋体" w:cs="宋体"/>
          <w:b/>
          <w:sz w:val="36"/>
          <w:lang w:val="en-US" w:eastAsia="zh-CN"/>
        </w:rPr>
      </w:pPr>
      <w:r>
        <w:rPr>
          <w:rFonts w:hint="eastAsia" w:ascii="宋体" w:hAnsi="宋体" w:cs="宋体"/>
          <w:b/>
          <w:sz w:val="36"/>
          <w:lang w:val="en-US" w:eastAsia="zh-CN"/>
        </w:rPr>
        <w:t>2026年高新区沣太交汇上游左岸水毁修复工程</w:t>
      </w:r>
    </w:p>
    <w:p w14:paraId="5EC8EE34">
      <w:pPr>
        <w:pStyle w:val="10"/>
        <w:spacing w:line="360" w:lineRule="auto"/>
        <w:jc w:val="center"/>
        <w:outlineLvl w:val="1"/>
        <w:rPr>
          <w:rFonts w:hint="eastAsia" w:ascii="宋体" w:hAnsi="宋体" w:eastAsia="宋体" w:cs="宋体"/>
          <w:b/>
          <w:sz w:val="36"/>
          <w:lang w:val="en-US" w:eastAsia="zh-CN"/>
        </w:rPr>
      </w:pPr>
    </w:p>
    <w:p w14:paraId="06603D3F">
      <w:pPr>
        <w:pStyle w:val="10"/>
        <w:spacing w:line="360" w:lineRule="auto"/>
        <w:jc w:val="center"/>
        <w:outlineLvl w:val="1"/>
        <w:rPr>
          <w:rFonts w:hint="eastAsia" w:ascii="宋体" w:hAnsi="宋体" w:eastAsia="宋体" w:cs="宋体"/>
          <w:b/>
          <w:sz w:val="36"/>
          <w:lang w:val="en-US" w:eastAsia="zh-CN"/>
        </w:rPr>
      </w:pPr>
    </w:p>
    <w:p w14:paraId="54782412">
      <w:pPr>
        <w:pStyle w:val="10"/>
        <w:spacing w:line="360" w:lineRule="auto"/>
        <w:jc w:val="center"/>
        <w:outlineLvl w:val="1"/>
        <w:rPr>
          <w:rFonts w:hint="eastAsia" w:ascii="宋体" w:hAnsi="宋体" w:eastAsia="宋体" w:cs="宋体"/>
          <w:b/>
          <w:sz w:val="36"/>
          <w:lang w:val="en-US" w:eastAsia="zh-CN"/>
        </w:rPr>
      </w:pPr>
    </w:p>
    <w:p w14:paraId="174C4F1F">
      <w:pPr>
        <w:pStyle w:val="10"/>
        <w:spacing w:line="360" w:lineRule="auto"/>
        <w:jc w:val="center"/>
        <w:outlineLvl w:val="1"/>
        <w:rPr>
          <w:rFonts w:hint="eastAsia" w:ascii="宋体" w:hAnsi="宋体" w:eastAsia="宋体" w:cs="宋体"/>
          <w:b/>
          <w:sz w:val="36"/>
          <w:lang w:val="en-US" w:eastAsia="zh-CN"/>
        </w:rPr>
      </w:pPr>
    </w:p>
    <w:p w14:paraId="55198E8F">
      <w:pPr>
        <w:pStyle w:val="10"/>
        <w:spacing w:line="360" w:lineRule="auto"/>
        <w:jc w:val="center"/>
        <w:outlineLvl w:val="1"/>
        <w:rPr>
          <w:rFonts w:hint="eastAsia" w:ascii="宋体" w:hAnsi="宋体" w:eastAsia="宋体" w:cs="宋体"/>
          <w:b/>
          <w:sz w:val="36"/>
          <w:lang w:val="en-US" w:eastAsia="zh-CN"/>
        </w:rPr>
      </w:pPr>
    </w:p>
    <w:p w14:paraId="0425A020">
      <w:pPr>
        <w:pStyle w:val="10"/>
        <w:spacing w:line="360" w:lineRule="auto"/>
        <w:jc w:val="center"/>
        <w:outlineLvl w:val="1"/>
        <w:rPr>
          <w:rFonts w:hint="default" w:ascii="宋体" w:hAnsi="宋体" w:eastAsia="宋体" w:cs="宋体"/>
          <w:b/>
          <w:sz w:val="72"/>
          <w:szCs w:val="72"/>
          <w:lang w:val="en-US"/>
        </w:rPr>
      </w:pPr>
      <w:r>
        <w:rPr>
          <w:rFonts w:hint="eastAsia" w:ascii="宋体" w:hAnsi="宋体" w:eastAsia="宋体" w:cs="宋体"/>
          <w:b/>
          <w:sz w:val="72"/>
          <w:szCs w:val="72"/>
          <w:lang w:val="en-US" w:eastAsia="zh-CN"/>
        </w:rPr>
        <w:t>施工合同</w:t>
      </w:r>
    </w:p>
    <w:p w14:paraId="55F62B3C">
      <w:pPr>
        <w:pStyle w:val="10"/>
        <w:spacing w:line="360" w:lineRule="auto"/>
        <w:jc w:val="center"/>
        <w:outlineLvl w:val="1"/>
        <w:rPr>
          <w:rFonts w:hint="eastAsia" w:ascii="宋体" w:hAnsi="宋体" w:eastAsia="宋体" w:cs="宋体"/>
          <w:b/>
          <w:sz w:val="36"/>
        </w:rPr>
      </w:pPr>
    </w:p>
    <w:p w14:paraId="2C650321">
      <w:pPr>
        <w:pStyle w:val="10"/>
        <w:spacing w:line="360" w:lineRule="auto"/>
        <w:jc w:val="center"/>
        <w:outlineLvl w:val="1"/>
        <w:rPr>
          <w:rFonts w:hint="eastAsia" w:ascii="宋体" w:hAnsi="宋体" w:eastAsia="宋体" w:cs="宋体"/>
          <w:b/>
          <w:sz w:val="36"/>
        </w:rPr>
      </w:pPr>
    </w:p>
    <w:p w14:paraId="4257F1FF">
      <w:pPr>
        <w:pStyle w:val="10"/>
        <w:spacing w:line="360" w:lineRule="auto"/>
        <w:jc w:val="both"/>
        <w:outlineLvl w:val="1"/>
        <w:rPr>
          <w:rFonts w:hint="eastAsia" w:ascii="宋体" w:hAnsi="宋体" w:eastAsia="宋体" w:cs="宋体"/>
          <w:b/>
          <w:sz w:val="36"/>
        </w:rPr>
      </w:pPr>
    </w:p>
    <w:p w14:paraId="571F54DB">
      <w:pPr>
        <w:pStyle w:val="10"/>
        <w:spacing w:line="360" w:lineRule="auto"/>
        <w:jc w:val="center"/>
        <w:outlineLvl w:val="1"/>
        <w:rPr>
          <w:rFonts w:hint="eastAsia" w:ascii="宋体" w:hAnsi="宋体" w:eastAsia="宋体" w:cs="宋体"/>
          <w:b/>
          <w:sz w:val="36"/>
        </w:rPr>
      </w:pPr>
    </w:p>
    <w:p w14:paraId="08A7DF63">
      <w:pPr>
        <w:pStyle w:val="10"/>
        <w:spacing w:line="360" w:lineRule="auto"/>
        <w:jc w:val="center"/>
        <w:outlineLvl w:val="1"/>
        <w:rPr>
          <w:rFonts w:hint="eastAsia" w:ascii="宋体" w:hAnsi="宋体" w:eastAsia="宋体" w:cs="宋体"/>
          <w:b/>
          <w:sz w:val="36"/>
        </w:rPr>
      </w:pPr>
    </w:p>
    <w:p w14:paraId="096E6901">
      <w:pPr>
        <w:pStyle w:val="10"/>
        <w:spacing w:line="360" w:lineRule="auto"/>
        <w:jc w:val="center"/>
        <w:outlineLvl w:val="1"/>
        <w:rPr>
          <w:rFonts w:hint="eastAsia" w:ascii="宋体" w:hAnsi="宋体" w:eastAsia="宋体" w:cs="宋体"/>
          <w:b/>
          <w:sz w:val="36"/>
        </w:rPr>
      </w:pPr>
    </w:p>
    <w:p w14:paraId="06C1168C">
      <w:pPr>
        <w:pStyle w:val="10"/>
        <w:spacing w:line="360" w:lineRule="auto"/>
        <w:jc w:val="center"/>
        <w:outlineLvl w:val="1"/>
        <w:rPr>
          <w:rFonts w:hint="eastAsia" w:ascii="宋体" w:hAnsi="宋体" w:eastAsia="宋体" w:cs="宋体"/>
          <w:b/>
          <w:sz w:val="36"/>
        </w:rPr>
      </w:pPr>
    </w:p>
    <w:p w14:paraId="18EC4A92">
      <w:pPr>
        <w:pStyle w:val="10"/>
        <w:spacing w:line="600" w:lineRule="auto"/>
        <w:ind w:firstLine="1606" w:firstLineChars="500"/>
        <w:jc w:val="both"/>
        <w:outlineLvl w:val="1"/>
        <w:rPr>
          <w:rFonts w:hint="eastAsia" w:ascii="宋体" w:hAnsi="宋体" w:eastAsia="宋体" w:cs="宋体"/>
          <w:b/>
          <w:sz w:val="32"/>
          <w:szCs w:val="32"/>
          <w:u w:val="single"/>
          <w:lang w:val="en-US" w:eastAsia="zh-CN"/>
        </w:rPr>
      </w:pPr>
      <w:r>
        <w:rPr>
          <w:rFonts w:hint="eastAsia" w:ascii="宋体" w:hAnsi="宋体" w:eastAsia="宋体" w:cs="宋体"/>
          <w:b/>
          <w:sz w:val="32"/>
          <w:szCs w:val="32"/>
          <w:lang w:val="en-US" w:eastAsia="zh-CN"/>
        </w:rPr>
        <w:t>发包人：</w:t>
      </w:r>
      <w:r>
        <w:rPr>
          <w:rFonts w:hint="eastAsia" w:ascii="宋体" w:hAnsi="宋体"/>
          <w:sz w:val="32"/>
          <w:szCs w:val="32"/>
          <w:highlight w:val="none"/>
          <w:u w:val="single"/>
          <w:lang w:val="en-US" w:eastAsia="zh-CN"/>
        </w:rPr>
        <w:t xml:space="preserve">                      </w:t>
      </w:r>
    </w:p>
    <w:p w14:paraId="71239F6F">
      <w:pPr>
        <w:autoSpaceDE w:val="0"/>
        <w:autoSpaceDN w:val="0"/>
        <w:spacing w:line="600" w:lineRule="auto"/>
        <w:ind w:firstLine="1606" w:firstLineChars="500"/>
        <w:jc w:val="left"/>
        <w:rPr>
          <w:rFonts w:hint="default" w:ascii="宋体" w:hAnsi="宋体" w:eastAsia="宋体" w:cs="宋体"/>
          <w:b/>
          <w:sz w:val="32"/>
          <w:szCs w:val="32"/>
          <w:u w:val="single"/>
          <w:lang w:val="en-US" w:eastAsia="zh-CN"/>
        </w:rPr>
      </w:pPr>
      <w:r>
        <w:rPr>
          <w:rFonts w:hint="eastAsia" w:ascii="宋体" w:hAnsi="宋体" w:eastAsia="宋体" w:cs="宋体"/>
          <w:b/>
          <w:sz w:val="32"/>
          <w:szCs w:val="32"/>
          <w:lang w:val="en-US" w:eastAsia="zh-CN"/>
        </w:rPr>
        <w:t>承包人：</w:t>
      </w:r>
      <w:r>
        <w:rPr>
          <w:rFonts w:hint="eastAsia" w:ascii="宋体" w:hAnsi="宋体"/>
          <w:sz w:val="32"/>
          <w:szCs w:val="32"/>
          <w:highlight w:val="none"/>
          <w:u w:val="single"/>
          <w:lang w:val="en-US" w:eastAsia="zh-CN"/>
        </w:rPr>
        <w:t xml:space="preserve">                      </w:t>
      </w:r>
    </w:p>
    <w:p w14:paraId="3DDE293F">
      <w:pPr>
        <w:pStyle w:val="10"/>
        <w:spacing w:line="600" w:lineRule="auto"/>
        <w:ind w:firstLine="1606" w:firstLineChars="500"/>
        <w:jc w:val="both"/>
        <w:outlineLvl w:val="1"/>
        <w:rPr>
          <w:rFonts w:hint="default" w:ascii="宋体" w:hAnsi="宋体" w:eastAsia="宋体" w:cs="宋体"/>
          <w:b/>
          <w:sz w:val="32"/>
          <w:szCs w:val="32"/>
          <w:lang w:val="en-US" w:eastAsia="zh-CN"/>
        </w:rPr>
      </w:pPr>
      <w:r>
        <w:rPr>
          <w:rFonts w:hint="eastAsia" w:ascii="宋体" w:hAnsi="宋体" w:eastAsia="宋体" w:cs="宋体"/>
          <w:b/>
          <w:sz w:val="32"/>
          <w:szCs w:val="32"/>
          <w:lang w:val="en-US" w:eastAsia="zh-CN"/>
        </w:rPr>
        <w:t>签订日期：</w:t>
      </w:r>
      <w:r>
        <w:rPr>
          <w:rFonts w:hint="eastAsia" w:ascii="宋体" w:hAnsi="宋体"/>
          <w:sz w:val="32"/>
          <w:szCs w:val="32"/>
          <w:highlight w:val="none"/>
          <w:u w:val="single"/>
          <w:lang w:val="en-US" w:eastAsia="zh-CN"/>
        </w:rPr>
        <w:t xml:space="preserve">                    </w:t>
      </w:r>
    </w:p>
    <w:p w14:paraId="2ADF6AF9">
      <w:pPr>
        <w:pStyle w:val="4"/>
        <w:shd w:val="clear" w:color="auto" w:fill="FFFFFF"/>
        <w:spacing w:before="156" w:beforeLines="50" w:line="360" w:lineRule="auto"/>
        <w:jc w:val="center"/>
        <w:rPr>
          <w:rFonts w:hAnsi="宋体"/>
          <w:b/>
          <w:bCs/>
          <w:highlight w:val="none"/>
        </w:rPr>
      </w:pPr>
      <w:r>
        <w:rPr>
          <w:rFonts w:hint="eastAsia" w:hAnsi="宋体"/>
          <w:b/>
          <w:bCs/>
          <w:highlight w:val="none"/>
          <w:lang w:val="en-US" w:eastAsia="zh-CN"/>
        </w:rPr>
        <w:br w:type="page"/>
      </w:r>
      <w:r>
        <w:rPr>
          <w:rFonts w:hint="eastAsia" w:hAnsi="宋体"/>
          <w:b/>
          <w:bCs/>
          <w:sz w:val="28"/>
          <w:szCs w:val="28"/>
          <w:highlight w:val="none"/>
          <w:lang w:val="en-US" w:eastAsia="zh-CN"/>
        </w:rPr>
        <w:t xml:space="preserve">第一部分  </w:t>
      </w:r>
      <w:r>
        <w:rPr>
          <w:rFonts w:hint="eastAsia" w:hAnsi="宋体"/>
          <w:b/>
          <w:bCs/>
          <w:sz w:val="28"/>
          <w:szCs w:val="28"/>
          <w:highlight w:val="none"/>
        </w:rPr>
        <w:t>合同协议书</w:t>
      </w:r>
    </w:p>
    <w:p w14:paraId="5555580A">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(发包人名称，以下简称“发包人”)为实施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(项目名称)，已接受</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(承包人名称，以下简称“承包人”)对该项目</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(项目名称)施工的投标</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确定其为中标人。</w:t>
      </w:r>
      <w:r>
        <w:rPr>
          <w:rFonts w:hint="eastAsia" w:ascii="宋体" w:hAnsi="宋体" w:eastAsia="宋体" w:cs="宋体"/>
          <w:sz w:val="21"/>
          <w:szCs w:val="21"/>
          <w:highlight w:val="none"/>
        </w:rPr>
        <w:t>发包人和承包人共同达成如下协议。</w:t>
      </w:r>
    </w:p>
    <w:p w14:paraId="4894C845">
      <w:pPr>
        <w:autoSpaceDE w:val="0"/>
        <w:autoSpaceDN w:val="0"/>
        <w:spacing w:line="360" w:lineRule="auto"/>
        <w:ind w:firstLine="420" w:firstLineChars="200"/>
        <w:jc w:val="left"/>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项目概况：</w:t>
      </w:r>
      <w:r>
        <w:rPr>
          <w:rFonts w:hint="eastAsia" w:ascii="宋体" w:hAnsi="宋体" w:eastAsia="宋体" w:cs="宋体"/>
          <w:sz w:val="21"/>
          <w:szCs w:val="21"/>
          <w:highlight w:val="none"/>
          <w:u w:val="single"/>
          <w:lang w:val="en-US" w:eastAsia="zh-CN"/>
        </w:rPr>
        <w:t xml:space="preserve">                          </w:t>
      </w:r>
    </w:p>
    <w:p w14:paraId="0F34CB54">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2、下列文件应视为构成合同文件的组成部分：</w:t>
      </w:r>
    </w:p>
    <w:p w14:paraId="601ACD95">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(1)本协议书及合同</w:t>
      </w:r>
      <w:r>
        <w:rPr>
          <w:rFonts w:hint="eastAsia" w:ascii="宋体" w:hAnsi="宋体" w:eastAsia="宋体" w:cs="宋体"/>
          <w:sz w:val="21"/>
          <w:szCs w:val="21"/>
          <w:highlight w:val="none"/>
          <w:lang w:val="en-US" w:eastAsia="zh-CN"/>
        </w:rPr>
        <w:t>相关</w:t>
      </w:r>
      <w:r>
        <w:rPr>
          <w:rFonts w:hint="eastAsia" w:ascii="宋体" w:hAnsi="宋体" w:eastAsia="宋体" w:cs="宋体"/>
          <w:sz w:val="21"/>
          <w:szCs w:val="21"/>
          <w:highlight w:val="none"/>
        </w:rPr>
        <w:t>附件(含评标期间和合同谈判过程中的澄清文件和补充资料)；</w:t>
      </w:r>
    </w:p>
    <w:p w14:paraId="5CBD56A1">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成交</w:t>
      </w:r>
      <w:r>
        <w:rPr>
          <w:rFonts w:hint="eastAsia" w:ascii="宋体" w:hAnsi="宋体" w:eastAsia="宋体" w:cs="宋体"/>
          <w:sz w:val="21"/>
          <w:szCs w:val="21"/>
          <w:highlight w:val="none"/>
        </w:rPr>
        <w:t>通知书；</w:t>
      </w:r>
    </w:p>
    <w:p w14:paraId="78051482">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ascii="宋体" w:hAnsi="宋体" w:cs="宋体"/>
          <w:sz w:val="21"/>
          <w:szCs w:val="21"/>
          <w:highlight w:val="none"/>
          <w:lang w:eastAsia="zh-CN"/>
        </w:rPr>
        <w:t>投标函及投标函附录</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如有</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w:t>
      </w:r>
    </w:p>
    <w:p w14:paraId="06448610">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(4)专用合同条款；</w:t>
      </w:r>
    </w:p>
    <w:p w14:paraId="101E485F">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)通用合同条款；</w:t>
      </w:r>
    </w:p>
    <w:p w14:paraId="4147943C">
      <w:pPr>
        <w:autoSpaceDE w:val="0"/>
        <w:autoSpaceDN w:val="0"/>
        <w:spacing w:line="360" w:lineRule="auto"/>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技术标准和要求（合同技术条款）</w:t>
      </w:r>
      <w:r>
        <w:rPr>
          <w:rFonts w:hint="eastAsia" w:ascii="宋体" w:hAnsi="宋体" w:eastAsia="宋体" w:cs="宋体"/>
          <w:sz w:val="21"/>
          <w:szCs w:val="21"/>
          <w:highlight w:val="none"/>
          <w:lang w:eastAsia="zh-CN"/>
        </w:rPr>
        <w:t>；</w:t>
      </w:r>
    </w:p>
    <w:p w14:paraId="1EE73996">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)图纸；</w:t>
      </w:r>
    </w:p>
    <w:p w14:paraId="5A7DA332">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)已标价工程量清单；</w:t>
      </w:r>
    </w:p>
    <w:p w14:paraId="3C57D213">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)其他合同文件。</w:t>
      </w:r>
    </w:p>
    <w:p w14:paraId="2896FA3C">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上述文件互相补充和解释。如</w:t>
      </w:r>
      <w:r>
        <w:rPr>
          <w:rFonts w:hint="eastAsia" w:ascii="宋体" w:hAnsi="宋体" w:eastAsia="宋体" w:cs="宋体"/>
          <w:sz w:val="21"/>
          <w:szCs w:val="21"/>
          <w:highlight w:val="none"/>
          <w:lang w:val="en-US" w:eastAsia="zh-CN"/>
        </w:rPr>
        <w:t>有不明确</w:t>
      </w:r>
      <w:r>
        <w:rPr>
          <w:rFonts w:hint="eastAsia" w:ascii="宋体" w:hAnsi="宋体" w:eastAsia="宋体" w:cs="宋体"/>
          <w:sz w:val="21"/>
          <w:szCs w:val="21"/>
          <w:highlight w:val="none"/>
        </w:rPr>
        <w:t>或不一致之处，以</w:t>
      </w:r>
      <w:r>
        <w:rPr>
          <w:rFonts w:hint="eastAsia" w:ascii="宋体" w:hAnsi="宋体" w:eastAsia="宋体" w:cs="宋体"/>
          <w:sz w:val="21"/>
          <w:szCs w:val="21"/>
          <w:highlight w:val="none"/>
          <w:lang w:val="en-US" w:eastAsia="zh-CN"/>
        </w:rPr>
        <w:t>合同约定次序</w:t>
      </w:r>
      <w:r>
        <w:rPr>
          <w:rFonts w:hint="eastAsia" w:ascii="宋体" w:hAnsi="宋体" w:eastAsia="宋体" w:cs="宋体"/>
          <w:sz w:val="21"/>
          <w:szCs w:val="21"/>
          <w:highlight w:val="none"/>
        </w:rPr>
        <w:t>在先者为准。</w:t>
      </w:r>
    </w:p>
    <w:p w14:paraId="4423F85B">
      <w:pPr>
        <w:autoSpaceDE w:val="0"/>
        <w:autoSpaceDN w:val="0"/>
        <w:spacing w:line="360" w:lineRule="auto"/>
        <w:ind w:left="359" w:leftChars="171" w:firstLine="105" w:firstLineChars="50"/>
        <w:jc w:val="left"/>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3、签约合同价：人民币(大写)</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元(￥</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none"/>
          <w:lang w:val="en-US" w:eastAsia="zh-CN"/>
        </w:rPr>
        <w:t>元</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本合同价款采用</w:t>
      </w:r>
      <w:r>
        <w:rPr>
          <w:rFonts w:hint="eastAsia" w:ascii="宋体" w:hAnsi="宋体" w:eastAsia="宋体" w:cs="宋体"/>
          <w:sz w:val="21"/>
          <w:szCs w:val="21"/>
          <w:highlight w:val="none"/>
          <w:u w:val="single"/>
          <w:lang w:val="en-US" w:eastAsia="zh-CN"/>
        </w:rPr>
        <w:t xml:space="preserve"> 固定综合单价 </w:t>
      </w:r>
      <w:r>
        <w:rPr>
          <w:rFonts w:hint="eastAsia" w:ascii="宋体" w:hAnsi="宋体" w:eastAsia="宋体" w:cs="宋体"/>
          <w:sz w:val="21"/>
          <w:szCs w:val="21"/>
          <w:highlight w:val="none"/>
          <w:u w:val="none"/>
          <w:lang w:val="en-US" w:eastAsia="zh-CN"/>
        </w:rPr>
        <w:t>方式确定。</w:t>
      </w:r>
    </w:p>
    <w:p w14:paraId="64DDF6BB">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4、承包人项目经理：</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7915186">
      <w:pPr>
        <w:autoSpaceDE w:val="0"/>
        <w:autoSpaceDN w:val="0"/>
        <w:spacing w:line="360" w:lineRule="auto"/>
        <w:ind w:firstLine="420" w:firstLineChars="200"/>
        <w:jc w:val="lef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5、工程质量符合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标准。</w:t>
      </w:r>
    </w:p>
    <w:p w14:paraId="1A73DE4F">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6、承包人承诺按合同约定承担工程的实施、完成及缺陷修复。</w:t>
      </w:r>
    </w:p>
    <w:p w14:paraId="51B6AEBE">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7、发包人承诺按合同约定的条件、时间和方式向承包人支付合同价款。</w:t>
      </w:r>
    </w:p>
    <w:p w14:paraId="54A3DC4A">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8、承包人应按照监理人指示开工，工期为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日历天。</w:t>
      </w:r>
    </w:p>
    <w:p w14:paraId="7D1C1FEE">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9、本协议书正本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份、副本</w:t>
      </w:r>
      <w:r>
        <w:rPr>
          <w:rFonts w:hint="eastAsia" w:ascii="宋体" w:hAnsi="宋体" w:eastAsia="宋体" w:cs="宋体"/>
          <w:b/>
          <w:bCs/>
          <w:sz w:val="21"/>
          <w:szCs w:val="21"/>
          <w:highlight w:val="none"/>
          <w:u w:val="single"/>
        </w:rPr>
        <w:t xml:space="preserve">     </w:t>
      </w:r>
      <w:r>
        <w:rPr>
          <w:rFonts w:hint="eastAsia" w:ascii="宋体" w:hAnsi="宋体" w:eastAsia="宋体" w:cs="宋体"/>
          <w:sz w:val="21"/>
          <w:szCs w:val="21"/>
          <w:highlight w:val="none"/>
        </w:rPr>
        <w:t>份,合同双方各执正本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份,副本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份,当正本与副本的内容不一致时,以正本为准。</w:t>
      </w:r>
    </w:p>
    <w:p w14:paraId="3C298BE6">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10、合同未尽事宜，双方另行签订补充协议。补充协议是合同组成部分。</w:t>
      </w:r>
    </w:p>
    <w:p w14:paraId="1E01CC58">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tbl>
      <w:tblPr>
        <w:tblStyle w:val="8"/>
        <w:tblW w:w="0" w:type="auto"/>
        <w:tblInd w:w="0" w:type="dxa"/>
        <w:tblLayout w:type="fixed"/>
        <w:tblCellMar>
          <w:top w:w="0" w:type="dxa"/>
          <w:left w:w="108" w:type="dxa"/>
          <w:bottom w:w="0" w:type="dxa"/>
          <w:right w:w="108" w:type="dxa"/>
        </w:tblCellMar>
      </w:tblPr>
      <w:tblGrid>
        <w:gridCol w:w="4758"/>
        <w:gridCol w:w="4803"/>
      </w:tblGrid>
      <w:tr w14:paraId="7EC1BFDD">
        <w:tblPrEx>
          <w:tblCellMar>
            <w:top w:w="0" w:type="dxa"/>
            <w:left w:w="108" w:type="dxa"/>
            <w:bottom w:w="0" w:type="dxa"/>
            <w:right w:w="108" w:type="dxa"/>
          </w:tblCellMar>
        </w:tblPrEx>
        <w:trPr>
          <w:trHeight w:val="648" w:hRule="atLeast"/>
        </w:trPr>
        <w:tc>
          <w:tcPr>
            <w:tcW w:w="4758" w:type="dxa"/>
            <w:noWrap w:val="0"/>
            <w:vAlign w:val="center"/>
          </w:tcPr>
          <w:p w14:paraId="718449D6">
            <w:pPr>
              <w:tabs>
                <w:tab w:val="left" w:pos="5760"/>
              </w:tabs>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发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c>
          <w:tcPr>
            <w:tcW w:w="4803" w:type="dxa"/>
            <w:noWrap w:val="0"/>
            <w:vAlign w:val="center"/>
          </w:tcPr>
          <w:p w14:paraId="147EFE32">
            <w:pPr>
              <w:tabs>
                <w:tab w:val="left" w:pos="5760"/>
              </w:tabs>
              <w:spacing w:line="360" w:lineRule="auto"/>
              <w:ind w:left="840" w:hanging="735" w:hangingChars="350"/>
              <w:rPr>
                <w:rFonts w:hint="eastAsia" w:ascii="宋体" w:hAnsi="宋体" w:eastAsia="宋体" w:cs="宋体"/>
                <w:sz w:val="21"/>
                <w:szCs w:val="21"/>
                <w:highlight w:val="none"/>
              </w:rPr>
            </w:pPr>
            <w:r>
              <w:rPr>
                <w:rFonts w:hint="eastAsia" w:ascii="宋体" w:hAnsi="宋体" w:eastAsia="宋体" w:cs="宋体"/>
                <w:sz w:val="21"/>
                <w:szCs w:val="21"/>
                <w:highlight w:val="none"/>
              </w:rPr>
              <w:t>承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r>
      <w:tr w14:paraId="5DE3FC14">
        <w:tblPrEx>
          <w:tblCellMar>
            <w:top w:w="0" w:type="dxa"/>
            <w:left w:w="108" w:type="dxa"/>
            <w:bottom w:w="0" w:type="dxa"/>
            <w:right w:w="108" w:type="dxa"/>
          </w:tblCellMar>
        </w:tblPrEx>
        <w:trPr>
          <w:trHeight w:val="648" w:hRule="atLeast"/>
        </w:trPr>
        <w:tc>
          <w:tcPr>
            <w:tcW w:w="4758" w:type="dxa"/>
            <w:noWrap w:val="0"/>
            <w:vAlign w:val="center"/>
          </w:tcPr>
          <w:p w14:paraId="3F919D76">
            <w:pPr>
              <w:tabs>
                <w:tab w:val="left" w:pos="5760"/>
              </w:tabs>
              <w:spacing w:line="360" w:lineRule="auto"/>
              <w:ind w:left="840" w:hanging="735" w:hangingChars="35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                           </w:t>
            </w:r>
          </w:p>
        </w:tc>
        <w:tc>
          <w:tcPr>
            <w:tcW w:w="4803" w:type="dxa"/>
            <w:noWrap w:val="0"/>
            <w:vAlign w:val="center"/>
          </w:tcPr>
          <w:p w14:paraId="36CFB699">
            <w:pPr>
              <w:tabs>
                <w:tab w:val="left" w:pos="5760"/>
              </w:tabs>
              <w:spacing w:line="360" w:lineRule="auto"/>
              <w:ind w:left="840" w:hanging="735" w:hangingChars="35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w:t>
            </w:r>
          </w:p>
        </w:tc>
      </w:tr>
      <w:tr w14:paraId="3D778BF0">
        <w:tblPrEx>
          <w:tblCellMar>
            <w:top w:w="0" w:type="dxa"/>
            <w:left w:w="108" w:type="dxa"/>
            <w:bottom w:w="0" w:type="dxa"/>
            <w:right w:w="108" w:type="dxa"/>
          </w:tblCellMar>
        </w:tblPrEx>
        <w:trPr>
          <w:trHeight w:val="648" w:hRule="atLeast"/>
        </w:trPr>
        <w:tc>
          <w:tcPr>
            <w:tcW w:w="4758" w:type="dxa"/>
            <w:noWrap w:val="0"/>
            <w:vAlign w:val="center"/>
          </w:tcPr>
          <w:p w14:paraId="3AC07E21">
            <w:pPr>
              <w:tabs>
                <w:tab w:val="left" w:pos="5760"/>
              </w:tabs>
              <w:spacing w:line="360" w:lineRule="auto"/>
              <w:ind w:left="840" w:hanging="735" w:hangingChars="350"/>
              <w:rPr>
                <w:rFonts w:hint="eastAsia" w:ascii="宋体" w:hAnsi="宋体" w:eastAsia="宋体" w:cs="宋体"/>
                <w:sz w:val="21"/>
                <w:szCs w:val="21"/>
                <w:highlight w:val="none"/>
              </w:rPr>
            </w:pPr>
          </w:p>
        </w:tc>
        <w:tc>
          <w:tcPr>
            <w:tcW w:w="4803" w:type="dxa"/>
            <w:noWrap w:val="0"/>
            <w:vAlign w:val="center"/>
          </w:tcPr>
          <w:p w14:paraId="6D6C6573">
            <w:pPr>
              <w:tabs>
                <w:tab w:val="left" w:pos="5760"/>
              </w:tabs>
              <w:spacing w:line="360" w:lineRule="auto"/>
              <w:ind w:left="840" w:hanging="735" w:hangingChars="350"/>
              <w:rPr>
                <w:rFonts w:hint="eastAsia" w:ascii="宋体" w:hAnsi="宋体" w:eastAsia="宋体" w:cs="宋体"/>
                <w:sz w:val="21"/>
                <w:szCs w:val="21"/>
                <w:highlight w:val="none"/>
              </w:rPr>
            </w:pPr>
          </w:p>
        </w:tc>
      </w:tr>
      <w:tr w14:paraId="363D3939">
        <w:tblPrEx>
          <w:tblCellMar>
            <w:top w:w="0" w:type="dxa"/>
            <w:left w:w="108" w:type="dxa"/>
            <w:bottom w:w="0" w:type="dxa"/>
            <w:right w:w="108" w:type="dxa"/>
          </w:tblCellMar>
        </w:tblPrEx>
        <w:trPr>
          <w:trHeight w:val="648" w:hRule="atLeast"/>
        </w:trPr>
        <w:tc>
          <w:tcPr>
            <w:tcW w:w="4758" w:type="dxa"/>
            <w:noWrap w:val="0"/>
            <w:vAlign w:val="center"/>
          </w:tcPr>
          <w:p w14:paraId="02A32C58">
            <w:pPr>
              <w:tabs>
                <w:tab w:val="left" w:pos="5760"/>
              </w:tabs>
              <w:spacing w:line="360" w:lineRule="auto"/>
              <w:ind w:left="840" w:hanging="735" w:hangingChars="350"/>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c>
          <w:tcPr>
            <w:tcW w:w="4803" w:type="dxa"/>
            <w:noWrap w:val="0"/>
            <w:vAlign w:val="center"/>
          </w:tcPr>
          <w:p w14:paraId="213FB3BF">
            <w:pPr>
              <w:tabs>
                <w:tab w:val="left" w:pos="5760"/>
              </w:tabs>
              <w:spacing w:line="360" w:lineRule="auto"/>
              <w:ind w:left="840" w:hanging="735" w:hangingChars="350"/>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r>
    </w:tbl>
    <w:p w14:paraId="3B53ED2F">
      <w:pPr>
        <w:spacing w:line="360" w:lineRule="auto"/>
        <w:rPr>
          <w:rFonts w:hAnsi="宋体"/>
          <w:highlight w:val="none"/>
        </w:rPr>
      </w:pPr>
    </w:p>
    <w:p w14:paraId="1D93DAF9">
      <w:pPr>
        <w:spacing w:line="360" w:lineRule="auto"/>
        <w:rPr>
          <w:rFonts w:hAnsi="宋体"/>
          <w:highlight w:val="none"/>
        </w:rPr>
      </w:pPr>
    </w:p>
    <w:p w14:paraId="78CA9BEF">
      <w:pPr>
        <w:rPr>
          <w:rFonts w:hAnsi="宋体"/>
          <w:highlight w:val="none"/>
        </w:rPr>
      </w:pPr>
    </w:p>
    <w:p w14:paraId="1D0992DA">
      <w:pPr>
        <w:rPr>
          <w:rFonts w:hAnsi="宋体"/>
          <w:highlight w:val="none"/>
        </w:rPr>
      </w:pPr>
    </w:p>
    <w:p w14:paraId="265EC122">
      <w:pPr>
        <w:rPr>
          <w:rFonts w:hAnsi="宋体"/>
          <w:highlight w:val="none"/>
        </w:rPr>
      </w:pPr>
    </w:p>
    <w:p w14:paraId="68DABEBE">
      <w:pPr>
        <w:rPr>
          <w:rFonts w:hAnsi="宋体"/>
          <w:highlight w:val="none"/>
        </w:rPr>
      </w:pPr>
    </w:p>
    <w:p w14:paraId="48826658">
      <w:pPr>
        <w:rPr>
          <w:rFonts w:hAnsi="宋体"/>
          <w:highlight w:val="none"/>
        </w:rPr>
      </w:pPr>
    </w:p>
    <w:p w14:paraId="36F63816">
      <w:pPr>
        <w:rPr>
          <w:rFonts w:hAnsi="宋体"/>
          <w:highlight w:val="none"/>
        </w:rPr>
      </w:pPr>
    </w:p>
    <w:p w14:paraId="7DB9833E">
      <w:pPr>
        <w:rPr>
          <w:rFonts w:hAnsi="宋体"/>
          <w:highlight w:val="none"/>
        </w:rPr>
      </w:pPr>
    </w:p>
    <w:p w14:paraId="6A069022">
      <w:pPr>
        <w:rPr>
          <w:rFonts w:hAnsi="宋体"/>
          <w:highlight w:val="none"/>
        </w:rPr>
      </w:pPr>
    </w:p>
    <w:p w14:paraId="6FCE4712">
      <w:pPr>
        <w:rPr>
          <w:rFonts w:hAnsi="宋体"/>
          <w:highlight w:val="none"/>
        </w:rPr>
      </w:pPr>
    </w:p>
    <w:p w14:paraId="3D6A7443">
      <w:pPr>
        <w:rPr>
          <w:rFonts w:hAnsi="宋体"/>
          <w:highlight w:val="none"/>
        </w:rPr>
      </w:pPr>
    </w:p>
    <w:p w14:paraId="5593F61D">
      <w:pPr>
        <w:rPr>
          <w:rFonts w:hAnsi="宋体"/>
          <w:highlight w:val="none"/>
        </w:rPr>
      </w:pPr>
    </w:p>
    <w:p w14:paraId="3340A60E">
      <w:pPr>
        <w:rPr>
          <w:rFonts w:hAnsi="宋体"/>
          <w:highlight w:val="none"/>
        </w:rPr>
      </w:pPr>
    </w:p>
    <w:p w14:paraId="26A21C3E">
      <w:pPr>
        <w:rPr>
          <w:rFonts w:hAnsi="宋体"/>
          <w:highlight w:val="none"/>
        </w:rPr>
      </w:pPr>
    </w:p>
    <w:p w14:paraId="5CD3D6AC">
      <w:pPr>
        <w:rPr>
          <w:rFonts w:hAnsi="宋体"/>
          <w:highlight w:val="none"/>
        </w:rPr>
      </w:pPr>
    </w:p>
    <w:p w14:paraId="6F6FDEFF">
      <w:pPr>
        <w:rPr>
          <w:rFonts w:hAnsi="宋体"/>
          <w:highlight w:val="none"/>
        </w:rPr>
      </w:pPr>
    </w:p>
    <w:p w14:paraId="675A2E4A">
      <w:pPr>
        <w:rPr>
          <w:rFonts w:hAnsi="宋体"/>
          <w:highlight w:val="none"/>
        </w:rPr>
      </w:pPr>
    </w:p>
    <w:p w14:paraId="0920A714">
      <w:pPr>
        <w:pStyle w:val="3"/>
        <w:rPr>
          <w:rFonts w:hAnsi="宋体"/>
          <w:highlight w:val="none"/>
        </w:rPr>
      </w:pPr>
    </w:p>
    <w:p w14:paraId="2BC9FCD5">
      <w:pPr>
        <w:rPr>
          <w:rFonts w:hAnsi="宋体"/>
          <w:highlight w:val="none"/>
        </w:rPr>
      </w:pPr>
    </w:p>
    <w:p w14:paraId="51B67C80">
      <w:pPr>
        <w:pStyle w:val="3"/>
        <w:rPr>
          <w:rFonts w:hAnsi="宋体"/>
          <w:highlight w:val="none"/>
        </w:rPr>
      </w:pPr>
    </w:p>
    <w:p w14:paraId="4AABAACC">
      <w:pPr>
        <w:rPr>
          <w:rFonts w:hAnsi="宋体"/>
          <w:highlight w:val="none"/>
        </w:rPr>
      </w:pPr>
    </w:p>
    <w:p w14:paraId="5926EA8B">
      <w:pPr>
        <w:pStyle w:val="3"/>
        <w:rPr>
          <w:rFonts w:hAnsi="宋体"/>
          <w:highlight w:val="none"/>
        </w:rPr>
      </w:pPr>
    </w:p>
    <w:p w14:paraId="37479872"/>
    <w:p w14:paraId="272B1084">
      <w:pPr>
        <w:rPr>
          <w:rFonts w:hAnsi="宋体"/>
          <w:highlight w:val="none"/>
        </w:rPr>
      </w:pPr>
    </w:p>
    <w:p w14:paraId="227F18CC">
      <w:pPr>
        <w:rPr>
          <w:rFonts w:hAnsi="宋体"/>
          <w:highlight w:val="none"/>
        </w:rPr>
      </w:pPr>
    </w:p>
    <w:p w14:paraId="1F298F6E">
      <w:pPr>
        <w:rPr>
          <w:rFonts w:hAnsi="宋体"/>
          <w:highlight w:val="none"/>
        </w:rPr>
      </w:pPr>
    </w:p>
    <w:p w14:paraId="5E294A55">
      <w:pPr>
        <w:rPr>
          <w:rFonts w:hAnsi="宋体"/>
          <w:highlight w:val="none"/>
        </w:rPr>
      </w:pPr>
    </w:p>
    <w:p w14:paraId="214C8E08">
      <w:pPr>
        <w:rPr>
          <w:rFonts w:hAnsi="宋体"/>
          <w:highlight w:val="none"/>
        </w:rPr>
      </w:pPr>
    </w:p>
    <w:p w14:paraId="2270A526">
      <w:pPr>
        <w:rPr>
          <w:rFonts w:hAnsi="宋体"/>
          <w:highlight w:val="none"/>
        </w:rPr>
      </w:pPr>
    </w:p>
    <w:p w14:paraId="35834679">
      <w:pPr>
        <w:rPr>
          <w:rFonts w:hAnsi="宋体"/>
          <w:highlight w:val="none"/>
        </w:rPr>
      </w:pPr>
    </w:p>
    <w:p w14:paraId="0EE601F4">
      <w:pPr>
        <w:rPr>
          <w:rFonts w:hAnsi="宋体"/>
          <w:highlight w:val="none"/>
        </w:rPr>
      </w:pPr>
    </w:p>
    <w:p w14:paraId="58E6055D">
      <w:pPr>
        <w:pStyle w:val="4"/>
        <w:pageBreakBefore w:val="0"/>
        <w:widowControl w:val="0"/>
        <w:shd w:val="clear" w:color="auto" w:fill="FFFFFF"/>
        <w:kinsoku/>
        <w:wordWrap/>
        <w:overflowPunct/>
        <w:topLinePunct w:val="0"/>
        <w:bidi w:val="0"/>
        <w:snapToGrid/>
        <w:spacing w:before="156" w:beforeLines="50" w:line="312" w:lineRule="auto"/>
        <w:jc w:val="center"/>
        <w:textAlignment w:val="auto"/>
        <w:rPr>
          <w:rFonts w:hint="eastAsia" w:ascii="Times New Roman" w:hAnsi="宋体" w:eastAsia="宋体" w:cs="Times New Roman"/>
          <w:b/>
          <w:bCs/>
          <w:sz w:val="28"/>
          <w:szCs w:val="28"/>
          <w:highlight w:val="none"/>
          <w:lang w:val="en-US" w:eastAsia="zh-CN"/>
        </w:rPr>
      </w:pPr>
      <w:r>
        <w:rPr>
          <w:rFonts w:hint="eastAsia" w:ascii="Times New Roman" w:hAnsi="宋体" w:eastAsia="宋体" w:cs="Times New Roman"/>
          <w:b/>
          <w:bCs/>
          <w:sz w:val="28"/>
          <w:szCs w:val="28"/>
          <w:highlight w:val="none"/>
          <w:lang w:val="en-US" w:eastAsia="zh-CN"/>
        </w:rPr>
        <w:t>第二部分 通用合同条款</w:t>
      </w:r>
    </w:p>
    <w:p w14:paraId="0B01EEE2">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1"/>
          <w:szCs w:val="21"/>
          <w:highlight w:val="none"/>
          <w:lang w:eastAsia="zh-CN"/>
        </w:rPr>
      </w:pPr>
      <w:bookmarkStart w:id="0" w:name="_Toc265408490"/>
      <w:r>
        <w:rPr>
          <w:rFonts w:hint="eastAsia" w:ascii="宋体" w:hAnsi="宋体" w:eastAsia="宋体" w:cs="宋体"/>
          <w:sz w:val="21"/>
          <w:szCs w:val="21"/>
          <w:highlight w:val="none"/>
        </w:rPr>
        <w:t>1  一般约定</w:t>
      </w:r>
      <w:bookmarkEnd w:id="0"/>
    </w:p>
    <w:p w14:paraId="11287C3C">
      <w:pPr>
        <w:pStyle w:val="5"/>
        <w:keepNext/>
        <w:keepLines/>
        <w:pageBreakBefore w:val="0"/>
        <w:widowControl w:val="0"/>
        <w:numPr>
          <w:ilvl w:val="3"/>
          <w:numId w:val="0"/>
        </w:numPr>
        <w:kinsoku/>
        <w:wordWrap/>
        <w:overflowPunct/>
        <w:topLinePunct w:val="0"/>
        <w:autoSpaceDE/>
        <w:autoSpaceDN/>
        <w:bidi w:val="0"/>
        <w:adjustRightInd/>
        <w:snapToGrid/>
        <w:spacing w:line="312" w:lineRule="auto"/>
        <w:ind w:lef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 词语定义</w:t>
      </w:r>
    </w:p>
    <w:p w14:paraId="71E63B3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通用合同条款、专用合同条款中的下列词语应具有本款所赋予的含义。</w:t>
      </w:r>
    </w:p>
    <w:p w14:paraId="79FF703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 合同</w:t>
      </w:r>
    </w:p>
    <w:p w14:paraId="54A9152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1.1.1.1 合同文件（或称合同）：指合同协议书、中标通知书、</w:t>
      </w:r>
      <w:r>
        <w:rPr>
          <w:rFonts w:hint="eastAsia" w:ascii="宋体" w:hAnsi="宋体" w:cs="宋体"/>
          <w:sz w:val="21"/>
          <w:szCs w:val="21"/>
          <w:highlight w:val="none"/>
          <w:lang w:eastAsia="zh-CN"/>
        </w:rPr>
        <w:t>投标函及投标函附录</w:t>
      </w:r>
      <w:r>
        <w:rPr>
          <w:rFonts w:hint="eastAsia" w:ascii="宋体" w:hAnsi="宋体" w:eastAsia="宋体" w:cs="宋体"/>
          <w:sz w:val="21"/>
          <w:szCs w:val="21"/>
          <w:highlight w:val="none"/>
        </w:rPr>
        <w:t>、专用合同条款、通用合同条款、技术标准和要求、图纸、已标价工程量清单，以及其他合同文件。</w:t>
      </w:r>
    </w:p>
    <w:p w14:paraId="253D11F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1.1.1.2 合同协议书：指第1.5 款所指的合同协议书。</w:t>
      </w:r>
    </w:p>
    <w:p w14:paraId="26E915B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1.1.1.3 中标通知书：指发包人通知承包人中标的函件。</w:t>
      </w:r>
    </w:p>
    <w:p w14:paraId="71D80F0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1.1.1.4 投标函：指构成合同文件组成部分的由承包人填写并签署的投标函。</w:t>
      </w:r>
    </w:p>
    <w:p w14:paraId="71430B6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1.1.1.5 </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：指附在投标函后构成合同文件的</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w:t>
      </w:r>
    </w:p>
    <w:p w14:paraId="01248CED">
      <w:pPr>
        <w:pageBreakBefore w:val="0"/>
        <w:widowControl w:val="0"/>
        <w:kinsoku/>
        <w:wordWrap/>
        <w:overflowPunct/>
        <w:topLinePunct w:val="0"/>
        <w:autoSpaceDE w:val="0"/>
        <w:autoSpaceDN w:val="0"/>
        <w:bidi w:val="0"/>
        <w:adjustRightInd w:val="0"/>
        <w:snapToGrid/>
        <w:spacing w:line="312"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1.1.1.6 技术标准和要求：指构成合同文件组成部分的名为技术标准和要求（合同技术条款）的文件，包括合同双方当事人约定对其所作的修改或补充。</w:t>
      </w:r>
    </w:p>
    <w:p w14:paraId="1F649E6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1.1.1.7 图纸：指列入合同的招标图纸、投标图纸和发包人按合同约定向承包人提供的施工图纸和其它图纸（包括配套说明和有关资料）。列入合同的招标图纸已成为合同文件的一部分， 具有合同效力， 主要用于在履行合同中作为衡量变更的依据， 但不能直接用于施工。经发包人确认进入合同的投标图纸亦成为合同文件的一部分， 用于在履行合同中检验承包人是否按其投标时承诺的条件进行施工的依据， 亦不能直接用于施工。</w:t>
      </w:r>
    </w:p>
    <w:p w14:paraId="714B4AF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1.1.1.8 己标价工程量清单：指构成合同文件组成部分的由承包人按照规定的格式和要求填写并标明价格的工程量清单。</w:t>
      </w:r>
    </w:p>
    <w:p w14:paraId="0E58BDC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1.1.1.9 其他合同文件：指经合同双方当事人确认构成合同文件的其他文件。</w:t>
      </w:r>
    </w:p>
    <w:p w14:paraId="51EAEAB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 合同当事人和人员</w:t>
      </w:r>
    </w:p>
    <w:p w14:paraId="02C8A7A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1.1.2.1 合同当事人：指发包人和（或）承包人。</w:t>
      </w:r>
    </w:p>
    <w:p w14:paraId="625D9CD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1.1.2.2 发包人：指专用合同条款中指明并与承包人在合同协议书中签字的当事人。</w:t>
      </w:r>
    </w:p>
    <w:p w14:paraId="441B883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1.1.2.3 承包人：：指专用合同条款中指明并与发包人在合同协议书中签字的当事人。</w:t>
      </w:r>
    </w:p>
    <w:p w14:paraId="1B3453E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1.1.2.4 承包人项目经理：指承包人派驻施工场地的全权负责人。</w:t>
      </w:r>
    </w:p>
    <w:p w14:paraId="792F4F2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1.1.2.5 分包人：指专用合同条款中指明的，从承包人处分包合同中某一部分工程，并与其签订分包合同的分包人。</w:t>
      </w:r>
    </w:p>
    <w:p w14:paraId="577DFF9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1.1.2.6 监理人：指在专用合同条款中指明的，受发包人委托对合同履行实施管理的法人或其他组织。</w:t>
      </w:r>
    </w:p>
    <w:p w14:paraId="2A77AF0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1.1.2.7 总监理工程师（总监）：指由监理人委派常驻施工场地对合同履行实施管理的全权负责人。</w:t>
      </w:r>
    </w:p>
    <w:p w14:paraId="4D27B7A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 工程和设备</w:t>
      </w:r>
    </w:p>
    <w:p w14:paraId="53D2E92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1.1.3.1 工程：指永久工程和（或）临时工程。</w:t>
      </w:r>
    </w:p>
    <w:p w14:paraId="5A1A132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1.1.3.2 永久工程：指按合同约定建造并移交给发包人的工程，包括工程设备。</w:t>
      </w:r>
    </w:p>
    <w:p w14:paraId="2A4180B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1.1.3.3 临时工程：指为完成合同约定的永久工程所修建的各类临时性工程，不包括施工设备。</w:t>
      </w:r>
    </w:p>
    <w:p w14:paraId="0A459AA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1.1.3.4 单位工程：指专用合同条款中指明特定范围的永久工程。</w:t>
      </w:r>
    </w:p>
    <w:p w14:paraId="47A79C1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1.1.3.5 工程设备：指构成或计划构成永久工程一部分的机电设备、金属结构设备、仪器装置及其他类似的设备和装置。</w:t>
      </w:r>
    </w:p>
    <w:p w14:paraId="1F65B21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1.1.3.6 施工设备：指为完成合同约定的各项工作所需的设备、器具和其他物品，不包括临时工程和材料。</w:t>
      </w:r>
    </w:p>
    <w:p w14:paraId="4D92AB4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1.1.3.7 临时设施：指为完成合同约定的各项工作所服务的临时性生产和生活设施。</w:t>
      </w:r>
    </w:p>
    <w:p w14:paraId="0327F53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1.1.3.8 承包人设备：指承包人自带的施工设备。</w:t>
      </w:r>
    </w:p>
    <w:p w14:paraId="593C6A7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1.1.3.9 施工场地（或称工地、现场）：指用于合同工程施工的场所，以及在合同中指定作为施工场地组成部分的其他场所，包括永久占地和临时占地。</w:t>
      </w:r>
    </w:p>
    <w:p w14:paraId="7E95D25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1.1.3.10 永久占地：指发包人为建设本合同工程永久征用的场地。</w:t>
      </w:r>
    </w:p>
    <w:p w14:paraId="4265612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1.1.3.11 临时占地：指发包人为建设本合同工程临时征用，承包人在完工后须按合同要求退还的场地。</w:t>
      </w:r>
    </w:p>
    <w:p w14:paraId="66AA19F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 日期</w:t>
      </w:r>
    </w:p>
    <w:p w14:paraId="6B4189C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1.1.4.1 开工通知：指监理人按第11.1 款通知承包人开工的函件。</w:t>
      </w:r>
    </w:p>
    <w:p w14:paraId="36260FF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1.1.4.2 开工日期：指监理人按第11 . 1 款发出的开工通知中写明的开工日期。</w:t>
      </w:r>
    </w:p>
    <w:p w14:paraId="651EF8E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1.1.4.3 工期：指承包人在投标函中承诺的完成合同工程所需的期限，包括按第11.3 款、第11.4 款和第11.6 款约定所作的变更。</w:t>
      </w:r>
    </w:p>
    <w:p w14:paraId="3AD98E4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1.1.4.4 竣工日期：即合同工程完工日期，指第1.1.4.3 目约定工期届满时的日期。实际完工日期以合同工程完工证书中写明的日期为准。</w:t>
      </w:r>
    </w:p>
    <w:p w14:paraId="14FEE7D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1.1.4.5 缺陷责任期：即工程质量保修期，指履行第19.2款约定的缺陷责任的期限，包括根据第19.3款约定所作的延长，具体期限由专用合同条款约定。</w:t>
      </w:r>
    </w:p>
    <w:p w14:paraId="72DA9B8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1.1.4.7 天：除特别指明外，指</w:t>
      </w:r>
      <w:r>
        <w:rPr>
          <w:rFonts w:hint="eastAsia" w:ascii="宋体" w:hAnsi="宋体" w:eastAsia="宋体" w:cs="宋体"/>
          <w:sz w:val="21"/>
          <w:szCs w:val="21"/>
          <w:highlight w:val="none"/>
          <w:lang w:val="en-US" w:eastAsia="zh-CN"/>
        </w:rPr>
        <w:t>日历天</w:t>
      </w:r>
      <w:r>
        <w:rPr>
          <w:rFonts w:hint="eastAsia" w:ascii="宋体" w:hAnsi="宋体" w:eastAsia="宋体" w:cs="宋体"/>
          <w:sz w:val="21"/>
          <w:szCs w:val="21"/>
          <w:highlight w:val="none"/>
        </w:rPr>
        <w:t>。合同中按天计算时间的，开始当天不计入，从次日开始计算。期限最后一天的截止时间为当天24:00。</w:t>
      </w:r>
    </w:p>
    <w:p w14:paraId="4796435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 合同价格和费用</w:t>
      </w:r>
    </w:p>
    <w:p w14:paraId="28E1395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1.1.5.1 签约合同价：指签定合同时合同协议书中写明的，包括了暂列金额、暂估价的合同总金额。</w:t>
      </w:r>
    </w:p>
    <w:p w14:paraId="1CFF52F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1.1.5.2 合同价格：指承包人按合同约定完成了包括缺陷责任期内的全部承包工作后，发包人应付给承包人的金额，包括在履行合同过程中按合同约定进行的变更和调整。</w:t>
      </w:r>
    </w:p>
    <w:p w14:paraId="5085BA3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1.1.5.3 费用：指为履行合同所发生的或将要发生的所有合理开支，包括管理费和应分摊的其他费用，但不包括利润。</w:t>
      </w:r>
    </w:p>
    <w:p w14:paraId="04510E5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1.1.5.4 暂列金额：指已标价工程量清单中所列的暂列金额，用于在签订协议书时尚未确定或不可预见变更的施工及其所需材料、工程设备、服务等的金额，包括以计日工方式支付的金额。</w:t>
      </w:r>
    </w:p>
    <w:p w14:paraId="73C9F79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1.1.5.5 暂估价：指发包人在工程量清单中给定的用于支付必然发生但暂时不能确定价格的材料、设备以及专业工程的金额。</w:t>
      </w:r>
    </w:p>
    <w:p w14:paraId="664A842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1.1.5.6 计日工：指对零星工作采取的一种计价方式，按合同中的计日工子目及其单价计价付款。</w:t>
      </w:r>
    </w:p>
    <w:p w14:paraId="265E8FD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1.1.5.7 质量保证金（或称保留金）：指按第17</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4</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1款约定用于保证在缺陷责任期内履行缺陷修复义务的金额。</w:t>
      </w:r>
    </w:p>
    <w:p w14:paraId="7C27FA2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1.1.6 其他</w:t>
      </w:r>
    </w:p>
    <w:p w14:paraId="5C8F74F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1.1.6.1 书面形式：指合同文件、信函、电报、传真等可以有形地表现所载内容的形式。</w:t>
      </w:r>
    </w:p>
    <w:p w14:paraId="31EFF710">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 语言文字</w:t>
      </w:r>
    </w:p>
    <w:p w14:paraId="33B312D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除专用术语外，合同使用的语言文字为中文。必要时专用术语应附有中文注释。</w:t>
      </w:r>
    </w:p>
    <w:p w14:paraId="5BBEBB43">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 法律</w:t>
      </w:r>
    </w:p>
    <w:p w14:paraId="57EFAA5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适用于合同的法律包括中华人民共和国法律、行政法规、部门规章，以及工程所在地的地方法规、自治条例、单行条例和地方政府规章。</w:t>
      </w:r>
    </w:p>
    <w:p w14:paraId="245C80E8">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1.4 合同文件的优先顺序</w:t>
      </w:r>
    </w:p>
    <w:p w14:paraId="24CA80E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组成合同的各项文件应互相解释，互为说明。除专用合同条款另有约定外，解释合同文件的优先顺序如下：</w:t>
      </w:r>
    </w:p>
    <w:p w14:paraId="5000515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（l）合同协议书；</w:t>
      </w:r>
    </w:p>
    <w:p w14:paraId="0F3FFC5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（2）中标通知书；</w:t>
      </w:r>
    </w:p>
    <w:p w14:paraId="50E3B5C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（3）投标函及</w:t>
      </w:r>
      <w:r>
        <w:rPr>
          <w:rFonts w:hint="eastAsia" w:ascii="宋体" w:hAnsi="宋体" w:eastAsia="宋体" w:cs="宋体"/>
          <w:sz w:val="21"/>
          <w:szCs w:val="21"/>
          <w:highlight w:val="none"/>
          <w:lang w:val="en-US" w:eastAsia="zh-CN"/>
        </w:rPr>
        <w:t>投标函附录</w:t>
      </w:r>
      <w:r>
        <w:rPr>
          <w:rFonts w:hint="eastAsia" w:ascii="宋体" w:hAnsi="宋体" w:eastAsia="宋体" w:cs="宋体"/>
          <w:sz w:val="21"/>
          <w:szCs w:val="21"/>
          <w:highlight w:val="none"/>
        </w:rPr>
        <w:t>；</w:t>
      </w:r>
    </w:p>
    <w:p w14:paraId="344C9CE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（4）专用合同条款；</w:t>
      </w:r>
    </w:p>
    <w:p w14:paraId="67EB594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（5）通用合同条款；</w:t>
      </w:r>
    </w:p>
    <w:p w14:paraId="5720787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（6）技术标准和要求；</w:t>
      </w:r>
    </w:p>
    <w:p w14:paraId="052621D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（7）图纸；</w:t>
      </w:r>
    </w:p>
    <w:p w14:paraId="2B3ED1A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（8）已标价工程量清单；</w:t>
      </w:r>
    </w:p>
    <w:p w14:paraId="6033CED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（9）其他合同文件。</w:t>
      </w:r>
    </w:p>
    <w:p w14:paraId="41C22282">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 合同协议书</w:t>
      </w:r>
    </w:p>
    <w:p w14:paraId="134829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承包人按中标通知书规定的时间与发包人签订合同协议书。除法律另有规定或合同另有约定外，发包人和承包人的法定代表人或其委托代理人在合同协议书上签字并盖单位章后，合同生效。</w:t>
      </w:r>
    </w:p>
    <w:p w14:paraId="58AA8A74">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1.6 图纸和承包人文件</w:t>
      </w:r>
    </w:p>
    <w:p w14:paraId="0D926C4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 图纸的提供</w:t>
      </w:r>
    </w:p>
    <w:p w14:paraId="79C1A81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发包人应按技术标准和要求（合同技术条款）约定的期限和数量将施工图纸以及其它图纸（包括配套说明和有关资料）提供给承包人。由于发包人未按时提供图纸造成工期延误的，按第11.3款的约定办理。</w:t>
      </w:r>
    </w:p>
    <w:p w14:paraId="61ACE1E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1.6.2 承包人提供的文件</w:t>
      </w:r>
    </w:p>
    <w:p w14:paraId="3FCD1A5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承包人提供的文件应按技术标准和要求（合同技术条款）约定的期限和数量提供给监理人。监理人应按技术标准和要求（合同技术条款）约定的期限批复承包人。</w:t>
      </w:r>
    </w:p>
    <w:p w14:paraId="7A5E1FB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 6.3 图纸的修改</w:t>
      </w:r>
    </w:p>
    <w:p w14:paraId="3A0996F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39DFEB6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1.6.4 图纸的错误</w:t>
      </w:r>
    </w:p>
    <w:p w14:paraId="7F4140F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承包人发现发包人提供的图纸存在明显错误或疏忽，应及时通知监理人。</w:t>
      </w:r>
    </w:p>
    <w:p w14:paraId="7897573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1.6.5 图纸和承包人文件的保管</w:t>
      </w:r>
    </w:p>
    <w:p w14:paraId="0AF07D6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监理人和承包人均应在施工场地各保存一套完整的包含第1.6.1 款、第1.6.2 款、第1.6.3 款约定内容的图纸和承包人文件。</w:t>
      </w:r>
    </w:p>
    <w:p w14:paraId="666FB77C">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 联络</w:t>
      </w:r>
    </w:p>
    <w:p w14:paraId="7A9934B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 与合同有关的通知、批准、证明、证书、指示、要求、请求、同意、意见、确定和决定等，均应采用书面形式。</w:t>
      </w:r>
    </w:p>
    <w:p w14:paraId="0DF937D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 第1.7.1款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39A411D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 来往函件均应按合同约定的期限及时发出和答复，不得无故扣压和拖延，亦不得拒收。否则，由此造成的后果有责任方负责。</w:t>
      </w:r>
    </w:p>
    <w:p w14:paraId="4148DE23">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 转让</w:t>
      </w:r>
    </w:p>
    <w:p w14:paraId="4519FE3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除合同另有约定外，未经对方当事人同意，一方当事人不得将合同权利全部或部分转让给第三人，也不得全部或部分转移合同义务。</w:t>
      </w:r>
    </w:p>
    <w:p w14:paraId="7720AF5E">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 严禁贿赂</w:t>
      </w:r>
    </w:p>
    <w:p w14:paraId="25421E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合同双方当事人不得以贿赂或变相贿赂的方式，谋取不当利益或损害对方权益。因贿赂造成对方损失的，行为人应赔偿损失，并承担相应的法律责任。</w:t>
      </w:r>
    </w:p>
    <w:p w14:paraId="2158E060">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1.10 化石、文物</w:t>
      </w:r>
    </w:p>
    <w:p w14:paraId="7B8F088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6C0B9CC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1.10.2 承包人发现文物后不及时报告或隐瞒不报，致使文物丢失或损坏的，应赔偿损失，并承担相应的法律责任。</w:t>
      </w:r>
    </w:p>
    <w:p w14:paraId="4C6BFABE">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1.11 专利技术</w:t>
      </w:r>
    </w:p>
    <w:p w14:paraId="088A6AF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14:paraId="67C824C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1.11.2 承包人在投标文件中采用专利技术的，专利技术的使用费包含在投标报价内。</w:t>
      </w:r>
    </w:p>
    <w:p w14:paraId="32C3E62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1.11.3 承包人的技术秘密和声明需要保密的资料和信息，发包人和监理人不得为合同以外的目的泄露给他人。</w:t>
      </w:r>
    </w:p>
    <w:p w14:paraId="3B748D9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1.11.4 合同实施过程中，发包人要求承包人采用专利技术的，发包人应办理相应的使用手续，承包人应按发包人约定的条件使用，并承担使用专利技术的相关试验工作，所需费用由发包人承担。</w:t>
      </w:r>
    </w:p>
    <w:p w14:paraId="3C233C68">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1.12 图纸和文件的保密</w:t>
      </w:r>
    </w:p>
    <w:p w14:paraId="1D271F3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1.12.1 发包人提供的图纸和文件，未经发包人同意，承包人不得为合同以外的目的泄露给他人或公开发表与引用。</w:t>
      </w:r>
    </w:p>
    <w:p w14:paraId="34582A3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1.12.2 承包人提供的文件，未经承包人同意，发包人和监理人不得为合同以外的目的泄露给他人或公开发表与引用。</w:t>
      </w:r>
    </w:p>
    <w:p w14:paraId="04F2BD33">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bookmarkStart w:id="1" w:name="_Toc265408491"/>
      <w:r>
        <w:rPr>
          <w:rFonts w:hint="eastAsia" w:ascii="宋体" w:hAnsi="宋体" w:eastAsia="宋体" w:cs="宋体"/>
          <w:b/>
          <w:bCs/>
          <w:sz w:val="21"/>
          <w:szCs w:val="21"/>
          <w:highlight w:val="none"/>
          <w:lang w:val="en-US" w:eastAsia="zh-CN"/>
        </w:rPr>
        <w:t>2  发包人义务</w:t>
      </w:r>
      <w:bookmarkEnd w:id="1"/>
    </w:p>
    <w:p w14:paraId="43BB5E6E">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2.1 遵守法律</w:t>
      </w:r>
    </w:p>
    <w:p w14:paraId="24C3429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发包人在履行合同过程中应遵守法律，并保证承包人免于承担因发包人违反法律而引起的任何责任。</w:t>
      </w:r>
    </w:p>
    <w:p w14:paraId="2F1E7386">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2.2 发出开工通知</w:t>
      </w:r>
    </w:p>
    <w:p w14:paraId="3AD8CE2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发包人应委托监理人按第11.1 款的约定向承包人发出开工通知。</w:t>
      </w:r>
    </w:p>
    <w:p w14:paraId="79FD8CD9">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2.3 提供施工场地</w:t>
      </w:r>
    </w:p>
    <w:p w14:paraId="7162A60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2.3.1 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319701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2.3.2 发包人提供的施工用地范围在专用合同条款中约定。</w:t>
      </w:r>
    </w:p>
    <w:p w14:paraId="6FB3B8F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2.3.3 除专用合同条款另有约定外，发包人应按技术标准和要求（合同技术条款）的约定，向承包人提供施工场地内的工程地质图纸和报告，以及地下障碍物图纸等施工场地有关资料，并保证资料的真实、准确、完整。</w:t>
      </w:r>
    </w:p>
    <w:p w14:paraId="32AF9824">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2.4 协助承包人办理证件和批件</w:t>
      </w:r>
    </w:p>
    <w:p w14:paraId="2B30AF1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发包人应协助承包人办理法律规定的有关施工证件和批件。</w:t>
      </w:r>
    </w:p>
    <w:p w14:paraId="52061110">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2.5 组织设计交底</w:t>
      </w:r>
    </w:p>
    <w:p w14:paraId="7044E1C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发包人应根据合同进度计划，组织设计单位向承包人进行设计交底。</w:t>
      </w:r>
    </w:p>
    <w:p w14:paraId="7ED3927E">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2.6 支付合同价款</w:t>
      </w:r>
    </w:p>
    <w:p w14:paraId="2FB12CB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发包人应按合同约定向承包人及时支付合同价款。</w:t>
      </w:r>
    </w:p>
    <w:p w14:paraId="424C4440">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2.7 组织竣工验收（组织法人验收）</w:t>
      </w:r>
    </w:p>
    <w:p w14:paraId="7E65BCA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发包人应按合同约定及时组织法人验收。</w:t>
      </w:r>
    </w:p>
    <w:p w14:paraId="68B506BA">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2.8 其他义务</w:t>
      </w:r>
    </w:p>
    <w:p w14:paraId="568B5E9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其他义务在专用合同条款中补充约定。</w:t>
      </w:r>
    </w:p>
    <w:p w14:paraId="71F46381">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bookmarkStart w:id="2" w:name="_Toc265408492"/>
      <w:r>
        <w:rPr>
          <w:rFonts w:hint="eastAsia" w:ascii="宋体" w:hAnsi="宋体" w:eastAsia="宋体" w:cs="宋体"/>
          <w:b/>
          <w:bCs/>
          <w:sz w:val="21"/>
          <w:szCs w:val="21"/>
          <w:highlight w:val="none"/>
          <w:lang w:val="en-US" w:eastAsia="zh-CN"/>
        </w:rPr>
        <w:t>3  监理人</w:t>
      </w:r>
      <w:bookmarkEnd w:id="2"/>
    </w:p>
    <w:p w14:paraId="3AA07A4F">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3.1 监理人的职责和权力</w:t>
      </w:r>
    </w:p>
    <w:p w14:paraId="0311ABA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3.1.1 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p>
    <w:p w14:paraId="75ABB46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3.1.2 监理人发出的任何指示应视为已得到发包人的批准，但监理人无权免除或变更合同约定的发包人和承包人的权利、义务和责任。</w:t>
      </w:r>
    </w:p>
    <w:p w14:paraId="2AF0B72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3.1.3 合同约定应由承包人承担的义务和责任，不因监理人对承包人提交文件的审查或批准，对工程、材料和设备的检查和检验，以及为实施监理作出的指示等职务行为而减轻或解除。</w:t>
      </w:r>
    </w:p>
    <w:p w14:paraId="10BFB9DE">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3.2 总监理工程师</w:t>
      </w:r>
    </w:p>
    <w:p w14:paraId="35161DD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发包人应在发出开工通知前将总监理工程师的任命通知承包人。总监理工程师更换时，应在调离14 天前通知承包人。总监理工程师短期离开施工场地的，应委派代表代行其职责，并通知承包人。</w:t>
      </w:r>
    </w:p>
    <w:p w14:paraId="16102AEA">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3.3 监理人员</w:t>
      </w:r>
    </w:p>
    <w:p w14:paraId="2D7DBAB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己得到总监理工程师的同意，与总监理工程师发出的指示具有同等效力。总监理工程师撤销某项授权时，应将撤销授权的决定及时通知承包人。</w:t>
      </w:r>
    </w:p>
    <w:p w14:paraId="624369B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3.3.2 监理人员对承包人的任何工作、工程或其采用的材料和工程设备未在约定的或合理的期限内提出否定意见的，视为已获批准，但不影响监理人在以后拒绝该项工作、工程、材料或工程设备的权利。</w:t>
      </w:r>
    </w:p>
    <w:p w14:paraId="626F0EF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3.3.3 承包人对总监理工程师授权的监理人员发出的指示有疑问的，可向总监理工程师提出书面异议，总监理工程师应在48小时内对该指示予以确认、更改或撤销。</w:t>
      </w:r>
    </w:p>
    <w:p w14:paraId="6A7652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3.3.4 除专用合同条款另有约定外，总监理工程师不应将第3.5 款约定应由总监理工程师作出确定的权力授权或委托给其他监理人员。</w:t>
      </w:r>
    </w:p>
    <w:p w14:paraId="1362FF7D">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3.4 监理人的指示</w:t>
      </w:r>
    </w:p>
    <w:p w14:paraId="02F60C2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3.4.1 监理人应按第3.1 款的约定向承包人发出指示，监理人的指示应盖有监理人授权的施工场地机构章，并由总监理工程师或总监理工程师按第3.3.1 款约定授权的监理人员签字。</w:t>
      </w:r>
    </w:p>
    <w:p w14:paraId="0645A6D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3.4.2 承包人收到监理人按第3.4.1 款作出的指示后应遵照执行。指示构成变更的，应按第</w:t>
      </w:r>
      <w:r>
        <w:rPr>
          <w:rFonts w:hint="eastAsia" w:ascii="宋体" w:hAnsi="宋体" w:eastAsia="宋体" w:cs="宋体"/>
          <w:sz w:val="21"/>
          <w:szCs w:val="21"/>
          <w:highlight w:val="none"/>
          <w:lang w:val="en-US" w:eastAsia="zh-CN"/>
        </w:rPr>
        <w:t>15</w:t>
      </w:r>
      <w:r>
        <w:rPr>
          <w:rFonts w:hint="eastAsia" w:ascii="宋体" w:hAnsi="宋体" w:eastAsia="宋体" w:cs="宋体"/>
          <w:sz w:val="21"/>
          <w:szCs w:val="21"/>
          <w:highlight w:val="none"/>
        </w:rPr>
        <w:t>条处理。</w:t>
      </w:r>
    </w:p>
    <w:p w14:paraId="6E3E7E5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450FDAE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3.4.4 除合同另有约定外，承包人只从总监理工程师或按第3.3.1 款被授权的监理人员处取得指示。</w:t>
      </w:r>
    </w:p>
    <w:p w14:paraId="6F41A41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3.4.5 由于监理人未能按合同约定发出指示、指示延误或指示错误而导致承包人费用增加和（或）工期延误的，由发包人承担赔偿责任。</w:t>
      </w:r>
    </w:p>
    <w:p w14:paraId="52F8B5A0">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3.5 商定或确定</w:t>
      </w:r>
    </w:p>
    <w:p w14:paraId="7AAD171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3.5.1 合同约定总监理工程师应按照本款对任何事项进行商定或确定时，总监理工程师应与合同当事人协商，尽量达成一致。不能达成一致的，总监理工程师应认真研究后审慎确定。</w:t>
      </w:r>
    </w:p>
    <w:p w14:paraId="193689A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3.5.2 总监理工程师应将商定或确定的事项通知合同当事人，并附详细依据。对总监理工程师的确定有异议的，构成争议，按照第24 条的约定处理。在争议解决前，双方应暂按总监理工程师的确定执行，按照第24 条的约定对总监理工程师的确定作出修改的，按修改后的结果执行。</w:t>
      </w:r>
    </w:p>
    <w:p w14:paraId="3D5E8028">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bookmarkStart w:id="3" w:name="_Toc265408493"/>
      <w:r>
        <w:rPr>
          <w:rFonts w:hint="eastAsia" w:ascii="宋体" w:hAnsi="宋体" w:eastAsia="宋体" w:cs="宋体"/>
          <w:b/>
          <w:bCs/>
          <w:sz w:val="21"/>
          <w:szCs w:val="21"/>
          <w:highlight w:val="none"/>
          <w:lang w:val="en-US" w:eastAsia="zh-CN"/>
        </w:rPr>
        <w:t>4  承包人</w:t>
      </w:r>
      <w:bookmarkEnd w:id="3"/>
    </w:p>
    <w:p w14:paraId="353241AA">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4.1 承包人的一般义务</w:t>
      </w:r>
    </w:p>
    <w:p w14:paraId="434C71E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 遵守法律</w:t>
      </w:r>
    </w:p>
    <w:p w14:paraId="218AED7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承包人在履行合同过程中应遵守法律，并保证发包人免于承担因承包人违反法律而引起的任何责任。</w:t>
      </w:r>
    </w:p>
    <w:p w14:paraId="74FCA75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4.1.2 依法纳税</w:t>
      </w:r>
    </w:p>
    <w:p w14:paraId="3C76A27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承包人应按有关法律规定纳税，应缴纳的税金包括在合同价格内。</w:t>
      </w:r>
    </w:p>
    <w:p w14:paraId="5EFC9F2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4.1.3 完成各项承包工作</w:t>
      </w:r>
    </w:p>
    <w:p w14:paraId="73632C2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合同约定以及监理人根据第3.4款作出的指示，实施、完成全部工程，并修补工程中的任何缺陷。除第5.2款、第6.2款另有约定外，承包人应提供为完成合同工作所需的劳务、材料、施工设备、工程设备和其它物品，并按合同约定负责临时设施的设计、建造、运行、维护、管理和拆除。</w:t>
      </w:r>
    </w:p>
    <w:p w14:paraId="64D58FE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4.1.4 对施工作业和施工方法的完备性负责</w:t>
      </w:r>
    </w:p>
    <w:p w14:paraId="5171D1B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承包人应按合同约定的工作内容和施工进度要求，编制施工组织设计和施工措施计划，并对所有施工作业和施工方法的完备性和安全可靠性负责。</w:t>
      </w:r>
    </w:p>
    <w:p w14:paraId="0021877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4.1.5 保证工程施工和人员的安全</w:t>
      </w:r>
    </w:p>
    <w:p w14:paraId="3E75B26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承包人应按第9.2 款约定采取施工安全措施，确保工程及其人员、材料、设备和设施的安全，防止因工程施工造成的人身伤害和财产损失。</w:t>
      </w:r>
    </w:p>
    <w:p w14:paraId="0C48E13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4.1.6 负责施工场地及其周边环境与生态的保护工作</w:t>
      </w:r>
    </w:p>
    <w:p w14:paraId="44E690C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承包人应按照第9.4 款约定负责施工场地及其周边环境与生态的保护工作。</w:t>
      </w:r>
    </w:p>
    <w:p w14:paraId="3B6577A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4.1.7 避免施工对公众与他人的利益造成损害</w:t>
      </w:r>
    </w:p>
    <w:p w14:paraId="233CA14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917F62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4.1.8 为他人提供方便</w:t>
      </w:r>
    </w:p>
    <w:p w14:paraId="094760D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承包人应按监理人的指示为他人在施工场地或附近实施与工程有关的其他各项工作提供可能的条件。除合同另有约定外，提供有关条件的内容和可能发生的费用，由监理人按第3.5 款商定或确定。</w:t>
      </w:r>
    </w:p>
    <w:p w14:paraId="267EEE3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4.1.9 工程的维护和照管</w:t>
      </w:r>
    </w:p>
    <w:p w14:paraId="2D3E5FC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7F59717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4.1.10 其他义务</w:t>
      </w:r>
    </w:p>
    <w:p w14:paraId="0AA296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其他义务在专用合同条款中补充约定。</w:t>
      </w:r>
    </w:p>
    <w:p w14:paraId="797F8D62">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4.2 履约担保</w:t>
      </w:r>
    </w:p>
    <w:p w14:paraId="731698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承包人应保证其履约担保在发包人颁发</w:t>
      </w:r>
      <w:r>
        <w:rPr>
          <w:rFonts w:hint="eastAsia" w:ascii="宋体" w:hAnsi="宋体" w:eastAsia="宋体" w:cs="宋体"/>
          <w:sz w:val="21"/>
          <w:szCs w:val="21"/>
          <w:highlight w:val="none"/>
          <w:lang w:val="en-US" w:eastAsia="zh-CN"/>
        </w:rPr>
        <w:t>合同</w:t>
      </w:r>
      <w:r>
        <w:rPr>
          <w:rFonts w:hint="eastAsia" w:ascii="宋体" w:hAnsi="宋体" w:eastAsia="宋体" w:cs="宋体"/>
          <w:sz w:val="21"/>
          <w:szCs w:val="21"/>
          <w:highlight w:val="none"/>
        </w:rPr>
        <w:t>工程完工证书前一直有效。发包人应在合同工程完工证书颁发后28 天内</w:t>
      </w:r>
      <w:r>
        <w:rPr>
          <w:rFonts w:hint="eastAsia" w:ascii="宋体" w:hAnsi="宋体" w:eastAsia="宋体" w:cs="宋体"/>
          <w:sz w:val="21"/>
          <w:szCs w:val="21"/>
          <w:highlight w:val="none"/>
          <w:lang w:val="en-US" w:eastAsia="zh-CN"/>
        </w:rPr>
        <w:t>将</w:t>
      </w:r>
      <w:r>
        <w:rPr>
          <w:rFonts w:hint="eastAsia" w:ascii="宋体" w:hAnsi="宋体" w:eastAsia="宋体" w:cs="宋体"/>
          <w:sz w:val="21"/>
          <w:szCs w:val="21"/>
          <w:highlight w:val="none"/>
        </w:rPr>
        <w:t>履约担保退还给承包人。</w:t>
      </w:r>
    </w:p>
    <w:p w14:paraId="3E5E6C8A">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4.3 分包</w:t>
      </w:r>
    </w:p>
    <w:p w14:paraId="1F2E2FE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4.3.1 承包人不得将其承包的全部工程转包给第三人，或将其承包的全部工程肢解后以分包的名义转包给第三人。</w:t>
      </w:r>
    </w:p>
    <w:p w14:paraId="7C5FF0E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4.3.2 承包人不得将工程主体、关键性工作分包给第三人。除专用合同条款另有约定外，未经发包人同意，承包人不得将工程的其他部分或工作分包给第三人。</w:t>
      </w:r>
    </w:p>
    <w:p w14:paraId="3A79A9D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4.3.3 分包人的资格能力应与其分包工程的标准和规模相适应。</w:t>
      </w:r>
    </w:p>
    <w:p w14:paraId="46B681D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4.3.4 按</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约定分包工程的，承包人应向发包人和监理人提交分包合同副本。</w:t>
      </w:r>
    </w:p>
    <w:p w14:paraId="4C1CDE9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4.3.5 承包人应与分包人就分包工程向发包人承担连带责任。</w:t>
      </w:r>
    </w:p>
    <w:p w14:paraId="0918364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4.3.6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3D3ED05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4.3.7　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2B534CB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由指定分包人造成的与其分包工作有关的一切索赔、诉讼和损失赔偿由指定分包人直接对发包人负责，承包人不对此承担责任。</w:t>
      </w:r>
    </w:p>
    <w:p w14:paraId="36796A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4.3.8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14:paraId="65C341E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4.3.9除第4.3.7款规定的指定分包外，承包人对其分包项目的实施以及分包人的行为向发包人负全部责任。承包人应对分包项目的工程进度、质量、安全、计量和验收等实施监督和管理。</w:t>
      </w:r>
    </w:p>
    <w:p w14:paraId="08DEEF4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4.3.10分包人应按专用合同条款的约定设立项目管理机构组织管理分包工程的施工活动。</w:t>
      </w:r>
    </w:p>
    <w:p w14:paraId="5A615E33">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4.4 联合体</w:t>
      </w:r>
    </w:p>
    <w:p w14:paraId="4786F77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4.4.1 联合体各方应共同与发包人签订合同协议书。联合体各方应为履行合同承担连带责任。</w:t>
      </w:r>
    </w:p>
    <w:p w14:paraId="6B330DD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4.4.2 联合体协议经发包人确认后作为合同附件。在履行合同过程中，未经发包人同意，不得修改联合体协议。</w:t>
      </w:r>
    </w:p>
    <w:p w14:paraId="777C943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4.4.3 联合体牵头人负责与发包人和监理人联系，并接受指示，负责组织联合体各成员全面履行合同。</w:t>
      </w:r>
    </w:p>
    <w:p w14:paraId="6673FAA9">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4.5 承包人项目经理</w:t>
      </w:r>
    </w:p>
    <w:p w14:paraId="1F683A3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074D72D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4.5.2 承包人项目经理应按合同约定以及监理人按第3.4款作出的指示，负责组织合同工程的实施。在情况紧急且无法与监理人取得联系时，可采取保证工程和人员生命财产</w:t>
      </w:r>
      <w:r>
        <w:rPr>
          <w:rFonts w:hint="eastAsia" w:ascii="宋体" w:hAnsi="宋体" w:eastAsia="宋体" w:cs="宋体"/>
          <w:sz w:val="21"/>
          <w:szCs w:val="21"/>
          <w:highlight w:val="none"/>
          <w:lang w:val="en-US" w:eastAsia="zh-CN"/>
        </w:rPr>
        <w:t>安全</w:t>
      </w:r>
      <w:r>
        <w:rPr>
          <w:rFonts w:hint="eastAsia" w:ascii="宋体" w:hAnsi="宋体" w:eastAsia="宋体" w:cs="宋体"/>
          <w:sz w:val="21"/>
          <w:szCs w:val="21"/>
          <w:highlight w:val="none"/>
        </w:rPr>
        <w:t>的紧急措施，并在采取措施后24小时内向监理人提交书面报告。</w:t>
      </w:r>
    </w:p>
    <w:p w14:paraId="4B2D1EF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4.5.3 承包人为履行合同发出的一切函件均应盖有承包人授权的施工场地管理机构章，并由承包人项目经理或其授权代表签字。</w:t>
      </w:r>
    </w:p>
    <w:p w14:paraId="17FDF3C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4.5.4 承包人项目经理可以授权其下属人员履行其某项职责，但事先应将这些人员的姓名和授权范围通知监理人。</w:t>
      </w:r>
    </w:p>
    <w:p w14:paraId="702B74EE">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4.6 承包人人员的管理</w:t>
      </w:r>
    </w:p>
    <w:p w14:paraId="790F523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441DD87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4.6.2 为完成合同约定的各项工作，承包人应向施工场地派遣或雇佣足够数量的下列人员：</w:t>
      </w:r>
    </w:p>
    <w:p w14:paraId="0084F20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（1）具有相应资格的专业技工和合格的普工；</w:t>
      </w:r>
    </w:p>
    <w:p w14:paraId="23D8046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（2）具有相应施工经验的技术人员；</w:t>
      </w:r>
    </w:p>
    <w:p w14:paraId="117616F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（3）具有相应岗位资格的各级管理人员。</w:t>
      </w:r>
    </w:p>
    <w:p w14:paraId="05F4CFC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4.6.3 承包人安排在施工场地的主要管理人员和技术骨干应相对稳定。承包人更换主要管理人员和技术骨干时，应取得监理人的同意。</w:t>
      </w:r>
    </w:p>
    <w:p w14:paraId="37B5D17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4.6.4 特殊岗位的工作人员均应持有相应的资格证明，监理人有权随时检查。监理人认为有必要时，可进行现场考核。</w:t>
      </w:r>
    </w:p>
    <w:p w14:paraId="2C776F7F">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4.7 撤换承包人项目经理和其他人员</w:t>
      </w:r>
    </w:p>
    <w:p w14:paraId="17E4C00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承包人应对其项目经理和其他人员进行有效管理。监理人要求撤换不能胜任本职工作、行为不端或玩忽职守的承包人项目经理和其他人员的，承包人应予以撤换。</w:t>
      </w:r>
    </w:p>
    <w:p w14:paraId="1EC3A039">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4.8 保障承包人人员的合法权益</w:t>
      </w:r>
    </w:p>
    <w:p w14:paraId="72CFCC2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4.8.1 承包人应与其雇佣的人员签订劳动合同，并按时发放工资。</w:t>
      </w:r>
    </w:p>
    <w:p w14:paraId="2EBA167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4.8.2 承包人应按劳动法的规定安排工作时间，保证其雇佣人员享有休息和休假的权利。因工程施工的特殊需要占用休假日或延长工作时间的，应不超过法律规定的限度，并按法律规定给予补休或付酬。</w:t>
      </w:r>
    </w:p>
    <w:p w14:paraId="485DE01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4.8.3 承包人应为其雇佣人员提供必要的食宿条件，以及符合环境保护和卫生要求的生活环境，在远离城镇的施工场地，还应配备必要的伤病防治和急救的医务人员与医疗设施。</w:t>
      </w:r>
    </w:p>
    <w:p w14:paraId="14A5E4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61CF6D8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4.8.5 承包人应按有关法律规定和合同约定，为其雇佣人员办理保险。</w:t>
      </w:r>
    </w:p>
    <w:p w14:paraId="16A510D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4.8.6 承包人应负责处理其雇佣人员因工伤亡事故的善后事宜。</w:t>
      </w:r>
    </w:p>
    <w:p w14:paraId="52BF8B8F">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4.9 工程价款应专款专用</w:t>
      </w:r>
    </w:p>
    <w:p w14:paraId="7B90E6B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发包人按合同约定支付给承包人的各项价款应专用于合同工程。</w:t>
      </w:r>
    </w:p>
    <w:p w14:paraId="5746FEBC">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4.10 承包人现场查勘</w:t>
      </w:r>
    </w:p>
    <w:p w14:paraId="36BE8A3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4.10.1 发包人应将其持有的现场地质勘探资料、水文气象资料提供给承包人，并对其准确胜负责。但承包人应对其阅读上述有关资料后所作出的解释和推断负责。</w:t>
      </w:r>
    </w:p>
    <w:p w14:paraId="5956A3E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4.10.2 承包人应对施工场地和周围环境进行查勘，并收集有关地质、水文、气象条件、交通条件、风俗习惯以及其他为完成合同工作有关的当地资料。在全部合同工作中，应视为承包人己充分估计了应承担的责任和风险。</w:t>
      </w:r>
    </w:p>
    <w:p w14:paraId="7EB905D7">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4.11 不利物质条件</w:t>
      </w:r>
    </w:p>
    <w:p w14:paraId="224F092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4.11.1除专用合同条款另有约定外，不利物质条件是指在施工中遭遇不可预见的外界障碍或自然条件造成施工受阻。</w:t>
      </w:r>
    </w:p>
    <w:p w14:paraId="518D419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4.11.2 承包人遇到不利物质条件时，应采取适应不利物质条件的合理措施继续施工，并及时通知监理人。承包人有权根据第23.1款的约定，要求延长工期及增加费用。监理人收到此类要求后，应在分析上述外界障碍或自然条件是否不可预见及不可预见程度的基础上，按照通用合同条款第15条的约定办理。</w:t>
      </w:r>
    </w:p>
    <w:p w14:paraId="49CF6531">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4" w:name="_Toc265408494"/>
      <w:r>
        <w:rPr>
          <w:rFonts w:hint="eastAsia" w:ascii="宋体" w:hAnsi="宋体" w:eastAsia="宋体" w:cs="宋体"/>
          <w:b/>
          <w:bCs/>
          <w:sz w:val="21"/>
          <w:szCs w:val="21"/>
          <w:highlight w:val="none"/>
        </w:rPr>
        <w:t>5  材料和工程设备</w:t>
      </w:r>
      <w:bookmarkEnd w:id="4"/>
    </w:p>
    <w:p w14:paraId="7571F61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5.1 承包人提供的材料和工程设备</w:t>
      </w:r>
    </w:p>
    <w:p w14:paraId="057B58A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5.1.1 除第5.2款约定由发包人提供的材料和工程设备外，承包人负责采购、运输和保管本合同工作所需的材料和工程设备。承包人应对其采购的材料和工程设备负责。</w:t>
      </w:r>
    </w:p>
    <w:p w14:paraId="55E1654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2561DCA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665DD92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5.2 发包人提供的材料和工程设备</w:t>
      </w:r>
    </w:p>
    <w:p w14:paraId="1575B29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5.2.1 发包人提供的材料和工程设备，应在专用合同条款中写明材料和工程设备的名称、规格、数量、价格、交货方式、交货地点和计划交货日期等。</w:t>
      </w:r>
    </w:p>
    <w:p w14:paraId="53D7AA5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5.2.2 承包人应根据合同进度计划的安排，向监理人报送要求发包人交货的日期计划。发包人应按照监理人与合同双方当事人商定的交货日期，向承包人提交材料和工程设备。</w:t>
      </w:r>
    </w:p>
    <w:p w14:paraId="3BD850F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5.2.3 发包人应在材料和工程设备到货７天前通知承包人，承包人应会同监理人在约定的时间内，赴交货地点共同进行验收。发包人提供的材料和工程设备运至交货地点验收后，由承包人负责接收、卸货、运输和保管。</w:t>
      </w:r>
    </w:p>
    <w:p w14:paraId="6D7FF31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5.2.4 发包人要求向承包人提前交货的，承包人不得拒绝，但发包人应承担承包人由此增加的费用。</w:t>
      </w:r>
    </w:p>
    <w:p w14:paraId="5A35901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5.2.5 承包人要求更改交货日期或地点的，应事先报请监理人批准。由于承包人要求更改交货时间或地点所增加的费用和（或）工期延误由承包人承担。</w:t>
      </w:r>
    </w:p>
    <w:p w14:paraId="41E7FC2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566E0395">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5.3 材料和工程设备专用于合同工程</w:t>
      </w:r>
    </w:p>
    <w:p w14:paraId="5208BB2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5.3.1 运入施工场地的材料、工程设备，包括备品备件、安装专用工器具与随机资料，必须专用于合同工程，未经监理人同意，承包人不得运出施工场地或挪作他用。</w:t>
      </w:r>
    </w:p>
    <w:p w14:paraId="2EF093D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469223DB">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5.4 禁止使用不合格的材料和工程设备</w:t>
      </w:r>
    </w:p>
    <w:p w14:paraId="58AD2CE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5.4.1 监理人有权拒绝承包人提供的不合格材料或工程设备，并要求承包人立即进行更换。监理人应在更换后再次进行检查和检验，由此增加的费用和（或）工期延误由承包人承担。</w:t>
      </w:r>
    </w:p>
    <w:p w14:paraId="06FDA7A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5.4.2 监理人发现承包人使用了不合格的材料和工程设备，应即时发出指示要求承包人立即改正，并禁止在工程中继续使用不合格的材料和工程设备。</w:t>
      </w:r>
    </w:p>
    <w:p w14:paraId="5FD0A4F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5.4.3 发包人提供的材料或工程设备不符合合同要求的，承包人有权拒绝，并可要求发包人更换，由此增加的费用和（或）工期延误由发包人承担。</w:t>
      </w:r>
    </w:p>
    <w:p w14:paraId="2275470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5" w:name="_Toc265408495"/>
      <w:r>
        <w:rPr>
          <w:rFonts w:hint="eastAsia" w:ascii="宋体" w:hAnsi="宋体" w:eastAsia="宋体" w:cs="宋体"/>
          <w:b/>
          <w:bCs/>
          <w:sz w:val="21"/>
          <w:szCs w:val="21"/>
          <w:highlight w:val="none"/>
        </w:rPr>
        <w:t>6  施工设备和临时设施</w:t>
      </w:r>
      <w:bookmarkEnd w:id="5"/>
    </w:p>
    <w:p w14:paraId="53BDD225">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6.1 承包人提供的施工设备和临时设施</w:t>
      </w:r>
    </w:p>
    <w:p w14:paraId="5E37487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6.1.1 承包人应按合同进度计划的要求，及时配置施工设备和修建临时设施。进入施工场地的承包人设备需经监理人核查后才能投入使用。承包人更换合同约定的承包人设备的，应报监理人批准。</w:t>
      </w:r>
    </w:p>
    <w:p w14:paraId="0FCC9C0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6.1.2 除专用合同条款另有约定外，承包人应自行承担修建临时设施的费用，需要临时占地的，应由发包人办理申请手续并承担相应费用。</w:t>
      </w:r>
    </w:p>
    <w:p w14:paraId="43386EA6">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6.2 发包人提供的施工设备和临时设施</w:t>
      </w:r>
    </w:p>
    <w:p w14:paraId="312F9FC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发包人提供的施工设备或临时设施在专用合同条款中约定。</w:t>
      </w:r>
    </w:p>
    <w:p w14:paraId="29169A1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6.3 要求承包人增加或更换施工设备</w:t>
      </w:r>
    </w:p>
    <w:p w14:paraId="4A63BEC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承包人使用的施工设备不能满足合同进度计划和（或）质量要求时，监理人有权要求承包人增加或更换施工设备，承包人应及时增加或更换，由此增加的费用和（或）工期延误由承包人承担。</w:t>
      </w:r>
    </w:p>
    <w:p w14:paraId="6B0768A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6.4 施工设备和临时设施专用于合同工程</w:t>
      </w:r>
    </w:p>
    <w:p w14:paraId="4F82BD0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6.4.1 除合同另有约定外，运入施工场地的所有施工设备以及在施工场地建设的临时设施应专用于合同工程。未经监理人同意，不得将上述施工设备和临时设施中的任何部分运出施工场地或挪作他用。</w:t>
      </w:r>
    </w:p>
    <w:p w14:paraId="501B97B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6.4.2 经监理人同意，承包人可根据合同进度计划撤走闲置的施工设备。</w:t>
      </w:r>
      <w:bookmarkStart w:id="6" w:name="_Toc265408496"/>
    </w:p>
    <w:p w14:paraId="1B1D276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  交通运输</w:t>
      </w:r>
      <w:bookmarkEnd w:id="6"/>
    </w:p>
    <w:p w14:paraId="02637065">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7.1 道路通行权和场外设施</w:t>
      </w:r>
    </w:p>
    <w:p w14:paraId="6C4186B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0E5A1247">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7.2 场内施工道路</w:t>
      </w:r>
    </w:p>
    <w:p w14:paraId="423A349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7.2.1 　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14:paraId="44A9A27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7.2.2 承包人修建的临时道路和交通设施，应免费提供发包人、监理人以及与本合同有关的其他承包人使用。</w:t>
      </w:r>
    </w:p>
    <w:p w14:paraId="66392EA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7.3 场外交通</w:t>
      </w:r>
    </w:p>
    <w:p w14:paraId="77D1DCC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7.3.1 承包人车辆外出行驶所需的场外公共道路的通行费、养路费和税款等由承包人承担。</w:t>
      </w:r>
    </w:p>
    <w:p w14:paraId="7E468EC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7.3.2 承包人应遵守有关交通法规，严格按照道路和桥梁的限制荷重安全行驶，并服从交通管理部门的检查和监督。</w:t>
      </w:r>
    </w:p>
    <w:p w14:paraId="5855F70F">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7.4 超大件和超重件的运输</w:t>
      </w:r>
    </w:p>
    <w:p w14:paraId="56079F7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7642FA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7.5 道路和桥梁的损坏责任</w:t>
      </w:r>
    </w:p>
    <w:p w14:paraId="505BAE0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因承包人运输造成施工场地内外公共道路和桥梁损坏的，由承包人承担修复损坏的全部费用和可能引起的赔偿。</w:t>
      </w:r>
    </w:p>
    <w:p w14:paraId="3AF33C2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7.6 水路和航空运输</w:t>
      </w:r>
    </w:p>
    <w:p w14:paraId="5558E42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本条上述各款的内容适用于水路运输和航空运输，其中“道路”一词的涵义包括河道、航线、船闸、机场、码头、堤防以及水路或航空运输中其他相似结构物；“车辆”一词的涯义包括船舶和飞机等。</w:t>
      </w:r>
    </w:p>
    <w:p w14:paraId="3DAB364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7" w:name="_Toc265408497"/>
      <w:r>
        <w:rPr>
          <w:rFonts w:hint="eastAsia" w:ascii="宋体" w:hAnsi="宋体" w:eastAsia="宋体" w:cs="宋体"/>
          <w:b/>
          <w:bCs/>
          <w:sz w:val="21"/>
          <w:szCs w:val="21"/>
          <w:highlight w:val="none"/>
        </w:rPr>
        <w:t>8  测量放线</w:t>
      </w:r>
      <w:bookmarkEnd w:id="7"/>
    </w:p>
    <w:p w14:paraId="61439D8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8.1 施工控制网</w:t>
      </w:r>
    </w:p>
    <w:p w14:paraId="741DCA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8.1.1 除专用合同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14:paraId="1930DF3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8.1.2 承包人应负责管理施工控制网点。施工控制网点丢失或损坏的，承包人应及时修复。承包人应承担施工控制网点的管理与修复费用，并在工程竣工后将施工控制网点移交发包人。</w:t>
      </w:r>
    </w:p>
    <w:p w14:paraId="45C62402">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8.2 施工测量</w:t>
      </w:r>
    </w:p>
    <w:p w14:paraId="38A80D8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8.2.1 承包人应负责施工过程中的全部施工测量放线工作，并配置合格的人员、仪器、设备和其他物品。</w:t>
      </w:r>
    </w:p>
    <w:p w14:paraId="125BE38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8.2.2 监理人可以指示承包人进行抽样复测，当复测中发现错误或出现超过合同约定的误差时，承包人应按监理人指示进行修正或补测，并承担相应的复测费用。</w:t>
      </w:r>
    </w:p>
    <w:p w14:paraId="52A7C45F">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8.3 基准资料错误的责任</w:t>
      </w:r>
    </w:p>
    <w:p w14:paraId="1B8F121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6C35B4E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8.4 监理人使用施工控制网</w:t>
      </w:r>
    </w:p>
    <w:p w14:paraId="769A4D5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监理人需要使用施工控制网的，承包人应提供必要的协助，发包人不再为此支付费用。</w:t>
      </w:r>
    </w:p>
    <w:p w14:paraId="01A7486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8.5 补充地质勘探</w:t>
      </w:r>
    </w:p>
    <w:p w14:paraId="7483C76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合同实施期间，监理人可以指示承包人进行必要的补充地质勘探并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14:paraId="2C4C828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8" w:name="_Toc265408498"/>
      <w:r>
        <w:rPr>
          <w:rFonts w:hint="eastAsia" w:ascii="宋体" w:hAnsi="宋体" w:eastAsia="宋体" w:cs="宋体"/>
          <w:b/>
          <w:bCs/>
          <w:sz w:val="21"/>
          <w:szCs w:val="21"/>
          <w:highlight w:val="none"/>
        </w:rPr>
        <w:t>9  施工安全、治安保卫和环境保护</w:t>
      </w:r>
      <w:bookmarkEnd w:id="8"/>
    </w:p>
    <w:p w14:paraId="60B5CD36">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9.1 发包人的施工安全责任</w:t>
      </w:r>
    </w:p>
    <w:p w14:paraId="1871CFA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9.1.1 　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6F1EA8E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9.1.2 发包人应对其现场机构雇佣的全部人员的工伤事故承担责任，但由于承包人原因造成发包人人员工伤的，应由承包人承担责任。</w:t>
      </w:r>
    </w:p>
    <w:p w14:paraId="76D6E4E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9.1.3 发包人应负责赔偿以下各种情况造成的第三者人身伤亡和财产损失：</w:t>
      </w:r>
    </w:p>
    <w:p w14:paraId="5F0A48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（l）工程或工程的任何部分对土地的占用所造成的第三者财产损失；</w:t>
      </w:r>
    </w:p>
    <w:p w14:paraId="5078588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（2）由于发包人原因在施工场地及其毗邻地带造成的第三者人身伤亡和财产损失。</w:t>
      </w:r>
    </w:p>
    <w:p w14:paraId="5F5CAF5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9.1.4 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14:paraId="5C7FD05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9.1.5 发包人按照已标价工程量清单所列金额和合同约定的计量支付规定，支付安全作业环境及安全施工措施所需费用。</w:t>
      </w:r>
    </w:p>
    <w:p w14:paraId="452C9A8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9.1.6 发包人负责组织工程参建单位编制保证安全生产的措施方案。工程开工前，就落实保证安全生产的措施进行全面系统的布置，进一步明确承包人的安全生产责任。</w:t>
      </w:r>
    </w:p>
    <w:p w14:paraId="3175697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9.1.7 发包人负责在拆除工程和爆破工程施工14天前向有关部门或机构报送相关备案资料。</w:t>
      </w:r>
    </w:p>
    <w:p w14:paraId="2084C8EF">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9.2 承包人的施工安全责任</w:t>
      </w:r>
    </w:p>
    <w:p w14:paraId="7617C8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 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2665395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9.2.2 承包人应加强施工作业安全管理，特别应加强易燃、易爆材料、火工器材、有毒与腐蚀性材料和其他危险品的管理，以及对爆破作业和地下工程施工等危险作业的管理。</w:t>
      </w:r>
    </w:p>
    <w:p w14:paraId="4F91CE2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9.2.3 承包人应严格按照国家安全标准制定施工安全操作规程，配备必要的安全生产和劳动保护设施，加强对承包人人员的安全教育，并发放安全工作手册和劳动保护用具。</w:t>
      </w:r>
    </w:p>
    <w:p w14:paraId="038A3FF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9.2.4 承包人应按监理人的指示制定应对灾害的紧急预案，报送监理人审批。承包人还应按预案做好安全检查，配置必要的救助物资和器材，切实保护好有关人员的人身和财产安全。</w:t>
      </w:r>
    </w:p>
    <w:p w14:paraId="1C4BDCB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9.2.5 合同约定的安全作业环境及安全施工措施所需费用应遵守有关规定，并包括在相关工作的合同价格中。因采取合同未约定的安全作业环境及安全施工措施增加的费用，由监理人按第3.5 款商定或确定。</w:t>
      </w:r>
    </w:p>
    <w:p w14:paraId="2186DB3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9.2.6 承包人应对其履行合同所雇佣的全部人员，包括分包人人员的工伤事故承担责任，但由于发包人原因造成承包人人员工伤事故的，应由发包人承担责任。</w:t>
      </w:r>
    </w:p>
    <w:p w14:paraId="6E1FDB1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9.2.7 由于承包人原因在施工场地内及其毗邻地带造成的第三者人员伤亡和财产损失，由承包人负责赔偿。</w:t>
      </w:r>
    </w:p>
    <w:p w14:paraId="16AAB96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9.2.8 承包人已标价工程量清单应包含工程安全作业环境及安全施工措施所需费用。</w:t>
      </w:r>
    </w:p>
    <w:p w14:paraId="2A8220B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42C4562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9.2.10 承包人应设立安全生产管理机构，施工现场应有专职安全生产管理人员。</w:t>
      </w:r>
    </w:p>
    <w:p w14:paraId="5EDB862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9.2.11 承包人应负责对特种作业人员进行专门的安全作业培训，并保证特种作业人员持证上岗。</w:t>
      </w:r>
    </w:p>
    <w:p w14:paraId="5A3CA2D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9.2.12 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1083F06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9.2.13 承包人在使用施工起重机械和整体提升脚手架、模板等自升式架设设施前，应组织有关单位进行验收。</w:t>
      </w:r>
    </w:p>
    <w:p w14:paraId="13C3591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9.3 治安保卫</w:t>
      </w:r>
    </w:p>
    <w:p w14:paraId="5228F69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9.3.1 除合同另有约定外，发包人应与当地公安部门协商，在现场建立治安管理机构或联防组织，统一管理施工场地的治安保卫事项，履行合同工程的治安保卫职责。</w:t>
      </w:r>
    </w:p>
    <w:p w14:paraId="60465F5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9.3.2 发包人和承包人除应协助现场治安管理机构或联防组织维护施工场地的社会治安外，还应做好包括生活区在内的各自管辖区的治安保卫工作。</w:t>
      </w:r>
    </w:p>
    <w:p w14:paraId="5F6BFE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41844597">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9.4 环境保护</w:t>
      </w:r>
    </w:p>
    <w:p w14:paraId="49FB4A9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9.4.1 承包人在施工过程中，应遵守有关环境保护的法律，履行合同约定的环境保护义务，并对违反法律和合同约定义务所造成的环境破坏、人身伤害和财产损失负责。</w:t>
      </w:r>
    </w:p>
    <w:p w14:paraId="7A120C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9.4.2 承包人应按合同约定的环保工作内容，编制施工环保措施计划，报送监理人审批。</w:t>
      </w:r>
    </w:p>
    <w:p w14:paraId="18F9EE0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31FEB7C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9.4.4 承包人应按合同约定采取有效措施，对施工开挖的边坡及时进行支护，维护排水设施，并进行水土保护，避免因施工造成的地质灾害。</w:t>
      </w:r>
    </w:p>
    <w:p w14:paraId="46B305E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9.4.5 承包人应按国家饮用水管理标准定期对饮用水源进行监测，防止施工活动污染饮用水源。</w:t>
      </w:r>
    </w:p>
    <w:p w14:paraId="5FFB91C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9.4.6 承包人应按合同约定，加强对噪声、粉尘、废气、废水和废油的控制，努力降低噪声，控制粉尘和废气浓度，做好废水和废油的治理和排放。</w:t>
      </w:r>
    </w:p>
    <w:p w14:paraId="6A5A4641">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9.5 事故处理</w:t>
      </w:r>
    </w:p>
    <w:p w14:paraId="0F2EF2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9.5.1 发包人负责组织参建单位制定本工程的质量与安全事故应急预案，建立质量与安全事故应急处置指挥部。</w:t>
      </w:r>
    </w:p>
    <w:p w14:paraId="008ECDC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9.5.2 承包人应对施工现场易发生重大事故的部位、环节进行监控，配备救援器材、设备，并定期组织演练。</w:t>
      </w:r>
    </w:p>
    <w:p w14:paraId="4A0BC7B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9.5.3 工程开工前，承包人应根据本工程的特点制定施工现场施工质量与安全事故应急预案，并报发包人备案。</w:t>
      </w:r>
    </w:p>
    <w:p w14:paraId="7E9CA53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9.5.4 施工过程中发生事故时，发包人、承包人应立即启动应急预案。</w:t>
      </w:r>
    </w:p>
    <w:p w14:paraId="0B36FE3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9.5.5 事故调查处理由发包人按相关规定履行手续，承包人应配合。</w:t>
      </w:r>
    </w:p>
    <w:p w14:paraId="3C4CA65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9.6 水土保持</w:t>
      </w:r>
    </w:p>
    <w:p w14:paraId="4769C98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9.6.1 发包人应及时向承包人提供水土保持方案。</w:t>
      </w:r>
    </w:p>
    <w:p w14:paraId="371269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9.6.2 承包人在施工过程中，应遵守有关水土保持的法律法规和规章，履行合同约定的水土保持义务，并对其违反法律和合同约定义务所造成的水土流失灾害、人身伤害和财产损失负责。</w:t>
      </w:r>
    </w:p>
    <w:p w14:paraId="3B271AF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9.6.3 承包人的水土保持措施计划，应满足技术标准和要求（合同技术条款）约定的要求。</w:t>
      </w:r>
    </w:p>
    <w:p w14:paraId="4AD67049">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9.7 文明工地</w:t>
      </w:r>
    </w:p>
    <w:p w14:paraId="4BFDEA3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9.7.1 发包人应按专用合同条款的约定，负责建立创建文明建设工地的组织机构，制定创建文明建设工地的规划和办法。</w:t>
      </w:r>
    </w:p>
    <w:p w14:paraId="376B0BA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9.7.2 承包人应按创建文明建设工地的规划和办法，履行职责，承担相应责任。所需费用应含在已标价工程量清单中。</w:t>
      </w:r>
    </w:p>
    <w:p w14:paraId="5D46F64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9.8 防汛度汛</w:t>
      </w:r>
    </w:p>
    <w:p w14:paraId="5805AE8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9.8.1 发包人负责组织工程参建单位编制本工程的度汛方案和措施。</w:t>
      </w:r>
    </w:p>
    <w:p w14:paraId="0FE2442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9.8.2 承包人应根据发包人编制的本工程度汛方案和措施，制定相应的度汛方案，报发包人批准后实施。</w:t>
      </w:r>
    </w:p>
    <w:p w14:paraId="1B6F8FC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9" w:name="_Toc265408499"/>
      <w:r>
        <w:rPr>
          <w:rFonts w:hint="eastAsia" w:ascii="宋体" w:hAnsi="宋体" w:eastAsia="宋体" w:cs="宋体"/>
          <w:b/>
          <w:bCs/>
          <w:sz w:val="21"/>
          <w:szCs w:val="21"/>
          <w:highlight w:val="none"/>
        </w:rPr>
        <w:t>10  进度计划</w:t>
      </w:r>
      <w:bookmarkEnd w:id="9"/>
    </w:p>
    <w:p w14:paraId="15819E0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10.1 合同进度计划</w:t>
      </w:r>
    </w:p>
    <w:p w14:paraId="72B2E17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2F0DB5B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10.2 合同进度计划的修订</w:t>
      </w:r>
    </w:p>
    <w:p w14:paraId="1A16646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1E87A22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p>
    <w:p w14:paraId="1EB7C1D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10.3　单位工程进度计划</w:t>
      </w:r>
    </w:p>
    <w:p w14:paraId="7852171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监理人认为有必要时，承包人应按监理人指示的内容和期限，并根据合同进度计划的进度控制要求，编制单位工程进度计划，提交监理人审批。</w:t>
      </w:r>
    </w:p>
    <w:p w14:paraId="114759F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10.4　提交资金流估算表</w:t>
      </w:r>
    </w:p>
    <w:p w14:paraId="5AFF953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 </w:t>
      </w:r>
    </w:p>
    <w:p w14:paraId="21BCB9DA">
      <w:pPr>
        <w:pageBreakBefore w:val="0"/>
        <w:widowControl w:val="0"/>
        <w:kinsoku/>
        <w:wordWrap/>
        <w:overflowPunct/>
        <w:topLinePunct w:val="0"/>
        <w:bidi w:val="0"/>
        <w:snapToGrid/>
        <w:spacing w:line="312" w:lineRule="auto"/>
        <w:ind w:firstLine="420" w:firstLineChars="20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资金流估算表（参考表格）              金额单位</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
        <w:gridCol w:w="561"/>
        <w:gridCol w:w="1239"/>
        <w:gridCol w:w="1497"/>
        <w:gridCol w:w="1260"/>
        <w:gridCol w:w="821"/>
        <w:gridCol w:w="1180"/>
        <w:gridCol w:w="642"/>
        <w:gridCol w:w="796"/>
        <w:gridCol w:w="1080"/>
      </w:tblGrid>
      <w:tr w14:paraId="4F509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519" w:type="dxa"/>
            <w:noWrap w:val="0"/>
            <w:vAlign w:val="center"/>
          </w:tcPr>
          <w:p w14:paraId="3FC2DE4F">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年</w:t>
            </w:r>
          </w:p>
        </w:tc>
        <w:tc>
          <w:tcPr>
            <w:tcW w:w="561" w:type="dxa"/>
            <w:noWrap w:val="0"/>
            <w:vAlign w:val="center"/>
          </w:tcPr>
          <w:p w14:paraId="2AE8FCEE">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月</w:t>
            </w:r>
          </w:p>
        </w:tc>
        <w:tc>
          <w:tcPr>
            <w:tcW w:w="1239" w:type="dxa"/>
            <w:noWrap w:val="0"/>
            <w:vAlign w:val="center"/>
          </w:tcPr>
          <w:p w14:paraId="02AFBFF2">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工程预付款</w:t>
            </w:r>
          </w:p>
        </w:tc>
        <w:tc>
          <w:tcPr>
            <w:tcW w:w="1497" w:type="dxa"/>
            <w:noWrap w:val="0"/>
            <w:vAlign w:val="center"/>
          </w:tcPr>
          <w:p w14:paraId="30317FC4">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完成工作量付款</w:t>
            </w:r>
          </w:p>
        </w:tc>
        <w:tc>
          <w:tcPr>
            <w:tcW w:w="1260" w:type="dxa"/>
            <w:noWrap w:val="0"/>
            <w:vAlign w:val="center"/>
          </w:tcPr>
          <w:p w14:paraId="58BDA865">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质量保证金扣留</w:t>
            </w:r>
          </w:p>
        </w:tc>
        <w:tc>
          <w:tcPr>
            <w:tcW w:w="821" w:type="dxa"/>
            <w:noWrap w:val="0"/>
            <w:vAlign w:val="center"/>
          </w:tcPr>
          <w:p w14:paraId="611864D7">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材料款扣除</w:t>
            </w:r>
          </w:p>
        </w:tc>
        <w:tc>
          <w:tcPr>
            <w:tcW w:w="1180" w:type="dxa"/>
            <w:noWrap w:val="0"/>
            <w:vAlign w:val="center"/>
          </w:tcPr>
          <w:p w14:paraId="04FF3C0D">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预付款扣还</w:t>
            </w:r>
          </w:p>
        </w:tc>
        <w:tc>
          <w:tcPr>
            <w:tcW w:w="642" w:type="dxa"/>
            <w:noWrap w:val="0"/>
            <w:vAlign w:val="center"/>
          </w:tcPr>
          <w:p w14:paraId="59EDEEB8">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其他</w:t>
            </w:r>
          </w:p>
        </w:tc>
        <w:tc>
          <w:tcPr>
            <w:tcW w:w="796" w:type="dxa"/>
            <w:noWrap w:val="0"/>
            <w:vAlign w:val="center"/>
          </w:tcPr>
          <w:p w14:paraId="44011781">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应收款</w:t>
            </w:r>
          </w:p>
        </w:tc>
        <w:tc>
          <w:tcPr>
            <w:tcW w:w="1080" w:type="dxa"/>
            <w:noWrap w:val="0"/>
            <w:vAlign w:val="center"/>
          </w:tcPr>
          <w:p w14:paraId="7E731A9A">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累计应收款</w:t>
            </w:r>
          </w:p>
        </w:tc>
      </w:tr>
      <w:tr w14:paraId="28F64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19" w:type="dxa"/>
            <w:noWrap w:val="0"/>
            <w:vAlign w:val="center"/>
          </w:tcPr>
          <w:p w14:paraId="5DE6E337">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561" w:type="dxa"/>
            <w:noWrap w:val="0"/>
            <w:vAlign w:val="center"/>
          </w:tcPr>
          <w:p w14:paraId="5C9DC658">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39" w:type="dxa"/>
            <w:noWrap w:val="0"/>
            <w:vAlign w:val="center"/>
          </w:tcPr>
          <w:p w14:paraId="5474A3AD">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497" w:type="dxa"/>
            <w:noWrap w:val="0"/>
            <w:vAlign w:val="center"/>
          </w:tcPr>
          <w:p w14:paraId="18C0865C">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60" w:type="dxa"/>
            <w:noWrap w:val="0"/>
            <w:vAlign w:val="center"/>
          </w:tcPr>
          <w:p w14:paraId="2F5B7687">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821" w:type="dxa"/>
            <w:noWrap w:val="0"/>
            <w:vAlign w:val="center"/>
          </w:tcPr>
          <w:p w14:paraId="08E91204">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180" w:type="dxa"/>
            <w:noWrap w:val="0"/>
            <w:vAlign w:val="center"/>
          </w:tcPr>
          <w:p w14:paraId="7F11CF63">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642" w:type="dxa"/>
            <w:noWrap w:val="0"/>
            <w:vAlign w:val="center"/>
          </w:tcPr>
          <w:p w14:paraId="4C0F11FE">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796" w:type="dxa"/>
            <w:noWrap w:val="0"/>
            <w:vAlign w:val="center"/>
          </w:tcPr>
          <w:p w14:paraId="618025D2">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080" w:type="dxa"/>
            <w:noWrap w:val="0"/>
            <w:vAlign w:val="center"/>
          </w:tcPr>
          <w:p w14:paraId="0F6A302D">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r>
      <w:tr w14:paraId="75C22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19" w:type="dxa"/>
            <w:noWrap w:val="0"/>
            <w:vAlign w:val="center"/>
          </w:tcPr>
          <w:p w14:paraId="278947B6">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561" w:type="dxa"/>
            <w:noWrap w:val="0"/>
            <w:vAlign w:val="center"/>
          </w:tcPr>
          <w:p w14:paraId="27C33B86">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39" w:type="dxa"/>
            <w:noWrap w:val="0"/>
            <w:vAlign w:val="center"/>
          </w:tcPr>
          <w:p w14:paraId="1FA6BD16">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497" w:type="dxa"/>
            <w:noWrap w:val="0"/>
            <w:vAlign w:val="center"/>
          </w:tcPr>
          <w:p w14:paraId="258C86DF">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60" w:type="dxa"/>
            <w:noWrap w:val="0"/>
            <w:vAlign w:val="center"/>
          </w:tcPr>
          <w:p w14:paraId="31BE052A">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821" w:type="dxa"/>
            <w:noWrap w:val="0"/>
            <w:vAlign w:val="center"/>
          </w:tcPr>
          <w:p w14:paraId="5CE25734">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180" w:type="dxa"/>
            <w:noWrap w:val="0"/>
            <w:vAlign w:val="center"/>
          </w:tcPr>
          <w:p w14:paraId="76FA26E6">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642" w:type="dxa"/>
            <w:noWrap w:val="0"/>
            <w:vAlign w:val="center"/>
          </w:tcPr>
          <w:p w14:paraId="41643F9E">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796" w:type="dxa"/>
            <w:noWrap w:val="0"/>
            <w:vAlign w:val="center"/>
          </w:tcPr>
          <w:p w14:paraId="04D817CB">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080" w:type="dxa"/>
            <w:noWrap w:val="0"/>
            <w:vAlign w:val="center"/>
          </w:tcPr>
          <w:p w14:paraId="75B38763">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r>
      <w:tr w14:paraId="311B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519" w:type="dxa"/>
            <w:noWrap w:val="0"/>
            <w:vAlign w:val="center"/>
          </w:tcPr>
          <w:p w14:paraId="07F44642">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561" w:type="dxa"/>
            <w:noWrap w:val="0"/>
            <w:vAlign w:val="center"/>
          </w:tcPr>
          <w:p w14:paraId="5E24D0E6">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39" w:type="dxa"/>
            <w:noWrap w:val="0"/>
            <w:vAlign w:val="center"/>
          </w:tcPr>
          <w:p w14:paraId="47F301C2">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497" w:type="dxa"/>
            <w:noWrap w:val="0"/>
            <w:vAlign w:val="center"/>
          </w:tcPr>
          <w:p w14:paraId="32ABC2C7">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60" w:type="dxa"/>
            <w:noWrap w:val="0"/>
            <w:vAlign w:val="center"/>
          </w:tcPr>
          <w:p w14:paraId="7CF0A150">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821" w:type="dxa"/>
            <w:noWrap w:val="0"/>
            <w:vAlign w:val="center"/>
          </w:tcPr>
          <w:p w14:paraId="45C01E5C">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180" w:type="dxa"/>
            <w:noWrap w:val="0"/>
            <w:vAlign w:val="center"/>
          </w:tcPr>
          <w:p w14:paraId="1B7CE33E">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642" w:type="dxa"/>
            <w:noWrap w:val="0"/>
            <w:vAlign w:val="center"/>
          </w:tcPr>
          <w:p w14:paraId="4BE169AF">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796" w:type="dxa"/>
            <w:noWrap w:val="0"/>
            <w:vAlign w:val="center"/>
          </w:tcPr>
          <w:p w14:paraId="7BBB00BD">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080" w:type="dxa"/>
            <w:noWrap w:val="0"/>
            <w:vAlign w:val="center"/>
          </w:tcPr>
          <w:p w14:paraId="0D390CFC">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r>
    </w:tbl>
    <w:p w14:paraId="51CC233B">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0" w:name="_Toc265408500"/>
      <w:r>
        <w:rPr>
          <w:rFonts w:hint="eastAsia" w:ascii="宋体" w:hAnsi="宋体" w:eastAsia="宋体" w:cs="宋体"/>
          <w:b/>
          <w:bCs/>
          <w:sz w:val="21"/>
          <w:szCs w:val="21"/>
          <w:highlight w:val="none"/>
        </w:rPr>
        <w:t>11  开工和竣工</w:t>
      </w:r>
      <w:bookmarkEnd w:id="10"/>
      <w:r>
        <w:rPr>
          <w:rFonts w:hint="eastAsia" w:ascii="宋体" w:hAnsi="宋体" w:eastAsia="宋体" w:cs="宋体"/>
          <w:b/>
          <w:bCs/>
          <w:sz w:val="21"/>
          <w:szCs w:val="21"/>
          <w:highlight w:val="none"/>
        </w:rPr>
        <w:t>（完工）</w:t>
      </w:r>
    </w:p>
    <w:p w14:paraId="15AE00B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11.1 开工</w:t>
      </w:r>
    </w:p>
    <w:p w14:paraId="4ACB11B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11.1.1 监理人应在开工日期7天前向承包人发出开工通知。监理人在发出开工通知前应获得发包人同意。工期自监理人发出的开工通知中载明的开工日期起计算。承包人应在开工日期后尽快施工。</w:t>
      </w:r>
    </w:p>
    <w:p w14:paraId="09A08B5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11.1.2 承包人应按第10.1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259057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11.1.3 若发包人未能按合同约定向承包人提供开工的必要条件，承包人有权要求延长工期。监理人应在收到承包人的书面要求后，按第3.5款的约定，与合同双方商定或确定增加的费用和延长的工期。</w:t>
      </w:r>
    </w:p>
    <w:p w14:paraId="60585EB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14:paraId="4D0BF5A9">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11.2 竣工（完工）</w:t>
      </w:r>
    </w:p>
    <w:p w14:paraId="6A535E9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承包人应在第1.1.4.3目约定的期限内完成合同工程。合同工程实际完工日期在合同工程完工证书中明确。</w:t>
      </w:r>
    </w:p>
    <w:p w14:paraId="2516D6AF">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11.3 发包人的工期延误</w:t>
      </w:r>
    </w:p>
    <w:p w14:paraId="777D9AB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在履行合同过程中，由于发包人的下列原因造成工期延误的，承包人有权要求发包人延长工期和（或）增加费用，并支付合理利润。需要修订合同进度计划的，按照第10.2 款的约定办理。</w:t>
      </w:r>
    </w:p>
    <w:p w14:paraId="252398D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（l）增加合同工作内容；</w:t>
      </w:r>
    </w:p>
    <w:p w14:paraId="4A74C7A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（2）改变合同中任何一项工作的质量要求或其他特性；</w:t>
      </w:r>
    </w:p>
    <w:p w14:paraId="21E2B33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（3）发包人迟延提供材料、工程设备或变更交货地点的；</w:t>
      </w:r>
    </w:p>
    <w:p w14:paraId="5515056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（4）因发包人原因导致的暂停施工；</w:t>
      </w:r>
    </w:p>
    <w:p w14:paraId="60AAF8D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（5）提供图纸延误；</w:t>
      </w:r>
    </w:p>
    <w:p w14:paraId="05E00F8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（6）未按合同约定及时支付预付款、进度款；</w:t>
      </w:r>
    </w:p>
    <w:p w14:paraId="71FDB63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（7）发包人造成工期延误的其他原因。</w:t>
      </w:r>
    </w:p>
    <w:p w14:paraId="0976934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11.4 异常恶劣的气候条件</w:t>
      </w:r>
    </w:p>
    <w:p w14:paraId="52367B1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11.4.1 当工程所在地发生危及施工安全的异常恶劣气候时，发包人和承包人应按本合同通用合同条款第12条的约定，及时采取暂停施工或部分暂停施工措施。异常恶劣气候条件解除后，承包人应及时安排复工。</w:t>
      </w:r>
    </w:p>
    <w:p w14:paraId="097DD12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11.4.2 异常恶劣气候条件造成的工期延误和工程损坏，应由发包人与承包人参照本合同通用合同条款第21.3款的约定协商处理。</w:t>
      </w:r>
    </w:p>
    <w:p w14:paraId="315AE5D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11.4.3 本合同工程界定异常恶劣气候条件的范围在专用合同条款中约定。</w:t>
      </w:r>
    </w:p>
    <w:p w14:paraId="7018FF11">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11.5 承包人的工期延误</w:t>
      </w:r>
    </w:p>
    <w:p w14:paraId="2BF649E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4321BB97">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11.6 工期提前</w:t>
      </w:r>
    </w:p>
    <w:p w14:paraId="0EB035F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43AA181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发包人要求提前完工的，双方协商一致后应签订提前完工协议，协议内容包括：</w:t>
      </w:r>
    </w:p>
    <w:p w14:paraId="759C0FF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（1）提前的时间和修订后的进度计划；</w:t>
      </w:r>
    </w:p>
    <w:p w14:paraId="1C314AE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（2）承包人的赶工措施；</w:t>
      </w:r>
    </w:p>
    <w:p w14:paraId="6EC4D70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（3）发包人为赶工提供的条件；</w:t>
      </w:r>
    </w:p>
    <w:p w14:paraId="6F6E8A0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（4）赶工费用（包括利润和奖金）。</w:t>
      </w:r>
    </w:p>
    <w:p w14:paraId="6F8F9526">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1" w:name="_Toc265408501"/>
      <w:r>
        <w:rPr>
          <w:rFonts w:hint="eastAsia" w:ascii="宋体" w:hAnsi="宋体" w:eastAsia="宋体" w:cs="宋体"/>
          <w:b/>
          <w:bCs/>
          <w:sz w:val="21"/>
          <w:szCs w:val="21"/>
          <w:highlight w:val="none"/>
        </w:rPr>
        <w:t>12  暂停施工</w:t>
      </w:r>
      <w:bookmarkEnd w:id="11"/>
    </w:p>
    <w:p w14:paraId="0C72761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12.1 承包人暂停施工的责任</w:t>
      </w:r>
    </w:p>
    <w:p w14:paraId="1361348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因下列暂停施工增加的费用和（或）工期延误由承包人承担：</w:t>
      </w:r>
    </w:p>
    <w:p w14:paraId="13FC315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（1）承包人违约引起的暂停施工；</w:t>
      </w:r>
    </w:p>
    <w:p w14:paraId="2591C24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（2）由于承包人原因为工程合理施工和安全保障所必需的暂停施工；</w:t>
      </w:r>
    </w:p>
    <w:p w14:paraId="779A3DF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（3）承包人擅自暂停施工；</w:t>
      </w:r>
    </w:p>
    <w:p w14:paraId="214ED05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（4）承包人其他原因引起的暂停施工；</w:t>
      </w:r>
    </w:p>
    <w:p w14:paraId="4C1081F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（5）专用合同条款约定由承包人承担的其他暂停施工。</w:t>
      </w:r>
    </w:p>
    <w:p w14:paraId="0876F78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12.2 发包人暂停施工的责任</w:t>
      </w:r>
    </w:p>
    <w:p w14:paraId="66EF9A7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由于发包人原因引起的暂停施工造成工期延误的，承包人有权要求发包人延长工期和（或）增加费用，并支付合理利润。</w:t>
      </w:r>
    </w:p>
    <w:p w14:paraId="2EB0839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属于下列任何一种情况引起的暂停施工，均为发包人的责任：</w:t>
      </w:r>
    </w:p>
    <w:p w14:paraId="6233494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（1）由于发包人违约引起的暂停施工；</w:t>
      </w:r>
    </w:p>
    <w:p w14:paraId="614698E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（2）由于不可抗力的自然或社会因素引起的暂停施工；</w:t>
      </w:r>
    </w:p>
    <w:p w14:paraId="4CDD74E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（3）专用合同条款中约定的其它由于发包人原因引起的暂停施工。</w:t>
      </w:r>
    </w:p>
    <w:p w14:paraId="5824C84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12.3 监理人暂停施工指示</w:t>
      </w:r>
    </w:p>
    <w:p w14:paraId="0F4F01D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12.3.1 监理人认为有必要时，可向承包人作出暂停施工的指示，承包人应按监理人指示暂停施工。不论由于何种原因引起的暂停施工，暂停施工期间承包人应负责妥善保护工程并提供安全保障。</w:t>
      </w:r>
    </w:p>
    <w:p w14:paraId="409B857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466F935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12.4 暂停施工后的复工</w:t>
      </w:r>
    </w:p>
    <w:p w14:paraId="75622C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15589B7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12.4.2 承包人无故拖延和拒绝复工的，由此增加的费用和工期延误由承包人承担；因发包人原因无法按时复工的，承包人有权要求发包人延长工期和（或）增加费用，并支付合理利润。</w:t>
      </w:r>
    </w:p>
    <w:p w14:paraId="4060CE51">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12.5 暂停施工持续56 天以上</w:t>
      </w:r>
    </w:p>
    <w:p w14:paraId="7C89416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12.5.1 监理人发出暂停施工指示后56 天内未向承包人发出复工通知，除了该项停工属于第12.1 款的情况外，承包人可向监理人提交书面通知，要求监理人在收到书面通知后28天内准许已暂停施工的工程或其中一部分工程继续施工。如监理人逾期不予批准，则承包人可以通知监理人，将工程受影响的部分视为按第15.1（l）款的可取消工作。如暂停施工影响到整个工程，可视为发包人违约，应按第22.2 款的规定办理。</w:t>
      </w:r>
    </w:p>
    <w:p w14:paraId="10CE247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12.5.2 由于承包人责任引起的暂停施工，如承包人在收到监理人暂停施工指示后56 天内不认真采取有效的复工措施，造成工期延误，可视为承包人违约，应按第22.1 款的规定办理。</w:t>
      </w:r>
    </w:p>
    <w:p w14:paraId="2AFFFAD6">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2" w:name="_Toc265408502"/>
      <w:r>
        <w:rPr>
          <w:rFonts w:hint="eastAsia" w:ascii="宋体" w:hAnsi="宋体" w:eastAsia="宋体" w:cs="宋体"/>
          <w:b/>
          <w:bCs/>
          <w:sz w:val="21"/>
          <w:szCs w:val="21"/>
          <w:highlight w:val="none"/>
        </w:rPr>
        <w:t>13  工程质量</w:t>
      </w:r>
      <w:bookmarkEnd w:id="12"/>
    </w:p>
    <w:p w14:paraId="73EF66B6">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13.1 工程质量要求</w:t>
      </w:r>
    </w:p>
    <w:p w14:paraId="4074B54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13.1.1 工程质量验收按合同约定验收标准执行。</w:t>
      </w:r>
    </w:p>
    <w:p w14:paraId="3BB6DAD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13.1.2 因承包人原因造成工程质量达不到合同约定验收标准的，监理人有权要求承包人返工直至符合合同要求为止，由此造成的费用增加和（或）工期延误由承包人承担。</w:t>
      </w:r>
    </w:p>
    <w:p w14:paraId="6805C5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13.1.3 因发包人原因造成工程质量达不到合同约定验收标准的，发包人应承担由于承包人返工造成的费用增加和（或）工期延误，并支付承包人合理利润。</w:t>
      </w:r>
    </w:p>
    <w:p w14:paraId="4571A599">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13.2 承包人的质量管理</w:t>
      </w:r>
    </w:p>
    <w:p w14:paraId="5A91981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13.2.1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14:paraId="567108B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13.2.2 承包人应加强对施工人员的质量教育和技术培训，定期考核施工人员的劳动技能，严格执行规范和操作规程。</w:t>
      </w:r>
    </w:p>
    <w:p w14:paraId="29E8FA4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13.3 承包人的质量检查</w:t>
      </w:r>
    </w:p>
    <w:p w14:paraId="4B55B2F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承包人应按合同约定对材料、工程设备以及工程的所有部位及其施工工艺进行全过程的质量检查和检验，并作详细记录，编制工程质量报表，报送监理人审查。</w:t>
      </w:r>
    </w:p>
    <w:p w14:paraId="041280E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13.4 监理人的质量检查</w:t>
      </w:r>
    </w:p>
    <w:p w14:paraId="7073F6D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2E1D0915">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13.5 工程隐蔽部位覆盖前的检查</w:t>
      </w:r>
    </w:p>
    <w:p w14:paraId="2482AC3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13.5.1 通知监理人检查</w:t>
      </w:r>
    </w:p>
    <w:p w14:paraId="794C9C4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44BC0FE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13.5.2 监理人未到场检查</w:t>
      </w:r>
    </w:p>
    <w:p w14:paraId="6579518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监理人未按第13.5.l 款约定的时间进行检查的，除监理人另有指示外，承包人可自行完成覆盖工作，并作相应记录报送监理人，监理人应签字确认。监理人事后对检查记录有疑问的，可按第13.5.3 款的约定重新检查。</w:t>
      </w:r>
    </w:p>
    <w:p w14:paraId="2CD1542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13.5.3 监理人重新检查</w:t>
      </w:r>
    </w:p>
    <w:p w14:paraId="23627BA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承包人按第13.5.1 款或第13.5.2 款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26D550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13.5.4 承包人私自覆盖</w:t>
      </w:r>
    </w:p>
    <w:p w14:paraId="2826321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承包人未通知监理人到场检查，私自将工程隐蔽部位覆盖的，监理人有权指示承包人钻孔探测或揭开检查，由此增加的费用和（或）工期延误由承包人承担。</w:t>
      </w:r>
    </w:p>
    <w:p w14:paraId="288A69CF">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13.6 清除不合格工程</w:t>
      </w:r>
    </w:p>
    <w:p w14:paraId="7FC2824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769999C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13.6.2 由于发包人提供的材料或工程设备不合格造成的工程不合格，需要承包人采取措施补救的，发包人应承担由此增加的费用和（或）工期延误，并支付承包人合理利润。</w:t>
      </w:r>
    </w:p>
    <w:p w14:paraId="60151E60">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13.7 质量评定</w:t>
      </w:r>
    </w:p>
    <w:p w14:paraId="7305EB1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13.7.1 发包人应组织承包人进行工程项目划分，并确定单位工程、主要分部工程、重要隐蔽单元工程和关键部位单元工程。</w:t>
      </w:r>
    </w:p>
    <w:p w14:paraId="367E9CA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13.7.2 工程实施过程中，单位工程、主要分部工程、重要隐蔽单元工程和关键部位单元工程的项目划分需要调整时，承包人应报发包人确认。</w:t>
      </w:r>
    </w:p>
    <w:p w14:paraId="6AF1971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13.7.3 承包人应在单元（工序）工程质量自评合格后，报监理人核定质量等级并签证认可。</w:t>
      </w:r>
    </w:p>
    <w:p w14:paraId="7C0D6DE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13.7.4 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2AFB458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13.7.5 承包人应在分部工程质量自评合格后，报监理人复核和发包人认定。发包人负责按有关规定完成分部工程质量结论报工程质量监督机构核备（核定）手续。</w:t>
      </w:r>
    </w:p>
    <w:p w14:paraId="219389F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13.7.6 承包人应在单位工程质量自评合格后，报监理人复核和发包人认定。发包人负责按有关规定完成单位工程质量结论报工程质量监督机构核定手续。</w:t>
      </w:r>
    </w:p>
    <w:p w14:paraId="66A6C94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13.7.7 除专用合同条款另有约定外，工程质量等级分为合格和优良，应分别达到约定的标准。</w:t>
      </w:r>
    </w:p>
    <w:p w14:paraId="4F2B3699">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13.8 质量事故处理</w:t>
      </w:r>
    </w:p>
    <w:p w14:paraId="24E6114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13.8.1 发生质量事故时，承包人应及时向发包人和监理人报告。</w:t>
      </w:r>
    </w:p>
    <w:p w14:paraId="39F1417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13.8.2 质量事故调查处理由发包人按相关规定履行手续，承包人应配合。</w:t>
      </w:r>
    </w:p>
    <w:p w14:paraId="541DD66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13.8.3 承包人应对质量缺陷进行备案。发包人委托监理人对质量缺陷备案情况进行监督检查并履行相关手续。</w:t>
      </w:r>
    </w:p>
    <w:p w14:paraId="679B163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13.8.4 除专用合同条款另有约定外，工程竣工验收时，发包人负责向竣工验收委员会汇报并提交历次质量缺陷处理的备案资料。</w:t>
      </w:r>
    </w:p>
    <w:p w14:paraId="320F2530">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3" w:name="_Toc265408503"/>
      <w:r>
        <w:rPr>
          <w:rFonts w:hint="eastAsia" w:ascii="宋体" w:hAnsi="宋体" w:eastAsia="宋体" w:cs="宋体"/>
          <w:b/>
          <w:bCs/>
          <w:sz w:val="21"/>
          <w:szCs w:val="21"/>
          <w:highlight w:val="none"/>
        </w:rPr>
        <w:t>14  试验和检验</w:t>
      </w:r>
      <w:bookmarkEnd w:id="13"/>
    </w:p>
    <w:p w14:paraId="13DF190F">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14.1 材料、工程设备和工程的试验和检验</w:t>
      </w:r>
    </w:p>
    <w:p w14:paraId="62BD8F4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05BB79D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14.1.2 监理人未按合同约定派员参加试验和检验的，除监理人另有指示外，承包人可自行试验和检验，并应立即将试验和检验结果报送监理人，监理人应签字确认。</w:t>
      </w:r>
    </w:p>
    <w:p w14:paraId="69D1566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72585EA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14.1.4 承包人应按相关规定和标准对水泥、钢材等原材料与中间产品质量进行检验，并报监理人复核。</w:t>
      </w:r>
    </w:p>
    <w:p w14:paraId="23DE24D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14.1.5 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6F4C218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14.1.6 对专用合同条款约定的试块、试件及有关材料，监理人实行见证取样。见证取样资料由承包人制备，记录应真实齐全，监理人、承包人等参与见证取样人员均应在相关文件上签字。</w:t>
      </w:r>
    </w:p>
    <w:p w14:paraId="57AA97C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14.2 现场材料试验</w:t>
      </w:r>
    </w:p>
    <w:p w14:paraId="35B5C92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14.2.1 承包人根据合同约定或监理人指示进行的现场材料试验，应由承包人提供试验场所、试验人员、试验设备器材以及其他必要的试验条件。</w:t>
      </w:r>
    </w:p>
    <w:p w14:paraId="5C4870E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14.2.2 监理人在必要时可以使用承包人的试验场所、试验设备器材以及其他试验条件，进行以工程质量检查为目的的复核性材料试验，承包人应予以协助。</w:t>
      </w:r>
    </w:p>
    <w:p w14:paraId="4B433F0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14.3 现场工艺试验</w:t>
      </w:r>
    </w:p>
    <w:p w14:paraId="18EF149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承包人应按合同约定或监理人指示进行现场工艺试验。对大型的现场工艺试验，监理人认为必要时，应由承包人根据监理人提出的工艺试验要求，编制工艺试验措施计划，报送监理人审批。</w:t>
      </w:r>
    </w:p>
    <w:p w14:paraId="058D4D2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4" w:name="_Toc265408504"/>
      <w:r>
        <w:rPr>
          <w:rFonts w:hint="eastAsia" w:ascii="宋体" w:hAnsi="宋体" w:eastAsia="宋体" w:cs="宋体"/>
          <w:b/>
          <w:bCs/>
          <w:sz w:val="21"/>
          <w:szCs w:val="21"/>
          <w:highlight w:val="none"/>
        </w:rPr>
        <w:t>15  变更</w:t>
      </w:r>
      <w:bookmarkEnd w:id="14"/>
    </w:p>
    <w:p w14:paraId="6BB74C8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15.1 变更的范围和内容</w:t>
      </w:r>
    </w:p>
    <w:p w14:paraId="262BA44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在履行合同中发生以下情形之一，应按照本款规定进行变更。</w:t>
      </w:r>
    </w:p>
    <w:p w14:paraId="6D3E537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（1）取消合同中任何一项工作，但被取消的工作不能转由发包人或其它人实施；</w:t>
      </w:r>
    </w:p>
    <w:p w14:paraId="47141DE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（2）改变合同中任何一项工作的质量或其它特性；</w:t>
      </w:r>
    </w:p>
    <w:p w14:paraId="08C4B81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（3）改变合同工程的基线、标高、位置或尺寸；</w:t>
      </w:r>
    </w:p>
    <w:p w14:paraId="49494A6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（4）改变合同中任何一项工作的施工时间或改变已批准的施工工艺或顺序；</w:t>
      </w:r>
    </w:p>
    <w:p w14:paraId="1497FC4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（5）为完成工程需要追加的额外工作；</w:t>
      </w:r>
    </w:p>
    <w:p w14:paraId="695705C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（6）增加或减少专用合同条款中约定的关键项目工程量超过其工程总量的一定数量百分比。</w:t>
      </w:r>
    </w:p>
    <w:p w14:paraId="61CB11D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上述第（1）～（6）目的变更内容引起工程施工组织和进度计划发生实质性变动和影响其原定的价格时，才予调整该项目的单价。第（6）目情形下单价调整方式在专用合同条款中约定。</w:t>
      </w:r>
    </w:p>
    <w:p w14:paraId="051917E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15.2 变更权</w:t>
      </w:r>
    </w:p>
    <w:p w14:paraId="1F0556A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在履行合同过程中，经发包人同意，监理人可按第15.3 款约定的变更程序向承包人作出变更指示，承包人应遵照执行。没有监理人的变更指示，承包人不得擅自变更。</w:t>
      </w:r>
    </w:p>
    <w:p w14:paraId="78041ABF">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15.3 变更程序</w:t>
      </w:r>
    </w:p>
    <w:p w14:paraId="5E52D2E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15.3.1变更的提出</w:t>
      </w:r>
    </w:p>
    <w:p w14:paraId="4C8A691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（1）在合同履行过程中，可能发生第15.1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 款约定发出变更指示。</w:t>
      </w:r>
    </w:p>
    <w:p w14:paraId="6A1D09C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（2）在合同履行过程中，发生第15.1 款约定情形的，监理人应按照第15.3.3 款约定向承包人发出变更指示。</w:t>
      </w:r>
    </w:p>
    <w:p w14:paraId="0A836BC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（3）承包人收到监理人按合同约定发出的图纸和文件，经检查认为其中存在第15.1 款约定情形的，可向监理人提出书面变更建议。变更建议应阐明要求变更的依据，并附必要的图纸和说明。监理人收到承包人书面建议后，应与发包人共同研究，确认存在变更的，应在收到承包人书面建议后的14 天内作出变更指示。经研究后不同意作为变更的，应由监理人书面答复承包人。</w:t>
      </w:r>
    </w:p>
    <w:p w14:paraId="289507E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（4）若承包人收到监理人的变更意向书后认为难以实施此项变更，应立即通知监理人，说明原因并附详细依据。监理人与承包人和发包人协商后确定撤销、改变或不改变原变更意向书。</w:t>
      </w:r>
    </w:p>
    <w:p w14:paraId="71F5846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15.3.2 变更估价</w:t>
      </w:r>
    </w:p>
    <w:p w14:paraId="54AB180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（l）除专用合同条款对期限另有约定外，承包人应在收到变更指示或变更意向书后的14 天内，向监理人提交变更报价书，报价内容应根据第15.4 款约定的估价原则，详细开列变更工作的价格组成及其依据，并附必要的施工方法说明和有关图纸。</w:t>
      </w:r>
    </w:p>
    <w:p w14:paraId="3EA5FBB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（2）变更工作影响工期的，承包人应提出调整工期的具体细节。监理人认为有必要时，可要求承包人提交要求提前或延长工期的施工进度计划及相应施工措施等详细资料。</w:t>
      </w:r>
    </w:p>
    <w:p w14:paraId="591EB32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（3）除专用合同条款对期限另有约定外，监理人收到承包人变更报价书后的14 天内，根据第15.4 款约定的估价原则，按照第3.5 款商定或确定变更价格。</w:t>
      </w:r>
    </w:p>
    <w:p w14:paraId="0F2A34E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15.3.3 变更指示</w:t>
      </w:r>
    </w:p>
    <w:p w14:paraId="0E20D7B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（l）变更指示只能由监理人发出。</w:t>
      </w:r>
    </w:p>
    <w:p w14:paraId="47103EB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（2）变更指示应说明变更的目的、范围、变更内容以及变更的工程量及其进度和技术要求，并附有关图纸和文件。承包人收到变更指示后，应按变更指示进行变更工作。</w:t>
      </w:r>
    </w:p>
    <w:p w14:paraId="13D18EE7">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15.4 变更的估价原则</w:t>
      </w:r>
    </w:p>
    <w:p w14:paraId="037F610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除专用合同条款另有约定外，因变更引起的价格调整按照本款约定处理。15.4.1 己标价工程量清单中有适用于变更工作的子目的，采用该子目的单价。</w:t>
      </w:r>
    </w:p>
    <w:p w14:paraId="3DFDD6A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15.4.2 己标价工程量清单中无适用于变更工作的子目，但有类似子目的，可在合理范围内参照类似子目的单价，由监理人按第3.5 款商定或确定变更工作的单价。</w:t>
      </w:r>
    </w:p>
    <w:p w14:paraId="7E91E06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15.4.3 己标价工程量清单中无适用或类似子目的单价，可按照成本加利润的原则，由监理人按第3. 5 款商定或确定变更工作的单价。</w:t>
      </w:r>
    </w:p>
    <w:p w14:paraId="23114A6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15.5 承包人的合理化建议</w:t>
      </w:r>
    </w:p>
    <w:p w14:paraId="4BA6798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款约定向承包人发出变更指示。</w:t>
      </w:r>
    </w:p>
    <w:p w14:paraId="7DEC5BC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15.5.2 承包人提出的合理化建议降低了合同价格、缩短了工期或者提高了工程经济效益的，发包人可按国家有关规定在专用合同条款中约定给予奖励。</w:t>
      </w:r>
    </w:p>
    <w:p w14:paraId="6D24C7A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15.6 暂列金额</w:t>
      </w:r>
    </w:p>
    <w:p w14:paraId="4A1856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暂列金额只能按照监理人的指示使用，并对合同价格进行相应调整。</w:t>
      </w:r>
    </w:p>
    <w:p w14:paraId="71C1E09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15.7 计日工</w:t>
      </w:r>
    </w:p>
    <w:p w14:paraId="3CEB4D6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15.7.1 发包人认为有必要时，由监理人通知承包人以计日工方式实施变更的零星工作。其价款按列入已标价工程量清单中的计日工计价子目及其单价进行计算．, </w:t>
      </w:r>
    </w:p>
    <w:p w14:paraId="2E0E7A0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15.7.2 采用计日工计价的任何一项变更工作，应从暂列金额中支付，承包人应在该项变更的实施过程中，每天提交以下报表和有关凭证报送监理人审批：</w:t>
      </w:r>
    </w:p>
    <w:p w14:paraId="7222733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（l）工作名称、内容和数量；</w:t>
      </w:r>
    </w:p>
    <w:p w14:paraId="0F497C7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（2）投入该工作所有人员的姓名、工种、级别和耗用工时；</w:t>
      </w:r>
    </w:p>
    <w:p w14:paraId="7F748E5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（3）投入该工作的材料类别和数量；</w:t>
      </w:r>
    </w:p>
    <w:p w14:paraId="5E2AB68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（4）投入该工作的施工设备型号、台数和耗用台时；</w:t>
      </w:r>
    </w:p>
    <w:p w14:paraId="47FEDB9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（5）监理人要求提交的其他资料和凭证。</w:t>
      </w:r>
    </w:p>
    <w:p w14:paraId="369FE8F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15.7.3 计日工由承包人汇总后，按第17.3.2 款的约定列入进度付款申请单，由监理人复核并经发包人同意后列入进度付款。</w:t>
      </w:r>
    </w:p>
    <w:p w14:paraId="413BE39B">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15.8 暂估价</w:t>
      </w:r>
    </w:p>
    <w:p w14:paraId="29E7F5F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4529066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15.8.2 发包人在工程量清单中给定暂估价的材料和工程设备不属于依法必须招标的范围或未达到规定的规模标准的，应由承包人按第5.1 款的约定提供。经监理人确认的材料、工程设备的价格与工程量清单中所列的暂估价的金额差以及相应的税金等其他费用列入合同价格。</w:t>
      </w:r>
    </w:p>
    <w:p w14:paraId="769CEF2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15.8.3发包人在工程量清单中给定暂估价的专业工程不属于依法必须招标的范围或未达到规定的规模标准的，由监理人按照第15.4 款进行估价，但专用合同条款另有约定的除外。经估价的专业工程与工程量清单中所列的暂估价的金额差以及相应的税金等其他费用列入合同价格。</w:t>
      </w:r>
    </w:p>
    <w:p w14:paraId="4E535B4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5" w:name="_Toc265408505"/>
      <w:r>
        <w:rPr>
          <w:rFonts w:hint="eastAsia" w:ascii="宋体" w:hAnsi="宋体" w:eastAsia="宋体" w:cs="宋体"/>
          <w:b/>
          <w:bCs/>
          <w:sz w:val="21"/>
          <w:szCs w:val="21"/>
          <w:highlight w:val="none"/>
        </w:rPr>
        <w:t>16  价格调整</w:t>
      </w:r>
      <w:bookmarkEnd w:id="15"/>
    </w:p>
    <w:p w14:paraId="511D1E5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16.1 物价波动引起的价格调整</w:t>
      </w:r>
    </w:p>
    <w:p w14:paraId="355CFCB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由于物价波动原因引起合同价格需要调整的，其价格调整方式在专用合同条款中约定。</w:t>
      </w:r>
    </w:p>
    <w:p w14:paraId="1A51959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 采用价格指数调整价格差额</w:t>
      </w:r>
    </w:p>
    <w:p w14:paraId="5B320D0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16.1.1.1 价格调整公式</w:t>
      </w:r>
    </w:p>
    <w:p w14:paraId="2E0995A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因人工、材料和设备等价格波动影响合同价格时，根据</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中的价格指数和权重表约定的数据，按以下公式计算差额并调整合同价格。</w:t>
      </w:r>
    </w:p>
    <w:p w14:paraId="49F89D25">
      <w:pPr>
        <w:pageBreakBefore w:val="0"/>
        <w:widowControl w:val="0"/>
        <w:kinsoku/>
        <w:wordWrap/>
        <w:overflowPunct/>
        <w:topLinePunct w:val="0"/>
        <w:bidi w:val="0"/>
        <w:snapToGrid/>
        <w:spacing w:line="312" w:lineRule="auto"/>
        <w:ind w:firstLine="2310" w:firstLineChars="1100"/>
        <w:textAlignment w:val="auto"/>
        <w:rPr>
          <w:rFonts w:hint="eastAsia" w:ascii="宋体" w:hAnsi="宋体" w:eastAsia="宋体" w:cs="宋体"/>
          <w:sz w:val="21"/>
          <w:szCs w:val="21"/>
          <w:highlight w:val="none"/>
        </w:rPr>
      </w:pPr>
    </w:p>
    <w:p w14:paraId="55E06933">
      <w:pPr>
        <w:pageBreakBefore w:val="0"/>
        <w:widowControl w:val="0"/>
        <w:kinsoku/>
        <w:wordWrap/>
        <w:overflowPunct/>
        <w:topLinePunct w:val="0"/>
        <w:bidi w:val="0"/>
        <w:snapToGrid/>
        <w:spacing w:line="312" w:lineRule="auto"/>
        <w:ind w:firstLine="2310" w:firstLineChars="11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t1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t2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t3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tn</w:t>
      </w:r>
    </w:p>
    <w:p w14:paraId="6EF86423">
      <w:pPr>
        <w:pageBreakBefore w:val="0"/>
        <w:widowControl w:val="0"/>
        <w:numPr>
          <w:ilvl w:val="0"/>
          <w:numId w:val="2"/>
        </w:numPr>
        <w:kinsoku/>
        <w:wordWrap/>
        <w:overflowPunct/>
        <w:topLinePunct w:val="0"/>
        <w:bidi w:val="0"/>
        <w:snapToGrid/>
        <w:spacing w:line="312"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P=P</w:t>
      </w:r>
      <w:r>
        <w:rPr>
          <w:rFonts w:hint="eastAsia" w:ascii="宋体" w:hAnsi="宋体" w:eastAsia="宋体" w:cs="宋体"/>
          <w:sz w:val="21"/>
          <w:szCs w:val="21"/>
          <w:highlight w:val="none"/>
          <w:vertAlign w:val="subscript"/>
        </w:rPr>
        <w:t>O</w:t>
      </w:r>
      <w:r>
        <w:rPr>
          <w:rFonts w:hint="eastAsia" w:ascii="宋体" w:hAnsi="宋体" w:eastAsia="宋体" w:cs="宋体"/>
          <w:sz w:val="21"/>
          <w:szCs w:val="21"/>
          <w:highlight w:val="none"/>
        </w:rPr>
        <w:t>［A+｛B</w:t>
      </w:r>
      <w:r>
        <w:rPr>
          <w:rFonts w:hint="eastAsia" w:ascii="宋体" w:hAnsi="宋体" w:eastAsia="宋体" w:cs="宋体"/>
          <w:sz w:val="21"/>
          <w:szCs w:val="21"/>
          <w:highlight w:val="none"/>
          <w:vertAlign w:val="subscript"/>
        </w:rPr>
        <w:t>1</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2</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3</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n</w:t>
      </w:r>
      <w:r>
        <w:rPr>
          <w:rFonts w:hint="eastAsia" w:ascii="宋体" w:hAnsi="宋体" w:eastAsia="宋体" w:cs="宋体"/>
          <w:sz w:val="21"/>
          <w:szCs w:val="21"/>
          <w:highlight w:val="none"/>
        </w:rPr>
        <w:t xml:space="preserve">×—｝－1］ </w:t>
      </w:r>
    </w:p>
    <w:p w14:paraId="2DCA3A13">
      <w:pPr>
        <w:pageBreakBefore w:val="0"/>
        <w:widowControl w:val="0"/>
        <w:kinsoku/>
        <w:wordWrap/>
        <w:overflowPunct/>
        <w:topLinePunct w:val="0"/>
        <w:bidi w:val="0"/>
        <w:snapToGrid/>
        <w:spacing w:line="312" w:lineRule="auto"/>
        <w:ind w:left="420" w:leftChars="200" w:firstLine="1890" w:firstLineChars="9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01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02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03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0n</w:t>
      </w:r>
    </w:p>
    <w:p w14:paraId="795209B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式中：△ P 一需调整的价格差额；</w:t>
      </w:r>
    </w:p>
    <w:p w14:paraId="4B8C13E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P</w:t>
      </w:r>
      <w:r>
        <w:rPr>
          <w:rFonts w:hint="eastAsia" w:ascii="宋体" w:hAnsi="宋体" w:eastAsia="宋体" w:cs="宋体"/>
          <w:sz w:val="21"/>
          <w:szCs w:val="21"/>
          <w:highlight w:val="none"/>
          <w:vertAlign w:val="subscript"/>
        </w:rPr>
        <w:t>O</w:t>
      </w:r>
      <w:r>
        <w:rPr>
          <w:rFonts w:hint="eastAsia" w:ascii="宋体" w:hAnsi="宋体" w:eastAsia="宋体" w:cs="宋体"/>
          <w:sz w:val="21"/>
          <w:szCs w:val="21"/>
          <w:highlight w:val="none"/>
        </w:rPr>
        <w:t>——第17.3.3 款、第17.5 .2 款和第17.6.2 款约定的付款证书中承包人应得到的己完成工程量的金额。此项金额应不包括价格调整、不计质量保证金的扣留和支付、预付款的支付和扣回。第15条约定的变更及其他金额已按现行价格计价的，也不计在内；</w:t>
      </w:r>
    </w:p>
    <w:p w14:paraId="6DA1686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A ---定值权重（即不调部分的权重）； </w:t>
      </w:r>
    </w:p>
    <w:p w14:paraId="64E691B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1</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2</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3</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n</w:t>
      </w:r>
      <w:r>
        <w:rPr>
          <w:rFonts w:hint="eastAsia" w:ascii="宋体" w:hAnsi="宋体" w:eastAsia="宋体" w:cs="宋体"/>
          <w:sz w:val="21"/>
          <w:szCs w:val="21"/>
          <w:highlight w:val="none"/>
        </w:rPr>
        <w:t>---各可调因子的变值权重（即可调部分的权重）为各可调因子在投标函投标总报价中所占的比例；</w:t>
      </w:r>
    </w:p>
    <w:p w14:paraId="0B657D5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t1</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t2</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t3</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tn</w:t>
      </w:r>
      <w:r>
        <w:rPr>
          <w:rFonts w:hint="eastAsia" w:ascii="宋体" w:hAnsi="宋体" w:eastAsia="宋体" w:cs="宋体"/>
          <w:sz w:val="21"/>
          <w:szCs w:val="21"/>
          <w:highlight w:val="none"/>
        </w:rPr>
        <w:t>---各可调因子的现行价格指数，指第17.3.3 款、第17.5.2 款和第17.6.2 款约定的付款证书相关周期最后一天的前42天的各可调因子的价格指数；</w:t>
      </w:r>
    </w:p>
    <w:p w14:paraId="3CFCAAB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01</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02</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03</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0n</w:t>
      </w:r>
      <w:r>
        <w:rPr>
          <w:rFonts w:hint="eastAsia" w:ascii="宋体" w:hAnsi="宋体" w:eastAsia="宋体" w:cs="宋体"/>
          <w:sz w:val="21"/>
          <w:szCs w:val="21"/>
          <w:highlight w:val="none"/>
        </w:rPr>
        <w:t>---各可调因子的基本价格指数，指基准日期的各可调因子的价格指数。</w:t>
      </w:r>
    </w:p>
    <w:p w14:paraId="552D6B1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以上价格调整公式中的各可调因子、定值和变值权重，以及基本价格指数及其来源在</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价格指数和权重表中约定。价格指数应首先采用有关部门提供的价格指数，缺乏上述价格指数时，可采用有关部门提供的价格代替。</w:t>
      </w:r>
    </w:p>
    <w:p w14:paraId="6724B5C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16.1.1.2 暂时确定调整差额</w:t>
      </w:r>
    </w:p>
    <w:p w14:paraId="68006FF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在计算调整差额时得不到现行价格指数的，可暂用上一次价格指数计算，并在以后的付款中再按实际价格指数进行调整。</w:t>
      </w:r>
    </w:p>
    <w:p w14:paraId="42F6CD0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16.1.1.3 权重的调整</w:t>
      </w:r>
    </w:p>
    <w:p w14:paraId="4F7FC59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按第15.1 款约定的变更导致原定合同中的权重不合理时，由监理人与承包人和发包人协商后进行调整。</w:t>
      </w:r>
    </w:p>
    <w:p w14:paraId="3C420CE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16.1.1.4 承包人工期延误后的价格调整</w:t>
      </w:r>
    </w:p>
    <w:p w14:paraId="664ACC9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由于承包人原因未在约定的工期内竣工的，则对原约定竣工日期后继续施工的工程，在使用第16.1.1. 1目价格调整公式时，应采用原约定竣工日期与实际竣工日期的两个价格指数中较低的一个作为现行价格指数。</w:t>
      </w:r>
    </w:p>
    <w:p w14:paraId="3E2BCF8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16.1.2 采用造价信息调整价格差额</w:t>
      </w:r>
    </w:p>
    <w:p w14:paraId="321AD1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5CA4BAD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工程造价信息的来源以及价格调整的项目和系数在专用合同条款中约定。</w:t>
      </w:r>
    </w:p>
    <w:p w14:paraId="1C1355E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16.2 法律变化引起的价格调整</w:t>
      </w:r>
    </w:p>
    <w:p w14:paraId="69A3C86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在基准日后，因法律变化导致承包人在合同履行中所需要的工程费用发生除第16.1 款约定以外的增减时，监理人应根据法律、国家或省、自治区、直辖市有关部门的规定，按第3.5 款商定或确定需调整的合同价款。</w:t>
      </w:r>
    </w:p>
    <w:p w14:paraId="2E287937">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6" w:name="_Toc265408506"/>
      <w:r>
        <w:rPr>
          <w:rFonts w:hint="eastAsia" w:ascii="宋体" w:hAnsi="宋体" w:eastAsia="宋体" w:cs="宋体"/>
          <w:b/>
          <w:bCs/>
          <w:sz w:val="21"/>
          <w:szCs w:val="21"/>
          <w:highlight w:val="none"/>
        </w:rPr>
        <w:t>17  计量与支付</w:t>
      </w:r>
      <w:bookmarkEnd w:id="16"/>
    </w:p>
    <w:p w14:paraId="3404F8D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17.1 计量</w:t>
      </w:r>
    </w:p>
    <w:p w14:paraId="37E9D1F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17.1.1 计量单位</w:t>
      </w:r>
    </w:p>
    <w:p w14:paraId="5C9D244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计量采用国家法定的计量单位。</w:t>
      </w:r>
    </w:p>
    <w:p w14:paraId="7EAD2E2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17.1.2 计量方法</w:t>
      </w:r>
    </w:p>
    <w:p w14:paraId="730C41D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结算工程量应按工程量清单中约定的方法计量。</w:t>
      </w:r>
    </w:p>
    <w:p w14:paraId="4214A9B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17.1.3 计量周期</w:t>
      </w:r>
    </w:p>
    <w:p w14:paraId="453DAE9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除专用合同条款另有约定外，单价子目已完成工程量按月计量，总价子目的计量周期按批准的支付分解报告确定。</w:t>
      </w:r>
    </w:p>
    <w:p w14:paraId="5E569B1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17.1.4 单价子目的计量</w:t>
      </w:r>
    </w:p>
    <w:p w14:paraId="55D5499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（l）已标价工程量清单中的单价子目工程量为估算工程量。结算工程量是承包人实际完成的，并按合同约定的计量方法进行计量的工程量。</w:t>
      </w:r>
    </w:p>
    <w:p w14:paraId="082B597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（2）承包人对己完成的工程进行计量，向监理人提交进度付款申请单、己完成工程量报表和有关计量资料。</w:t>
      </w:r>
    </w:p>
    <w:p w14:paraId="66E4AC5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（3）监理人对承包人提交的工程量报表进行复核，以确定实际完成的工程量。对数量有异议的，可要求承包人按第8.2 款约定进行共同复核和抽样复测。承包人应协助监理人进行复核并按监理人要求提供补充计量资料。承包人未按监理人要求参加复核，监理人复核或修正的工程量视为承包人实际完成的工程量。</w:t>
      </w:r>
    </w:p>
    <w:p w14:paraId="2561BD0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（4）监理人认为有必要时，可通知承包人共同进行联合测量、计量，承包人应遵照执行。</w:t>
      </w:r>
    </w:p>
    <w:p w14:paraId="3861D19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的准确工程量。</w:t>
      </w:r>
    </w:p>
    <w:p w14:paraId="3ADFBBB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（6）监理人应在收到承包人提交的工程量报表后的7 天内进行复核，监理人未在约定时间内复核的，承包人提交的工程量报表中的工程量视为承包人实际完成的工程量，据此计算工程价款。</w:t>
      </w:r>
    </w:p>
    <w:p w14:paraId="02A0CF7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17.1.5 总价子目的计量</w:t>
      </w:r>
    </w:p>
    <w:p w14:paraId="06BE95D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总价子目的分解和计量按照下述约定进行。</w:t>
      </w:r>
    </w:p>
    <w:p w14:paraId="3034475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（1）总价子目的计量和支付应以总价为基础，不因第16.1款中的因素而进行调整。承包人实际完成的工程量，是进行工程目标管理和控制进度支付的依据。</w:t>
      </w:r>
    </w:p>
    <w:p w14:paraId="1DE345D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14:paraId="1A3C70C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（3）监理人对承包人提交的上述资料进行复核，以确定分阶段实际完成的工程量和工程形象目标。对其有异议的，可要求承包人按第8.2款约定进行共同复核和抽样复测。</w:t>
      </w:r>
    </w:p>
    <w:p w14:paraId="09C5F5A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（4）除按照第15条约定的变更外，总价子目的工程量是承包人用于结算的最终工程量。</w:t>
      </w:r>
    </w:p>
    <w:p w14:paraId="1697D209">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17.2 预付款</w:t>
      </w:r>
    </w:p>
    <w:p w14:paraId="0395CBA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17.2.1 预付款</w:t>
      </w:r>
    </w:p>
    <w:p w14:paraId="04AD7D6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6FAD021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17.2.2 预付款保函（担保）</w:t>
      </w:r>
    </w:p>
    <w:p w14:paraId="366E605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（l）承包人应在收到第一次工程预付款的同时向发包人提交工程预付款担保，担保金额应与第一次工程预付款金额相同，工程预付款担保在第一次工程预付款被发包人扣回前一直有效。</w:t>
      </w:r>
    </w:p>
    <w:p w14:paraId="33E69D8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（2）工程材料预付款的担保在专用合同条款中约定。</w:t>
      </w:r>
    </w:p>
    <w:p w14:paraId="219B77E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（3）预付款担保的担保金额可根据预付款扣回的金额相应递减。</w:t>
      </w:r>
    </w:p>
    <w:p w14:paraId="4DB5949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17.2.3 预付款的扣回与还清</w:t>
      </w:r>
    </w:p>
    <w:p w14:paraId="70D1D18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预付款在进度付款中扣回，扣回与还清办法在专用合同条款中约定。在颁发合同工程完工证书前，由于不可抗力或其它原因解除合同时，预付款尚未扣清的，尚未扣清的预付款余额应作为承包人的到期应付款。</w:t>
      </w:r>
    </w:p>
    <w:p w14:paraId="744BF8D6">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17.3 工程进度付款</w:t>
      </w:r>
    </w:p>
    <w:p w14:paraId="6835146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17.3.1 付款周期</w:t>
      </w:r>
    </w:p>
    <w:p w14:paraId="2DE442C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付款周期同计量周期。</w:t>
      </w:r>
    </w:p>
    <w:p w14:paraId="14CBB7C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17.3.2 进度付款申请单</w:t>
      </w:r>
    </w:p>
    <w:p w14:paraId="7117AFE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7C2A6C85">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截至本次付款周期末已实施工程的价款；</w:t>
      </w:r>
    </w:p>
    <w:p w14:paraId="38B1C521">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根据第15条应增加和扣减的变更金额；</w:t>
      </w:r>
    </w:p>
    <w:p w14:paraId="45E28D81">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根据第23条应增加和扣减的索赔金额；</w:t>
      </w:r>
    </w:p>
    <w:p w14:paraId="1C8D7C3D">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根据第17.2款约定应支付的预付款和扣减的返还预付款；</w:t>
      </w:r>
    </w:p>
    <w:p w14:paraId="6C0FC10F">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根据第17.4.1项约定应扣减的质量保证金；</w:t>
      </w:r>
    </w:p>
    <w:p w14:paraId="5B939A05">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（6）根据合同应增加和扣减的其他金额。</w:t>
      </w:r>
    </w:p>
    <w:p w14:paraId="1360E3C5">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17.3.3 进度付款证书和支付时间</w:t>
      </w:r>
    </w:p>
    <w:p w14:paraId="6D0E46AC">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3E128EE3">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(2)发包人应在监理人收到进度付款申请单后的28天内,将进度应付款支付给承包人。发包人不按期支付的,按专用合同条款的约定支付逾期付款违约金。</w:t>
      </w:r>
    </w:p>
    <w:p w14:paraId="79DE1FE2">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(3)监理人出具进度付款证书,不应视为监理人已同意、批准或接受了承包人完成的该部分工作。</w:t>
      </w:r>
    </w:p>
    <w:p w14:paraId="54E87AB0">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(4)进度付款涉及政府投资资金的,按照国库集中支付等国家相关规定和专用合同条款的约定办理。</w:t>
      </w:r>
    </w:p>
    <w:p w14:paraId="12C7046E">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17.3.4 工程进度付款</w:t>
      </w:r>
      <w:r>
        <w:rPr>
          <w:rFonts w:hint="eastAsia" w:ascii="宋体" w:hAnsi="宋体" w:eastAsia="宋体" w:cs="宋体"/>
          <w:sz w:val="21"/>
          <w:szCs w:val="21"/>
          <w:highlight w:val="none"/>
          <w:lang w:val="en-US" w:eastAsia="zh-CN"/>
        </w:rPr>
        <w:t>的修正</w:t>
      </w:r>
    </w:p>
    <w:p w14:paraId="299E6098">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在对以往历次已签发的进度付款证书进行汇总和复核中发现错、漏或重复的，监理人有权予以修正，承包人也有权提出修正申请。经双方复核同意的修正，应在本次进度付款中支付或扣除。</w:t>
      </w:r>
    </w:p>
    <w:p w14:paraId="6986D38B">
      <w:pPr>
        <w:pStyle w:val="5"/>
        <w:pageBreakBefore w:val="0"/>
        <w:widowControl w:val="0"/>
        <w:numPr>
          <w:ilvl w:val="3"/>
          <w:numId w:val="0"/>
        </w:numPr>
        <w:kinsoku/>
        <w:wordWrap/>
        <w:overflowPunct/>
        <w:topLinePunct w:val="0"/>
        <w:autoSpaceDE/>
        <w:autoSpaceDN/>
        <w:bidi w:val="0"/>
        <w:adjustRightInd/>
        <w:snapToGrid/>
        <w:spacing w:before="0" w:beforeLines="0" w:after="0" w:afterLines="0"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17.4 质量保证金</w:t>
      </w:r>
    </w:p>
    <w:p w14:paraId="14E1D104">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 xml:space="preserve">17.4.1 </w:t>
      </w:r>
      <w:r>
        <w:rPr>
          <w:rFonts w:hint="eastAsia" w:ascii="宋体" w:hAnsi="宋体" w:eastAsia="宋体" w:cs="宋体"/>
          <w:color w:val="000000"/>
          <w:sz w:val="21"/>
          <w:szCs w:val="21"/>
          <w:highlight w:val="none"/>
          <w:lang w:val="en-US" w:eastAsia="zh-CN"/>
        </w:rPr>
        <w:t>监理人应从第一个工程进度付款周期开始，在发包人的进度付款中，按专用合同条款的约定扣留质量保证金，直至扣留的工程质量保证金总额达到专用合同条款约定的金额或比例为止。质量保证金的计算额度不包括预付款的支付与扣回金额。</w:t>
      </w:r>
    </w:p>
    <w:p w14:paraId="2D129B3B">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17.4.2 合同工程完工证书颁发后14天内，发包人将质量保证金总额的一半支付给承包人。在第1.1.4.5目约定的缺陷责任期（工程质量保修期） 满时，发包人将在30个工作日内会同承包人按照合同约定的内容核实承包人是否完成保修责任。如无异议，发包人应当在核实后将剩余的质量保证金支付给承包人。</w:t>
      </w:r>
    </w:p>
    <w:p w14:paraId="40F5480E">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17.4.3 在第1.1.4.5 目约定的缺陷责任期满时，承包人没有完成缺陷责任的，发包人有权扣留与未履行责任剩余工作所需金额相应的质量保证金余额，并有权根据第19.3 款约定要求延长缺陷责任期，直至完成剩余工作为止。</w:t>
      </w:r>
    </w:p>
    <w:p w14:paraId="0B770F16">
      <w:pPr>
        <w:pStyle w:val="5"/>
        <w:pageBreakBefore w:val="0"/>
        <w:widowControl w:val="0"/>
        <w:numPr>
          <w:ilvl w:val="3"/>
          <w:numId w:val="0"/>
        </w:numPr>
        <w:kinsoku/>
        <w:wordWrap/>
        <w:overflowPunct/>
        <w:topLinePunct w:val="0"/>
        <w:autoSpaceDE/>
        <w:autoSpaceDN/>
        <w:bidi w:val="0"/>
        <w:adjustRightInd/>
        <w:snapToGrid/>
        <w:spacing w:before="0" w:beforeLines="0" w:after="0" w:afterLines="0" w:line="312" w:lineRule="auto"/>
        <w:ind w:leftChars="0"/>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rPr>
        <w:t xml:space="preserve">17.5 </w:t>
      </w:r>
      <w:r>
        <w:rPr>
          <w:rFonts w:hint="eastAsia" w:ascii="宋体" w:hAnsi="宋体" w:eastAsia="宋体" w:cs="宋体"/>
          <w:b/>
          <w:bCs/>
          <w:sz w:val="21"/>
          <w:szCs w:val="21"/>
          <w:highlight w:val="none"/>
          <w:lang w:val="en-US" w:eastAsia="zh-CN"/>
        </w:rPr>
        <w:t>竣工结算（完工结算）</w:t>
      </w:r>
    </w:p>
    <w:p w14:paraId="3C8534D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17.5.1竣工（完工）付款申请单</w:t>
      </w:r>
    </w:p>
    <w:p w14:paraId="40FF3124">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kern w:val="2"/>
          <w:sz w:val="21"/>
          <w:szCs w:val="21"/>
          <w:highlight w:val="none"/>
          <w:lang w:val="en-US" w:eastAsia="zh-CN" w:bidi="ar-SA"/>
        </w:rPr>
        <w:t>（1）</w:t>
      </w:r>
      <w:r>
        <w:rPr>
          <w:rFonts w:hint="eastAsia" w:ascii="宋体" w:hAnsi="宋体" w:eastAsia="宋体" w:cs="宋体"/>
          <w:sz w:val="21"/>
          <w:szCs w:val="21"/>
          <w:highlight w:val="none"/>
          <w:lang w:val="en-US" w:eastAsia="zh-CN"/>
        </w:rPr>
        <w:t>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26AC40F7">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kern w:val="2"/>
          <w:sz w:val="21"/>
          <w:szCs w:val="21"/>
          <w:highlight w:val="none"/>
          <w:lang w:val="en-US" w:eastAsia="zh-CN" w:bidi="ar-SA"/>
        </w:rPr>
        <w:t>（2）</w:t>
      </w:r>
      <w:r>
        <w:rPr>
          <w:rFonts w:hint="eastAsia" w:ascii="宋体" w:hAnsi="宋体" w:eastAsia="宋体" w:cs="宋体"/>
          <w:sz w:val="21"/>
          <w:szCs w:val="21"/>
          <w:highlight w:val="none"/>
          <w:lang w:val="en-US" w:eastAsia="zh-CN"/>
        </w:rPr>
        <w:t>监理人对完工付款申请单有异议的，有权要求承包人进行修正和提供补充资料。经监理人和承包人协商后，由承包人向监理人提交修正后的完工付款申请单。</w:t>
      </w:r>
    </w:p>
    <w:p w14:paraId="62050D2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17.5.2竣工(完工)付款证书及支付时间</w:t>
      </w:r>
    </w:p>
    <w:p w14:paraId="719876CC">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7C37E92B">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(2)发包人应在监理人出具完工付款证书后的14天内，将应支付款支付给承包人。发包人不按期支付的，按第17.3.3(2)目的约定，将逾期付款违约金支付给承包人。</w:t>
      </w:r>
    </w:p>
    <w:p w14:paraId="2704237D">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(3)承包人对发包人签认的完工付款证书有异议的，发包人可出具完工付款申请单中承包人已同意部分的临时付款证书。存在争议的部分，按第24条的约定办理。</w:t>
      </w:r>
    </w:p>
    <w:p w14:paraId="74F59B1E">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(4)完工付款涉及政府投资资金的，按第17.3.3(4)目的约定办理。</w:t>
      </w:r>
    </w:p>
    <w:p w14:paraId="771BB75A">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17.6 最终结清</w:t>
      </w:r>
    </w:p>
    <w:p w14:paraId="773E2B3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17.6.1 最终结清申请单</w:t>
      </w:r>
    </w:p>
    <w:p w14:paraId="7D9FF70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（1）工程质量保修责任终止证书签发后，承包人应按监理人批准的格式提交最终结清申请单。提交最终结清申请单的份数在专用合同条款中约定。</w:t>
      </w:r>
    </w:p>
    <w:p w14:paraId="35D0206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（2）发包人对最终结清申请单内容有异议的，有权要求承包人进行修正和提供补充资料，由承包人向监理人提交修正后的最终结清申请单。</w:t>
      </w:r>
    </w:p>
    <w:p w14:paraId="57968C9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17.6.2 最终结清证书和支付时间</w:t>
      </w:r>
    </w:p>
    <w:p w14:paraId="335E00D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己经监理人核查同意；发包人未在约定时间内审核又未提出具体意见的，监理人提出应支付给承包人的价款视为已经发包人同意。</w:t>
      </w:r>
    </w:p>
    <w:p w14:paraId="49045CC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（2）发包人应在监理人出具最终结清证书后的14 天内，将应支付款支付给承包人。</w:t>
      </w:r>
    </w:p>
    <w:p w14:paraId="6514E02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发包人不按期支付的，按第17.3.3（2）目的约定，将逾期付款违约金支付给承包人。</w:t>
      </w:r>
    </w:p>
    <w:p w14:paraId="6F4AFA3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（3）承包人对发包人签认的最终结清证书有异议的，按第24条的约定办理。</w:t>
      </w:r>
    </w:p>
    <w:p w14:paraId="18B6003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（4）最终结清付款涉及政府投资资金的，按第17.3.3（4）目的约定办理。</w:t>
      </w:r>
    </w:p>
    <w:p w14:paraId="3941A970">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17.7 竣工财务决算</w:t>
      </w:r>
    </w:p>
    <w:p w14:paraId="7CF4D6E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发包人负责编制本工程项目竣工财务决算，承包人应按专用合同条款的约定提供竣工财务决算编制所需的相关材料。</w:t>
      </w:r>
    </w:p>
    <w:p w14:paraId="7B13E690">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17.8 竣工审计</w:t>
      </w:r>
    </w:p>
    <w:p w14:paraId="085C619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发包人负责完成本工程竣工审计手续，承包人应完成相关配合工作。</w:t>
      </w:r>
    </w:p>
    <w:p w14:paraId="6E44D640">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7" w:name="_Toc265408507"/>
      <w:r>
        <w:rPr>
          <w:rFonts w:hint="eastAsia" w:ascii="宋体" w:hAnsi="宋体" w:eastAsia="宋体" w:cs="宋体"/>
          <w:b/>
          <w:bCs/>
          <w:sz w:val="21"/>
          <w:szCs w:val="21"/>
          <w:highlight w:val="none"/>
        </w:rPr>
        <w:t>18  竣工验收（验收）</w:t>
      </w:r>
      <w:bookmarkEnd w:id="17"/>
    </w:p>
    <w:p w14:paraId="7082E415">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18.1 验收工作分类</w:t>
      </w:r>
    </w:p>
    <w:p w14:paraId="1A64200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602EFF0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18.2 分部工程验收</w:t>
      </w:r>
    </w:p>
    <w:p w14:paraId="582B21D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18.2.1 分部工程具备验收条件时，承包人应向发包人提交验收申请报告，发包人应在收到验收申请报告之日起１０个工作日内决定是否同意进行验收。</w:t>
      </w:r>
    </w:p>
    <w:p w14:paraId="7B0429D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18.2.2 除专用合同条款另有约定外，监理人主持分部工程验收，承包人应派符合条件的代表参加验收工作组。</w:t>
      </w:r>
    </w:p>
    <w:p w14:paraId="6BB6EC4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18.2.3 分部工程验收通过后，发包人向承包人发送分部工程验收鉴定书。承包人应及时完成分部工程验收鉴定书载明应由承包人处理的遗留问题。</w:t>
      </w:r>
    </w:p>
    <w:p w14:paraId="01D7E14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18.3 单位工程验收</w:t>
      </w:r>
    </w:p>
    <w:p w14:paraId="2B6A82C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18.3.1 单位工程具备验收条件时，承包人应向发包人提交验收申请报告，发包人应在收到验收申请报告之日起10个工作日内决定是否同意进行验收。</w:t>
      </w:r>
    </w:p>
    <w:p w14:paraId="3838B20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18.3.2 发包人主持单位工程验收，承包人应派符合条件的代表参加验收工作组。</w:t>
      </w:r>
    </w:p>
    <w:p w14:paraId="3C7EC9C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18.3.3 单位工程验收通过后，发包人向承包人发送单位工程验收鉴定书。承包人应及时完成单位工程验收鉴定书载明应由承包人处理的遗留问题。</w:t>
      </w:r>
    </w:p>
    <w:p w14:paraId="36026D0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 8.3.4 需提前投入使用的单位工程在专用合同条款中明确。</w:t>
      </w:r>
    </w:p>
    <w:p w14:paraId="37657110">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18.4 合同工程完工验收</w:t>
      </w:r>
    </w:p>
    <w:p w14:paraId="1303CB0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18.4.1 合同工程具备验收条件时，承包人应向发包人提交验收申请报告，发包人应在收到验收申请报告之日起20个工作日内决定是否同意进行验收。</w:t>
      </w:r>
    </w:p>
    <w:p w14:paraId="281FC69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18.4.2 发包人主持合同工程完工验收，承包人应派代表参加验收工作组。</w:t>
      </w:r>
    </w:p>
    <w:p w14:paraId="03EC0D4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18.4.3 合同工程完工验收通过后，发包人向承包人发送合同工程完工验收鉴定书。承包人应及时完成合同工程完工验收鉴定书载明应由承包人处理的遗留问题。</w:t>
      </w:r>
    </w:p>
    <w:p w14:paraId="0B31F6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18.4.4 合同工程完工验收通过后，发包人与承包人应在30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个工作日内向承包人颁发合同工程完工证书。</w:t>
      </w:r>
    </w:p>
    <w:p w14:paraId="2ECCE9B1">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18.5 阶段验收</w:t>
      </w:r>
    </w:p>
    <w:p w14:paraId="5399B2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18.5.1 工程建设具备阶段验收条件时，发包人负责提出阶段验收申请报告。承包人应派代表参加阶段验收，并作为被验收单位在验收鉴定书上签字。阶段验收的具体类别在专用合同条款中约定。</w:t>
      </w:r>
    </w:p>
    <w:p w14:paraId="03F4E74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18.5.2 承包人应及时完成阶段验收鉴定书载明应由承包人处理的遗留问题。</w:t>
      </w:r>
    </w:p>
    <w:p w14:paraId="2DA83C6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18.6 专项验收</w:t>
      </w:r>
    </w:p>
    <w:p w14:paraId="4E9D2C7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18.6.1 发包人负责提出专项验收申请报告。承包人应按专项验收的相关规定参加专项验收。专项验收的具体类别在专用合同条款中约定。</w:t>
      </w:r>
    </w:p>
    <w:p w14:paraId="4ABC756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18.6.2 承包人应及时完成专项验收成果性文件载明应由承包人处理的遗留问题。</w:t>
      </w:r>
    </w:p>
    <w:p w14:paraId="1067E679">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18.7 竣工验收</w:t>
      </w:r>
    </w:p>
    <w:p w14:paraId="3A9FE37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18.7.1 申请竣工验收前，发包人组织竣工验收自查，承包人应派代表参加。</w:t>
      </w:r>
    </w:p>
    <w:p w14:paraId="7D6B3AD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18.7.2 竣工验收分为竣工技术预验收和竣工验收两个阶段。发包人应通知承包人派代表参加技术预验收和竣工验收。</w:t>
      </w:r>
    </w:p>
    <w:p w14:paraId="103E52F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18.7.3 专用合同条款约定工程需要进行技术鉴定的，承包人应提交有关资料并完成配合工作。</w:t>
      </w:r>
    </w:p>
    <w:p w14:paraId="778D824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18.7.4 竣工验收需要进行质量检测的，所需费用由发包人承担，但因承包人原因造成质量不合格的除外。</w:t>
      </w:r>
    </w:p>
    <w:p w14:paraId="2D6441A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18.7.5 工程质量保修期满以及竣工验收遗留问题和尾工处理完成并通过验收后，发包人负责将处理情况和验收成果报送竣工验收主持单位，申请领取工程竣工证书，并发送承包人。</w:t>
      </w:r>
    </w:p>
    <w:p w14:paraId="261C6FF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18.8 施工期运行</w:t>
      </w:r>
    </w:p>
    <w:p w14:paraId="2454DB1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18.8.1 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14:paraId="70948B0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18.8.2 在施工期运行中发现工程或工程设备损坏或存在缺陷的，由承包人按第19.2款约定进行修复。</w:t>
      </w:r>
    </w:p>
    <w:p w14:paraId="39169DC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18.9 试运行</w:t>
      </w:r>
    </w:p>
    <w:p w14:paraId="5E689D7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18.9.1 除专用合同条款另有约定外，承包人应按规定进行工程及工程设备试运行，负责提供试运行所需的人员、器材和必要的条件，并承担全部试运行费用。</w:t>
      </w:r>
    </w:p>
    <w:p w14:paraId="0D5B888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4DFA9A42">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18.10 竣工（完工）清场</w:t>
      </w:r>
    </w:p>
    <w:p w14:paraId="7E098F8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18.10.1 工程项目竣工（完工）清场的工作范围和内容在技术标准和要求（合同技术条款）中约定。</w:t>
      </w:r>
    </w:p>
    <w:p w14:paraId="56726F8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18.10.2 承包人未按监理人的要求恢复临时占地，或者场地清理未达到合同约定的，发包人有权委托其它人恢复或清理，所发生的金额从拟支付给承包人的款项中扣除。</w:t>
      </w:r>
    </w:p>
    <w:p w14:paraId="441B978A">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18.11 施工队伍的撤离</w:t>
      </w:r>
    </w:p>
    <w:p w14:paraId="70E9F67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合同工程完工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5308513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8" w:name="_Toc265408508"/>
      <w:r>
        <w:rPr>
          <w:rFonts w:hint="eastAsia" w:ascii="宋体" w:hAnsi="宋体" w:eastAsia="宋体" w:cs="宋体"/>
          <w:b/>
          <w:bCs/>
          <w:sz w:val="21"/>
          <w:szCs w:val="21"/>
          <w:highlight w:val="none"/>
        </w:rPr>
        <w:t>19  缺陷责任与保修责任</w:t>
      </w:r>
      <w:bookmarkEnd w:id="18"/>
    </w:p>
    <w:p w14:paraId="5F20ECB7">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19.1 缺陷责任期（工程质量保修期）的起算时间</w:t>
      </w:r>
    </w:p>
    <w:p w14:paraId="6A733BB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p>
    <w:p w14:paraId="366BCB9A">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19.2 缺陷责任</w:t>
      </w:r>
    </w:p>
    <w:p w14:paraId="4EFCE70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19.2.1 承包人应在缺陷责任期内对己交付使用的工程承担缺陷责任。</w:t>
      </w:r>
    </w:p>
    <w:p w14:paraId="19662B0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19.2.2 缺陷责任期内，发包人对己接收使用的工程负责日常维护工作。发包人在使用过程中，发现己接收的工程存在新的缺陷或已修复的缺陷部位或部件又遭损坏的，承包人应负责修复，直至检验合格为止。</w:t>
      </w:r>
    </w:p>
    <w:p w14:paraId="6C6D64E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3345AF7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19.2.4 承包人不能在合理时间内修复缺陷的，发包人可自行修复或委托其他人修复，所需费用和利润的承担，按第19.2.3 款约定办理。</w:t>
      </w:r>
    </w:p>
    <w:p w14:paraId="3F84F74F">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19.3 缺陷责任期的延长</w:t>
      </w:r>
    </w:p>
    <w:p w14:paraId="07E83E7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由于承包人原因造成某项缺陷或损坏使某项工程或工程设备不能按原．定目标使用而需要再次检查、检验和修复的，发包人有权要求承包人相应延长缺陷责任期，但缺陷责任期最长不超过2年。</w:t>
      </w:r>
    </w:p>
    <w:p w14:paraId="06364B8B">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19.4 进一步试验和试运行</w:t>
      </w:r>
    </w:p>
    <w:p w14:paraId="57A3D9B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任何一项缺陷或损坏修复后，经检查证明其影响了工程或工程设备的使用性能，承包人应重新进行合同约定的试验和试运行，试验和试运行的全部费用应由责任方承担。</w:t>
      </w:r>
    </w:p>
    <w:p w14:paraId="703B342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19.5 承包人的进入权</w:t>
      </w:r>
    </w:p>
    <w:p w14:paraId="2347189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缺陷责任期内承包人为缺陷修复工作需要，有权进入工程现场，但应遵守发包人的保安和保密规定。</w:t>
      </w:r>
    </w:p>
    <w:p w14:paraId="5BB041F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19.6 缺陷责任期终止证书（工程质量保修责任终止证书）</w:t>
      </w:r>
    </w:p>
    <w:p w14:paraId="266BD81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合同工程完工验收或投入使用验收后，发包人与承包人应办理工程交接手续，承包人应向发包人递交工程质量保修书。</w:t>
      </w:r>
    </w:p>
    <w:p w14:paraId="425C5C7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缺陷责任期（工程质量保修期）满后30个工作日内，发包人应向承包人颁发工程质量保修责任终止证书，并退还剩余的质量保证金，但保修责任范围内的质量缺陷未处理完成的应除外。</w:t>
      </w:r>
    </w:p>
    <w:p w14:paraId="4E37E27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19.7 保修责任</w:t>
      </w:r>
    </w:p>
    <w:p w14:paraId="26BCA9B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521DCEC7">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9" w:name="_Toc265408509"/>
      <w:r>
        <w:rPr>
          <w:rFonts w:hint="eastAsia" w:ascii="宋体" w:hAnsi="宋体" w:eastAsia="宋体" w:cs="宋体"/>
          <w:b/>
          <w:bCs/>
          <w:sz w:val="21"/>
          <w:szCs w:val="21"/>
          <w:highlight w:val="none"/>
        </w:rPr>
        <w:t>20  保险</w:t>
      </w:r>
      <w:bookmarkEnd w:id="19"/>
    </w:p>
    <w:p w14:paraId="72F7B629">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20.1 工程保险</w:t>
      </w:r>
    </w:p>
    <w:p w14:paraId="05C6DD8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6C814581">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20.2 人员工伤事故的保险</w:t>
      </w:r>
    </w:p>
    <w:p w14:paraId="371EE5A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20.2.1 承包人员工伤事故的保险</w:t>
      </w:r>
    </w:p>
    <w:p w14:paraId="214DC7B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承包人应依照有关法律规定参加工伤保险，为其履行合同所雇佣的全部人员，缴纳工伤保险费，并要求其分包人也进行此项保险。</w:t>
      </w:r>
    </w:p>
    <w:p w14:paraId="326BE60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20.2.2 发包人员工伤事故的保险</w:t>
      </w:r>
    </w:p>
    <w:p w14:paraId="4BCB866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发包人应依照有关法律规定参加工伤保险，为其现场机构雇佣的全部人员，缴纳工伤保险费，并要求其监理人也进行此项保险。</w:t>
      </w:r>
    </w:p>
    <w:p w14:paraId="54CA2F6B">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20.3 人身意外伤害险</w:t>
      </w:r>
    </w:p>
    <w:p w14:paraId="47EF8AD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20.3.1 发包人应在整个施工期间为其现场机构雇用的全部人员，投保人身意外伤害险，缴纳保险费，并要求其监理人也进行此项保险。</w:t>
      </w:r>
    </w:p>
    <w:p w14:paraId="05C6F8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20.3.2 承包人应在整个施工期间为其现场机构雇用的全部人员，投保人身意外伤害险，缴纳保险费，并要求其分包人也进行此项保险。</w:t>
      </w:r>
    </w:p>
    <w:p w14:paraId="33EA704F">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20.4 第三者责任险</w:t>
      </w:r>
    </w:p>
    <w:p w14:paraId="52D3D03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63549B5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20.4.2 在缺陷责任期终止证书颁发前，承包人应以承包人和发包人的共同名义，投保第20.4.1 款约定的第三者责任险，其保险费率、保险金额等有关内容在专用合同条款中约定。</w:t>
      </w:r>
    </w:p>
    <w:p w14:paraId="378C374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20.5 其他保险</w:t>
      </w:r>
    </w:p>
    <w:p w14:paraId="0AF2A44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除专用合同条款另有约定外，承包人应为其施工设备、进场的材料和工程设备等办理保险。</w:t>
      </w:r>
    </w:p>
    <w:p w14:paraId="356E881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20.6 对各项保险的一般要求</w:t>
      </w:r>
    </w:p>
    <w:p w14:paraId="0CA0654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20.6.1 保险凭证</w:t>
      </w:r>
    </w:p>
    <w:p w14:paraId="6F3395A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承包人应在专用合同条款约定的期限内向发包人提交各项保险生效的证据和保险单副本，保险单必须与专用合同条款约定的条件保持一致。</w:t>
      </w:r>
    </w:p>
    <w:p w14:paraId="24AC9E4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20.6.2 保险合同条款的变动</w:t>
      </w:r>
    </w:p>
    <w:p w14:paraId="55FC376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承包人需要变动保险合同条款时，应事先征得发包人同意，并通知监理人。保险人作出变动的，承包人应在收到保险人通知后立即通知发包人和监理人。</w:t>
      </w:r>
    </w:p>
    <w:p w14:paraId="7E08F07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20.6.3 持续保险</w:t>
      </w:r>
    </w:p>
    <w:p w14:paraId="2942E89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承包人应与保险人保持联系，使保险人能够随时了解工程实施中的变动，并确保按保险合同条款要求持续保险。</w:t>
      </w:r>
    </w:p>
    <w:p w14:paraId="0CED5F8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20.6.4 保险金不足的补偿</w:t>
      </w:r>
    </w:p>
    <w:p w14:paraId="78674F9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保险金不足以补偿损失时，应由承包人和发包人各自负责补偿的范围和金额在专用合同条款中约定。</w:t>
      </w:r>
    </w:p>
    <w:p w14:paraId="67E8A58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20.6.5 未按约定投保的补救</w:t>
      </w:r>
    </w:p>
    <w:p w14:paraId="6B82FE9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（l）由于负有投保义务的一方当事人未按合同约定办理保险，或未能使保险持续有效的，另一方当事人可代为办理，所需费用由对方当事人承担。</w:t>
      </w:r>
    </w:p>
    <w:p w14:paraId="5C857D2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（2）由于负有投保义务的一方当事人未按合同约定办理某项保险，导致受益人未能得到保险人的赔偿，原应从该项保险得到的保险金应由负有投保义务的一方当事人支付。</w:t>
      </w:r>
    </w:p>
    <w:p w14:paraId="2595766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20.6.6 报告义务</w:t>
      </w:r>
    </w:p>
    <w:p w14:paraId="7E3D36E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当保险事故发生时，投保人应按照保险单规定的条件和期限及时向保险人报告。</w:t>
      </w:r>
    </w:p>
    <w:p w14:paraId="19CA843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20.7 风险责任的转移</w:t>
      </w:r>
    </w:p>
    <w:p w14:paraId="1344A79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工程通过合同工程完工验收并移交给发包人后，原由承包人应承担的风险责任，以及保险的责任、权利和义务同时转移给发包人，但承包人在缺陷责任期（工程质量保修期）前造成损失和损坏情形除外。</w:t>
      </w:r>
    </w:p>
    <w:p w14:paraId="2848DEA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20" w:name="_Toc265408510"/>
      <w:r>
        <w:rPr>
          <w:rFonts w:hint="eastAsia" w:ascii="宋体" w:hAnsi="宋体" w:eastAsia="宋体" w:cs="宋体"/>
          <w:b/>
          <w:bCs/>
          <w:sz w:val="21"/>
          <w:szCs w:val="21"/>
          <w:highlight w:val="none"/>
        </w:rPr>
        <w:t>21  不可抗力</w:t>
      </w:r>
      <w:bookmarkEnd w:id="20"/>
    </w:p>
    <w:p w14:paraId="1FFADF0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21.1 不可抗力的确认</w:t>
      </w:r>
    </w:p>
    <w:p w14:paraId="1C21430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363E857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21.1.2 不可抗力发生后，发包人和承包人应及时认真统计所造成的损失，收集不可抗力造成损失的证据。合同双方对是否属于不可抗力或其损失的意见不一致的，由监理人按第3.5 款商定或确定。发生争议时，按第24条的约定办理。</w:t>
      </w:r>
    </w:p>
    <w:p w14:paraId="642C5AE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21.2 不可抗力的通知</w:t>
      </w:r>
    </w:p>
    <w:p w14:paraId="5CB91BD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21.2.1 合同一方当事人遇到不可抗力事件，使其履行合同义务受到阻碍时，应立即通知合同另一方当事人和监理人，书面说明不可抗力和受阻碍的详细情况，并提供必要的证明。</w:t>
      </w:r>
    </w:p>
    <w:p w14:paraId="5111987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21.2.2 如不可抗力持续发生，合同一方当事人应及时向合同另一方当事人和监理人提交中间报告，说明不可抗力和履行合同受阻的情况，并于不可抗力事件结束后28天内提交最终报告及有关资料。</w:t>
      </w:r>
    </w:p>
    <w:p w14:paraId="300C01C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21.3 不可抗力后果及其处理</w:t>
      </w:r>
    </w:p>
    <w:p w14:paraId="383BB8A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21.3.1 不可抗力造成损害的责任</w:t>
      </w:r>
    </w:p>
    <w:p w14:paraId="181A7C0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除专用合同条款另有约定外，不可抗力导致的人员伤亡、财产损失、费用增加和（或）工期延误等后果，由合同双方按以下原则承担：</w:t>
      </w:r>
    </w:p>
    <w:p w14:paraId="06C72BF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（1）永久工程，包括己运至施工场地的材料和工程设备的损害，以及因工程损害造成的第三者人员伤亡和财产损失由发包人承担；</w:t>
      </w:r>
    </w:p>
    <w:p w14:paraId="0724ABC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（2）承包人设备的损坏由承包人承担；</w:t>
      </w:r>
    </w:p>
    <w:p w14:paraId="56DF0CA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（3）发包人和承包人各自承担其人员伤亡和其他财产损失及其相关费用；</w:t>
      </w:r>
    </w:p>
    <w:p w14:paraId="5FB951E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（4）承包人的停工损失由承包人承担，但停工期间应监理人要求照管工程和清理、修复工程的金额由发包人承担；</w:t>
      </w:r>
    </w:p>
    <w:p w14:paraId="3C3F542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（5）不能按期竣工的，应合理延长工期，承包人不需支付逾期竣工违约金。发包人要求赶工的，承包人应采取赶工措施，赶工费用由发包人承担。</w:t>
      </w:r>
    </w:p>
    <w:p w14:paraId="3F1A6B9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21.3.2 延迟履行期间发生的不可抗力</w:t>
      </w:r>
    </w:p>
    <w:p w14:paraId="0C5B5B9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合同一方当事人延迟履行，在延迟履行期间发生不可抗力的，不免除其责任。</w:t>
      </w:r>
    </w:p>
    <w:p w14:paraId="61C36B2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21.3.3 避免和减少不可抗力损失</w:t>
      </w:r>
    </w:p>
    <w:p w14:paraId="70C4365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不可抗力发生后，发包人和承包人均应采取措施尽量避免和减少损失的扩大，任何一方没有采取有效措施导致损失扩大的，应对扩大的损失承担责任。</w:t>
      </w:r>
    </w:p>
    <w:p w14:paraId="5EF3A7C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21.3.4 因不可抗力解除合同</w:t>
      </w:r>
    </w:p>
    <w:p w14:paraId="0E4A95E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合同一方当事人因不可抗力不能履行合同的，应当及时通知对方解除合同。合同解除后，承包人应按照第22.2.5 款约定撤离施工场地。已经订货的材料、设备由订货方负责退货或解除订货合同，不能退还的货款和因退货、解除订货合同发生的费用，由发包人承担，因未及时退货造成的损失由责任方承担。合同解除后的付款，参照第22.2.4 款约定，由监理人按第3.5 款商定或确定。</w:t>
      </w:r>
    </w:p>
    <w:p w14:paraId="2C2862C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21" w:name="_Toc265408511"/>
      <w:r>
        <w:rPr>
          <w:rFonts w:hint="eastAsia" w:ascii="宋体" w:hAnsi="宋体" w:eastAsia="宋体" w:cs="宋体"/>
          <w:b/>
          <w:bCs/>
          <w:sz w:val="21"/>
          <w:szCs w:val="21"/>
          <w:highlight w:val="none"/>
        </w:rPr>
        <w:t>22  违约</w:t>
      </w:r>
      <w:bookmarkEnd w:id="21"/>
    </w:p>
    <w:p w14:paraId="633D6296">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22.1 承包人违约</w:t>
      </w:r>
    </w:p>
    <w:p w14:paraId="233A3EE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22.1.1 承包人违约的情形</w:t>
      </w:r>
    </w:p>
    <w:p w14:paraId="23EB8CE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在履行合同过程中发生的下列情况属承包人违约：</w:t>
      </w:r>
    </w:p>
    <w:p w14:paraId="1DB00F3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（1）承包人违反第1.8 款或第4.3 款的约定，私自将合同的全部或部分权利转让给其他人，或私自将合同的全部或部分义务转移给其他人；</w:t>
      </w:r>
    </w:p>
    <w:p w14:paraId="2D58AF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（2）承包人违反第5.3 款或第6.4 款的约定，未经监理人批准，私自将己按合同约定进入施工场地的施工设备、临时设施或材料撤离施工场地；</w:t>
      </w:r>
    </w:p>
    <w:p w14:paraId="3AE753F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（3）承包人违反第5.4 款的约定使用了不合格材料或工程设备，工程质量达不到标准要求，又拒绝清除不合格工程；</w:t>
      </w:r>
    </w:p>
    <w:p w14:paraId="2BCAA40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（4）承包人未能按合同进度计划及时完成合同约定的工作，已造成或预期造成工期延误；</w:t>
      </w:r>
    </w:p>
    <w:p w14:paraId="369EDE4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（5）承包人在缺陷责任期（工程质量保修期）内，未能对合同工程完工验收鉴定书所列的缺陷清单的内容或缺陷责任期（工程质量保修期）内发生的缺陷进行修复，而又拒绝按监理人指示再进行修补；</w:t>
      </w:r>
    </w:p>
    <w:p w14:paraId="4AA2A06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（6）承包人无法继续履行或明确表示不履行或实质上己停止履行合同；</w:t>
      </w:r>
    </w:p>
    <w:p w14:paraId="5D77484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（7）承包人不按合同约定履行义务的其他情况。</w:t>
      </w:r>
    </w:p>
    <w:p w14:paraId="30726A1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22.1.2 对承包人违约的处理</w:t>
      </w:r>
    </w:p>
    <w:p w14:paraId="55CB9ED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（l）承包人发生第22.1.1（6）目约定的违约情况时，发包人可通知承包人立即解除合同，并按有关法律处理。</w:t>
      </w:r>
    </w:p>
    <w:p w14:paraId="1F1272D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（2）承包人发生除第22.1.1（6）目约定以外的其他违约情况时，监理人可向承包人发出整改通知，要求其在指定的期限内改正。承包人应承担其违约所引起的费用增加和（或）工期延误。</w:t>
      </w:r>
    </w:p>
    <w:p w14:paraId="71468DF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（3）经检查证明承包人已采取了有效措施纠正违约行为，具备复工条件的，可由监理人签发复工通知复工。</w:t>
      </w:r>
    </w:p>
    <w:p w14:paraId="78687A7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22.1.3 承包人违约解除合同</w:t>
      </w:r>
    </w:p>
    <w:p w14:paraId="7D46115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72AF886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22.1.4 合同解除后的估价、付款和结清</w:t>
      </w:r>
    </w:p>
    <w:p w14:paraId="08705A6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（1）合同解除后，监理人按第3.5 款商定或确定承包人实际完成工作的价值，以及承包人己提供的材料、施工设备、工程设备和临时工程等的价值。</w:t>
      </w:r>
    </w:p>
    <w:p w14:paraId="5A3EF3C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（2）合同解除后，发包人应暂停对承包人的一切付款，查清各项付款和己扣款金额，包括承包人应支付的违约金。</w:t>
      </w:r>
    </w:p>
    <w:p w14:paraId="0596548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（3）合同解除后，发包人应按第23.4 款的约定向承包人索赔由于解除合同给发包人造成的损失。</w:t>
      </w:r>
    </w:p>
    <w:p w14:paraId="3A60E17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（4）合同双方确认上述往来款项后，出具最终结清付款证书，结清全部合同款项。</w:t>
      </w:r>
    </w:p>
    <w:p w14:paraId="1DC19FA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（5）发包人和承包人未能就解除合同后的结清达成一致而形成争议的，按第24条的约定办理。</w:t>
      </w:r>
    </w:p>
    <w:p w14:paraId="05B793F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22.1.5 协议利益的转让</w:t>
      </w:r>
    </w:p>
    <w:p w14:paraId="401E0D6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因承包人违约解除合同的，发包人有权要求承包人将其为实施合同而签订的材料和设备的订货协议或任何服务协议利益转让给发包人，并在解除合同后的14天内，依法办理转让手续。</w:t>
      </w:r>
    </w:p>
    <w:p w14:paraId="6F5131B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22.1.6 紧急情况下无能力或不愿进行抢救</w:t>
      </w:r>
    </w:p>
    <w:p w14:paraId="58B7F26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3DC03902">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22.2 发包人违约</w:t>
      </w:r>
    </w:p>
    <w:p w14:paraId="4DD94AB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22.2.1 发包人违约的情形</w:t>
      </w:r>
    </w:p>
    <w:p w14:paraId="4B71573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在履行合同过程中发生的下列情形，属发包人违约：</w:t>
      </w:r>
    </w:p>
    <w:p w14:paraId="78E5767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（l）发包人未能按合同约定支付预付款或合同价款，或拖延、拒绝批准付款申请和支付凭证，导致付款延误的；</w:t>
      </w:r>
    </w:p>
    <w:p w14:paraId="37D6D06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（2）发包人原因造成停工的；</w:t>
      </w:r>
    </w:p>
    <w:p w14:paraId="5B3DF3E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（3）监理人无正当理由没有在约定期限内发出复工指示，导致承包人无法复工的；</w:t>
      </w:r>
    </w:p>
    <w:p w14:paraId="6DD453E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（4）发包人无法继续履行或明确表示不履行或实质上已停止履行合同的；</w:t>
      </w:r>
    </w:p>
    <w:p w14:paraId="60D56A4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（5）发包人不履行合同约定其他义务的。</w:t>
      </w:r>
    </w:p>
    <w:p w14:paraId="7362410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22.2.2 承包人有权暂停施工</w:t>
      </w:r>
    </w:p>
    <w:p w14:paraId="4F276FB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71A8300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22.2.3 发包人违约解除合同</w:t>
      </w:r>
    </w:p>
    <w:p w14:paraId="539C832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（1）发生第22.2.1（4）目的违约情况时，承包人可书面通知发包人解除合同。</w:t>
      </w:r>
    </w:p>
    <w:p w14:paraId="1EB9B29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（2）承包人按22.2.2 款暂停施工28天后，发包人仍不纠正违约行为的，承包人可向发包人发出解除合同通知。但承包人的这一行动不免除发包人承担的违约责任，也不影响承包人根据合同约定享有的索赔权利。</w:t>
      </w:r>
    </w:p>
    <w:p w14:paraId="797A3CE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22.2.4 解除合同后的付款</w:t>
      </w:r>
    </w:p>
    <w:p w14:paraId="194ABE2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因发包人违约解除合同的，发包人应在解除合同后28天内向承包人支付下列金额，承包人应在此期限内及时向发包人提交要求支付下列金额的有关资料和凭证：</w:t>
      </w:r>
    </w:p>
    <w:p w14:paraId="268210C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（l）合同解除日以前所完成工作的价款；</w:t>
      </w:r>
    </w:p>
    <w:p w14:paraId="3E8EED4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（2）承包人为该工程施工订购并己付款的材料、工程设备和其他物品的金额。发包人付还后，该材料、工程设备和其他物品归发包人所有；</w:t>
      </w:r>
    </w:p>
    <w:p w14:paraId="07B332B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（3）承包人为完成工程所发生的，而发包人未支付的金额；</w:t>
      </w:r>
    </w:p>
    <w:p w14:paraId="6D760D8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（4）承包人撤离施工场地以及遣散承包人人员的金额；</w:t>
      </w:r>
    </w:p>
    <w:p w14:paraId="29BDDD8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（5）由于解除合同应赔偿的承包人损失；</w:t>
      </w:r>
    </w:p>
    <w:p w14:paraId="41EC241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（6）按合同约定在合同解除日前应支付给承包人的其他金额。</w:t>
      </w:r>
    </w:p>
    <w:p w14:paraId="1A5DD82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发包人应按本项约定支付上述金额并退还质量保证金和履约担保，但有权要求承包人支付应偿还给发包人的各项金额。</w:t>
      </w:r>
    </w:p>
    <w:p w14:paraId="03775E2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22.2.5 解除合同后的承包人撤离</w:t>
      </w:r>
    </w:p>
    <w:p w14:paraId="420675D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因发包人违约而解除合同后，承包人应妥善做好已竣工工程和己购材料、设备的保护和移交工作，按发包人要求将承包人设备和人员撤出施工场地。承包人撤出施工场地应遵守第</w:t>
      </w:r>
    </w:p>
    <w:p w14:paraId="5B9D879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18.7.1 款的约定，发包人应为承包人撤出提供必要条件。</w:t>
      </w:r>
    </w:p>
    <w:p w14:paraId="490921B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22.3 第三人造成的违约</w:t>
      </w:r>
    </w:p>
    <w:p w14:paraId="59D21CE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在履行合同过程中，一方当事人因第三人的原因造成违约的，应当向对方当事人承担违约责任。一方当事人和第三人之间的纠纷，依照法律规定或者按照约定解决。</w:t>
      </w:r>
    </w:p>
    <w:p w14:paraId="607AF98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22" w:name="_Toc265408512"/>
      <w:r>
        <w:rPr>
          <w:rFonts w:hint="eastAsia" w:ascii="宋体" w:hAnsi="宋体" w:eastAsia="宋体" w:cs="宋体"/>
          <w:b/>
          <w:bCs/>
          <w:sz w:val="21"/>
          <w:szCs w:val="21"/>
          <w:highlight w:val="none"/>
        </w:rPr>
        <w:t>23  索赔</w:t>
      </w:r>
      <w:bookmarkEnd w:id="22"/>
    </w:p>
    <w:p w14:paraId="716C0626">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23.1 承包人索赔的提出</w:t>
      </w:r>
    </w:p>
    <w:p w14:paraId="62953A1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根据合同约定，承包人认为有权得到追加付款和（或）延长工期的，应按以下程序向发包人提出索赔：</w:t>
      </w:r>
    </w:p>
    <w:p w14:paraId="3018EDF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（l）承包人应在知道或应当知道索赔事件发生后28 天内，向监理人递交索赔意向通知书，并说明发生索赔事件的事由。承包人未在前述28天内发出索赔意向通知书的，丧失要求追加付款和（或）延长工期的权利：</w:t>
      </w:r>
    </w:p>
    <w:p w14:paraId="73CEC18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（2）承包人应在发出索赔意向通知书后28天内，向监理人正式递交索赔通知书。索赔通知书应详细说明索赔理由以及要求追加的付款金额和（或）延长的工期，并附必要的记录和证明材料；</w:t>
      </w:r>
    </w:p>
    <w:p w14:paraId="4D52AA8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（3）索赔事件具有连续影响的，承包人应按合理时间间隔继续递交延续索赔通知，说明连续影响的实际情况和记录，列出累计的追加付款金额和（或）工期延长天数；</w:t>
      </w:r>
    </w:p>
    <w:p w14:paraId="1093A9B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（4）在索赔事件影响结束后的28 天内，承包人应向监理人递交最终索赔通知书，说明最终要求索赔的追加付款金额和延长的工期，并附必要的记录和证明材料。</w:t>
      </w:r>
    </w:p>
    <w:p w14:paraId="6379A37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23.2 承包人索赔处理程序</w:t>
      </w:r>
    </w:p>
    <w:p w14:paraId="4C00879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（1）监理人收到承包人提交的索赔通知书后，应及时审查索赔通知书的内容、杳验承包人的记录和证明材料，必要时监理人可要求承包人提交全部原始记录副本。</w:t>
      </w:r>
    </w:p>
    <w:p w14:paraId="2222E38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（2）监理人应按第3.5 款商定或确定追加的付款和（或）延长的工期，并在收到上述索赔通知书或有关索赔的进一步证明材料后的42天内，将索赔处理结果答复承包人。</w:t>
      </w:r>
    </w:p>
    <w:p w14:paraId="4BF58C8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（3）承包人接受索赔处理结果的，发包人应在作出索赔处理结果答复后28 天内完成赔付。承包人不接受索赔处理结果的，按第24条的约定办理。</w:t>
      </w:r>
    </w:p>
    <w:p w14:paraId="33546F86">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23.3 承包人提出索赔的期限</w:t>
      </w:r>
    </w:p>
    <w:p w14:paraId="1208038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23.3.1 承包人按第17.5 款的约定接受了完工付款后，应被认为已无权再提出在合同工程完工证书颁发前所发生的任何索赔。</w:t>
      </w:r>
    </w:p>
    <w:p w14:paraId="48BCE35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23.3.2承包人按第17.6款的约定提交的最终结清申请单中，只限于提出合同工程完工证书颁发后发生的索赔。提出索赔的期限自接受最终结清证书时终止。</w:t>
      </w:r>
    </w:p>
    <w:p w14:paraId="2674345A">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23.4 发包人的索赔</w:t>
      </w:r>
    </w:p>
    <w:p w14:paraId="788FC11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23.4.1 发生索赔事件后，监理人应及时书面通知承包人，详细说明发包人有权得到的索赔金额和（或）延长缺陷责任期的细节和依据。发包人提出索赔的期限和要求与第23.3 款的约定相同，延长缺陷责任期的通知应在缺陷责任期届满前发出。</w:t>
      </w:r>
    </w:p>
    <w:p w14:paraId="652CA9D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23.4.2 监理人按第3.5 款商定或确定发包人从承包人处得到赔付的金额和（或）缺陷责任期的延长期。承包人应付给发包人的金额可从拟支付给承包人的合同价款中扣除，或由承包人以其他方式支付给发包人。</w:t>
      </w:r>
    </w:p>
    <w:p w14:paraId="7A67742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bookmarkStart w:id="23" w:name="_Toc265408513"/>
      <w:r>
        <w:rPr>
          <w:rFonts w:hint="eastAsia" w:ascii="宋体" w:hAnsi="宋体" w:eastAsia="宋体" w:cs="宋体"/>
          <w:sz w:val="21"/>
          <w:szCs w:val="21"/>
          <w:highlight w:val="none"/>
        </w:rPr>
        <w:t xml:space="preserve">23.4.3 </w:t>
      </w:r>
      <w:r>
        <w:rPr>
          <w:rFonts w:hint="eastAsia" w:ascii="宋体" w:hAnsi="宋体" w:eastAsia="宋体" w:cs="宋体"/>
          <w:sz w:val="21"/>
          <w:szCs w:val="21"/>
          <w:highlight w:val="none"/>
          <w:lang w:val="en-US" w:eastAsia="zh-CN"/>
        </w:rPr>
        <w:t>承包</w:t>
      </w:r>
      <w:r>
        <w:rPr>
          <w:rFonts w:hint="eastAsia" w:ascii="宋体" w:hAnsi="宋体" w:eastAsia="宋体" w:cs="宋体"/>
          <w:sz w:val="21"/>
          <w:szCs w:val="21"/>
          <w:highlight w:val="none"/>
        </w:rPr>
        <w:t>人对监理人按第23.4.1发出的索赔书面通知内容持异议时，应在收到书面通知后的14内， 将持有异议的书面报告及其证明材料提交监理人。监理人应在收到承包人书面报告后的14</w:t>
      </w:r>
      <w:r>
        <w:rPr>
          <w:rFonts w:hint="eastAsia" w:ascii="宋体" w:hAnsi="宋体" w:eastAsia="宋体" w:cs="宋体"/>
          <w:sz w:val="21"/>
          <w:szCs w:val="21"/>
          <w:highlight w:val="none"/>
          <w:lang w:val="en-US" w:eastAsia="zh-CN"/>
        </w:rPr>
        <w:t>天内</w:t>
      </w:r>
      <w:r>
        <w:rPr>
          <w:rFonts w:hint="eastAsia" w:ascii="宋体" w:hAnsi="宋体" w:eastAsia="宋体" w:cs="宋体"/>
          <w:sz w:val="21"/>
          <w:szCs w:val="21"/>
          <w:highlight w:val="none"/>
        </w:rPr>
        <w:t>，将异议的处理意见通知承包人，并按第23.4.2款的约定执行赔付。若承包人不接受监理人的索赔处理意见，可按本合同第24条规定办理。</w:t>
      </w:r>
    </w:p>
    <w:p w14:paraId="1889871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  争议的解决</w:t>
      </w:r>
      <w:bookmarkEnd w:id="23"/>
    </w:p>
    <w:p w14:paraId="19D3A7E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24.1 争议的解决方式</w:t>
      </w:r>
    </w:p>
    <w:p w14:paraId="5F761FA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7E964C3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（l）向约定的仲裁委员会申请仲裁；</w:t>
      </w:r>
    </w:p>
    <w:p w14:paraId="678E405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（2）向有管辖权的人民法院提起诉讼。</w:t>
      </w:r>
    </w:p>
    <w:p w14:paraId="6336428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24.2 友好解决</w:t>
      </w:r>
    </w:p>
    <w:p w14:paraId="4BCF495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在提请争议评审、仲裁或者诉讼前，以及在争议评审、仲裁或诉讼过程中，发包人和承包人均可共同努力友好协商解决争议。</w:t>
      </w:r>
    </w:p>
    <w:p w14:paraId="437EBB0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24.3 争议评审</w:t>
      </w:r>
    </w:p>
    <w:p w14:paraId="4655574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24.3.1 采用争议评审的，发包人和承包人应在开工日后的28天内或在争议发生后，协商成立争议评审组。争议评审组由有合同管理和工程实践经验的专家组成。</w:t>
      </w:r>
    </w:p>
    <w:p w14:paraId="557DE15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24.3.2 合同双方的争议，应首先由申请人向争议评审组提交一份详细的评审申请报告，并附必要的文件、图纸和证明材料，申请人还应将上述报告的副本同时提交给被申请人和监理人。</w:t>
      </w:r>
    </w:p>
    <w:p w14:paraId="6C830EF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24.3.3 被申请人在收到申请人评审申请报告副本后的28 天内，向争议评审组提交一份答辩报告，并附证明材料。被申请人应将答辩报告的副本同时提交给申请人和监理人。</w:t>
      </w:r>
    </w:p>
    <w:p w14:paraId="79B9806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24.3.4 除专用合同条款另有约定外，争议评审组在收到合同双方报告后的14天内，邀请双方代表和有关人员举行调查会，向双方调查争议细节；必要时争议评审组可要求双方进一步提供补充材料。</w:t>
      </w:r>
    </w:p>
    <w:p w14:paraId="2D70BCB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14:paraId="23C79F5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24.3.6 发包人和承包人接受评审意见的，由监理人根据评审意见拟定执行协议，经争议双方签字后作为合同的补充文件，并遵照执行。</w:t>
      </w:r>
    </w:p>
    <w:p w14:paraId="3661FA5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14:paraId="7CC7121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24.4 仲裁</w:t>
      </w:r>
    </w:p>
    <w:p w14:paraId="368CE06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24.4.1 若合同双方商定直接向仲裁机构申请仲裁， 应签订仲裁协议并约定仲裁机构。</w:t>
      </w:r>
    </w:p>
    <w:p w14:paraId="6BD8FFE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24.4.2 若合同双方未能达成仲裁协议，则本合同的仲裁条款无效，任一方均有权向人民法院提起诉讼。</w:t>
      </w:r>
    </w:p>
    <w:p w14:paraId="77FC51D8">
      <w:pPr>
        <w:pStyle w:val="4"/>
        <w:pageBreakBefore w:val="0"/>
        <w:widowControl w:val="0"/>
        <w:kinsoku/>
        <w:wordWrap/>
        <w:overflowPunct/>
        <w:topLinePunct w:val="0"/>
        <w:autoSpaceDE/>
        <w:autoSpaceDN/>
        <w:bidi w:val="0"/>
        <w:adjustRightInd/>
        <w:snapToGrid/>
        <w:spacing w:line="312" w:lineRule="auto"/>
        <w:jc w:val="center"/>
        <w:textAlignment w:val="auto"/>
        <w:rPr>
          <w:highlight w:val="none"/>
        </w:rPr>
      </w:pPr>
      <w:bookmarkStart w:id="24" w:name="_Toc265408514"/>
      <w:r>
        <w:rPr>
          <w:rFonts w:hAnsi="宋体"/>
          <w:highlight w:val="none"/>
        </w:rPr>
        <w:br w:type="page"/>
      </w:r>
      <w:r>
        <w:rPr>
          <w:rFonts w:hAnsi="宋体"/>
          <w:sz w:val="28"/>
          <w:szCs w:val="28"/>
          <w:highlight w:val="none"/>
        </w:rPr>
        <w:t>第</w:t>
      </w:r>
      <w:r>
        <w:rPr>
          <w:rFonts w:hint="eastAsia"/>
          <w:sz w:val="28"/>
          <w:szCs w:val="28"/>
          <w:highlight w:val="none"/>
          <w:lang w:val="en-US" w:eastAsia="zh-CN"/>
        </w:rPr>
        <w:t>三</w:t>
      </w:r>
      <w:r>
        <w:rPr>
          <w:rFonts w:hint="eastAsia" w:hAnsi="宋体"/>
          <w:sz w:val="28"/>
          <w:szCs w:val="28"/>
          <w:highlight w:val="none"/>
          <w:lang w:val="en-US" w:eastAsia="zh-CN"/>
        </w:rPr>
        <w:t>部分</w:t>
      </w:r>
      <w:r>
        <w:rPr>
          <w:sz w:val="28"/>
          <w:szCs w:val="28"/>
          <w:highlight w:val="none"/>
        </w:rPr>
        <w:t xml:space="preserve">  </w:t>
      </w:r>
      <w:r>
        <w:rPr>
          <w:rFonts w:hAnsi="宋体"/>
          <w:sz w:val="28"/>
          <w:szCs w:val="28"/>
          <w:highlight w:val="none"/>
        </w:rPr>
        <w:t>专用合同条款</w:t>
      </w:r>
      <w:bookmarkEnd w:id="24"/>
    </w:p>
    <w:p w14:paraId="267F3CE7">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sz w:val="21"/>
          <w:szCs w:val="21"/>
          <w:highlight w:val="none"/>
        </w:rPr>
      </w:pPr>
      <w:bookmarkStart w:id="25" w:name="_Toc265408515"/>
      <w:r>
        <w:rPr>
          <w:sz w:val="21"/>
          <w:szCs w:val="21"/>
          <w:highlight w:val="none"/>
        </w:rPr>
        <w:t xml:space="preserve">1 </w:t>
      </w:r>
      <w:r>
        <w:rPr>
          <w:rFonts w:hAnsi="宋体"/>
          <w:sz w:val="21"/>
          <w:szCs w:val="21"/>
          <w:highlight w:val="none"/>
        </w:rPr>
        <w:t>一般约定</w:t>
      </w:r>
      <w:bookmarkEnd w:id="25"/>
    </w:p>
    <w:p w14:paraId="067B50AA">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1.1 词语定义</w:t>
      </w:r>
    </w:p>
    <w:p w14:paraId="0EC7B686">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1.1.2 </w:t>
      </w:r>
      <w:r>
        <w:rPr>
          <w:rFonts w:hAnsi="宋体"/>
          <w:sz w:val="21"/>
          <w:szCs w:val="21"/>
          <w:highlight w:val="none"/>
        </w:rPr>
        <w:t>合同当事人和人员</w:t>
      </w:r>
    </w:p>
    <w:p w14:paraId="116120E5">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default" w:ascii="Times New Roman" w:hAnsi="宋体" w:eastAsia="宋体" w:cs="Times New Roman"/>
          <w:sz w:val="21"/>
          <w:szCs w:val="21"/>
          <w:highlight w:val="none"/>
          <w:u w:val="none"/>
          <w:lang w:val="en-US"/>
        </w:rPr>
      </w:pPr>
      <w:r>
        <w:rPr>
          <w:sz w:val="21"/>
          <w:szCs w:val="21"/>
          <w:highlight w:val="none"/>
        </w:rPr>
        <w:t xml:space="preserve">1.1.2.2 </w:t>
      </w:r>
      <w:r>
        <w:rPr>
          <w:rFonts w:hAnsi="宋体"/>
          <w:sz w:val="21"/>
          <w:szCs w:val="21"/>
          <w:highlight w:val="none"/>
        </w:rPr>
        <w:t>发包人：</w:t>
      </w:r>
      <w:r>
        <w:rPr>
          <w:rFonts w:hint="eastAsia" w:ascii="Times New Roman" w:hAnsi="Times New Roman" w:eastAsia="宋体" w:cs="Times New Roman"/>
          <w:kern w:val="2"/>
          <w:sz w:val="21"/>
          <w:szCs w:val="21"/>
          <w:highlight w:val="none"/>
          <w:u w:val="single"/>
          <w:lang w:val="en-US" w:eastAsia="zh-CN" w:bidi="ar-SA"/>
        </w:rPr>
        <w:t xml:space="preserve">                            </w:t>
      </w:r>
      <w:r>
        <w:rPr>
          <w:rFonts w:hint="eastAsia" w:ascii="Times New Roman" w:hAnsi="Times New Roman" w:eastAsia="宋体" w:cs="Times New Roman"/>
          <w:kern w:val="2"/>
          <w:sz w:val="21"/>
          <w:szCs w:val="21"/>
          <w:highlight w:val="none"/>
          <w:u w:val="none"/>
          <w:lang w:val="en-US" w:eastAsia="zh-CN" w:bidi="ar-SA"/>
        </w:rPr>
        <w:t>。</w:t>
      </w:r>
    </w:p>
    <w:p w14:paraId="4EFC41B5">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1.1.2.3 </w:t>
      </w:r>
      <w:r>
        <w:rPr>
          <w:rFonts w:hAnsi="宋体"/>
          <w:sz w:val="21"/>
          <w:szCs w:val="21"/>
          <w:highlight w:val="none"/>
        </w:rPr>
        <w:t>承包人：</w:t>
      </w:r>
      <w:r>
        <w:rPr>
          <w:sz w:val="21"/>
          <w:szCs w:val="21"/>
          <w:highlight w:val="none"/>
          <w:u w:val="single"/>
        </w:rPr>
        <w:t xml:space="preserve"> </w:t>
      </w:r>
      <w:r>
        <w:rPr>
          <w:rFonts w:hAnsi="宋体"/>
          <w:sz w:val="21"/>
          <w:szCs w:val="21"/>
          <w:highlight w:val="none"/>
          <w:u w:val="single"/>
        </w:rPr>
        <w:t>（签约后填入承包人的名称）</w:t>
      </w:r>
      <w:r>
        <w:rPr>
          <w:sz w:val="21"/>
          <w:szCs w:val="21"/>
          <w:highlight w:val="none"/>
          <w:u w:val="single"/>
        </w:rPr>
        <w:t xml:space="preserve"> </w:t>
      </w:r>
      <w:r>
        <w:rPr>
          <w:rFonts w:hAnsi="宋体"/>
          <w:sz w:val="21"/>
          <w:szCs w:val="21"/>
          <w:highlight w:val="none"/>
        </w:rPr>
        <w:t>。</w:t>
      </w:r>
    </w:p>
    <w:p w14:paraId="3BB67456">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1.1.2.5 </w:t>
      </w:r>
      <w:r>
        <w:rPr>
          <w:rFonts w:hAnsi="宋体"/>
          <w:sz w:val="21"/>
          <w:szCs w:val="21"/>
          <w:highlight w:val="none"/>
        </w:rPr>
        <w:t>分包人：</w:t>
      </w:r>
      <w:r>
        <w:rPr>
          <w:rFonts w:hAnsi="宋体"/>
          <w:sz w:val="21"/>
          <w:szCs w:val="21"/>
          <w:highlight w:val="none"/>
          <w:u w:val="single"/>
        </w:rPr>
        <w:t>　　　</w:t>
      </w:r>
      <w:r>
        <w:rPr>
          <w:rFonts w:hint="eastAsia" w:hAnsi="宋体"/>
          <w:sz w:val="21"/>
          <w:szCs w:val="21"/>
          <w:highlight w:val="none"/>
          <w:u w:val="single"/>
        </w:rPr>
        <w:t xml:space="preserve">     不适用</w:t>
      </w:r>
      <w:r>
        <w:rPr>
          <w:sz w:val="21"/>
          <w:szCs w:val="21"/>
          <w:highlight w:val="none"/>
          <w:u w:val="single"/>
        </w:rPr>
        <w:t xml:space="preserve">         </w:t>
      </w:r>
      <w:r>
        <w:rPr>
          <w:rFonts w:hAnsi="宋体"/>
          <w:sz w:val="21"/>
          <w:szCs w:val="21"/>
          <w:highlight w:val="none"/>
          <w:u w:val="single"/>
        </w:rPr>
        <w:t>　</w:t>
      </w:r>
      <w:r>
        <w:rPr>
          <w:rFonts w:hAnsi="宋体"/>
          <w:sz w:val="21"/>
          <w:szCs w:val="21"/>
          <w:highlight w:val="none"/>
        </w:rPr>
        <w:t>。</w:t>
      </w:r>
    </w:p>
    <w:p w14:paraId="364C6F10">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1.1.2.6 </w:t>
      </w:r>
      <w:r>
        <w:rPr>
          <w:rFonts w:hAnsi="宋体"/>
          <w:sz w:val="21"/>
          <w:szCs w:val="21"/>
          <w:highlight w:val="none"/>
        </w:rPr>
        <w:t>监理人：</w:t>
      </w:r>
      <w:r>
        <w:rPr>
          <w:rFonts w:hint="eastAsia" w:hAnsi="宋体"/>
          <w:sz w:val="21"/>
          <w:szCs w:val="21"/>
          <w:highlight w:val="none"/>
          <w:u w:val="single"/>
        </w:rPr>
        <w:t xml:space="preserve">     </w:t>
      </w:r>
      <w:r>
        <w:rPr>
          <w:rFonts w:hAnsi="宋体"/>
          <w:sz w:val="21"/>
          <w:szCs w:val="21"/>
          <w:highlight w:val="none"/>
          <w:u w:val="single"/>
        </w:rPr>
        <w:t>（填入监理人名称）</w:t>
      </w:r>
      <w:r>
        <w:rPr>
          <w:rFonts w:hint="eastAsia" w:hAnsi="宋体"/>
          <w:sz w:val="21"/>
          <w:szCs w:val="21"/>
          <w:highlight w:val="none"/>
          <w:u w:val="single"/>
        </w:rPr>
        <w:t xml:space="preserve">   </w:t>
      </w:r>
      <w:r>
        <w:rPr>
          <w:rFonts w:hAnsi="宋体"/>
          <w:sz w:val="21"/>
          <w:szCs w:val="21"/>
          <w:highlight w:val="none"/>
          <w:u w:val="single"/>
        </w:rPr>
        <w:t>　</w:t>
      </w:r>
      <w:r>
        <w:rPr>
          <w:rFonts w:hAnsi="宋体"/>
          <w:sz w:val="21"/>
          <w:szCs w:val="21"/>
          <w:highlight w:val="none"/>
        </w:rPr>
        <w:t>。</w:t>
      </w:r>
    </w:p>
    <w:p w14:paraId="597FCBB4">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1.1.4</w:t>
      </w:r>
      <w:r>
        <w:rPr>
          <w:rFonts w:hAnsi="宋体"/>
          <w:sz w:val="21"/>
          <w:szCs w:val="21"/>
          <w:highlight w:val="none"/>
        </w:rPr>
        <w:t>日期</w:t>
      </w:r>
    </w:p>
    <w:p w14:paraId="1B57C26E">
      <w:pPr>
        <w:pageBreakBefore w:val="0"/>
        <w:widowControl w:val="0"/>
        <w:kinsoku/>
        <w:wordWrap/>
        <w:overflowPunct/>
        <w:topLinePunct w:val="0"/>
        <w:autoSpaceDE/>
        <w:autoSpaceDN/>
        <w:bidi w:val="0"/>
        <w:adjustRightInd/>
        <w:snapToGrid/>
        <w:spacing w:line="312" w:lineRule="auto"/>
        <w:ind w:firstLine="420" w:firstLineChars="200"/>
        <w:textAlignment w:val="auto"/>
        <w:rPr>
          <w:rFonts w:hAnsi="宋体"/>
          <w:color w:val="FF0000"/>
          <w:sz w:val="21"/>
          <w:szCs w:val="21"/>
          <w:highlight w:val="none"/>
          <w:u w:val="none"/>
        </w:rPr>
      </w:pPr>
      <w:r>
        <w:rPr>
          <w:sz w:val="21"/>
          <w:szCs w:val="21"/>
          <w:highlight w:val="none"/>
        </w:rPr>
        <w:t xml:space="preserve">1.1.4.5 </w:t>
      </w:r>
      <w:r>
        <w:rPr>
          <w:rFonts w:hAnsi="宋体"/>
          <w:sz w:val="21"/>
          <w:szCs w:val="21"/>
          <w:highlight w:val="none"/>
        </w:rPr>
        <w:t>缺陷责任期（工程质量保修</w:t>
      </w:r>
      <w:r>
        <w:rPr>
          <w:rFonts w:hAnsi="宋体"/>
          <w:color w:val="auto"/>
          <w:sz w:val="21"/>
          <w:szCs w:val="21"/>
          <w:highlight w:val="none"/>
        </w:rPr>
        <w:t>期）：</w:t>
      </w:r>
      <w:r>
        <w:rPr>
          <w:rFonts w:hint="eastAsia" w:hAnsi="宋体"/>
          <w:color w:val="auto"/>
          <w:sz w:val="21"/>
          <w:szCs w:val="21"/>
          <w:highlight w:val="none"/>
          <w:u w:val="single"/>
          <w:lang w:val="en-US" w:eastAsia="zh-CN"/>
        </w:rPr>
        <w:t>合同工程完工验收合格之日起12个月</w:t>
      </w:r>
      <w:r>
        <w:rPr>
          <w:rFonts w:hAnsi="宋体"/>
          <w:color w:val="auto"/>
          <w:sz w:val="21"/>
          <w:szCs w:val="21"/>
          <w:highlight w:val="none"/>
          <w:u w:val="none"/>
        </w:rPr>
        <w:t>。</w:t>
      </w:r>
    </w:p>
    <w:p w14:paraId="26F015A2">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hint="eastAsia" w:ascii="宋体" w:hAnsi="Times New Roman" w:eastAsia="宋体" w:cs="Times New Roman"/>
          <w:b/>
          <w:bCs/>
          <w:sz w:val="21"/>
          <w:szCs w:val="21"/>
          <w:highlight w:val="none"/>
          <w:lang w:val="en-US" w:eastAsia="zh-CN"/>
        </w:rPr>
      </w:pPr>
      <w:r>
        <w:rPr>
          <w:rFonts w:hint="eastAsia" w:ascii="宋体" w:hAnsi="Times New Roman" w:eastAsia="宋体" w:cs="Times New Roman"/>
          <w:b/>
          <w:bCs/>
          <w:sz w:val="21"/>
          <w:szCs w:val="21"/>
          <w:highlight w:val="none"/>
          <w:lang w:val="en-US" w:eastAsia="zh-CN"/>
        </w:rPr>
        <w:t>1.4 合同文件的优先顺序</w:t>
      </w:r>
    </w:p>
    <w:p w14:paraId="56ADFE9C">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进入合同文件的各项文件及其优先顺序：</w:t>
      </w:r>
    </w:p>
    <w:p w14:paraId="4020A987">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（l）合同协议书；</w:t>
      </w:r>
    </w:p>
    <w:p w14:paraId="41F88BB3">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（2）专用合同条款；</w:t>
      </w:r>
    </w:p>
    <w:p w14:paraId="1C584C41">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（3）通用合同条款；</w:t>
      </w:r>
    </w:p>
    <w:p w14:paraId="206F71A7">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（4）</w:t>
      </w:r>
      <w:r>
        <w:rPr>
          <w:rFonts w:hint="eastAsia" w:cs="Times New Roman"/>
          <w:kern w:val="2"/>
          <w:sz w:val="21"/>
          <w:szCs w:val="21"/>
          <w:highlight w:val="none"/>
          <w:lang w:val="en-US" w:eastAsia="zh-CN" w:bidi="ar-SA"/>
        </w:rPr>
        <w:t>成交</w:t>
      </w:r>
      <w:r>
        <w:rPr>
          <w:rFonts w:hint="eastAsia" w:ascii="Times New Roman" w:hAnsi="Times New Roman" w:eastAsia="宋体" w:cs="Times New Roman"/>
          <w:kern w:val="2"/>
          <w:sz w:val="21"/>
          <w:szCs w:val="21"/>
          <w:highlight w:val="none"/>
          <w:lang w:val="en-US" w:eastAsia="zh-CN" w:bidi="ar-SA"/>
        </w:rPr>
        <w:t>通知书；</w:t>
      </w:r>
    </w:p>
    <w:p w14:paraId="4557D420">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（5）投标函及投标函附录；</w:t>
      </w:r>
    </w:p>
    <w:p w14:paraId="26A72763">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（6）技术标准和要求；</w:t>
      </w:r>
    </w:p>
    <w:p w14:paraId="62080E7F">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（7）图纸；</w:t>
      </w:r>
    </w:p>
    <w:p w14:paraId="6DB550E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（8）已标价工程量清单；</w:t>
      </w:r>
    </w:p>
    <w:p w14:paraId="22EB99DC">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（9）其他合同文件。</w:t>
      </w:r>
    </w:p>
    <w:p w14:paraId="497E79F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lang w:val="en-US" w:eastAsia="zh-CN"/>
        </w:rPr>
      </w:pPr>
      <w:r>
        <w:rPr>
          <w:rFonts w:hint="eastAsia" w:ascii="Times New Roman" w:hAnsi="Times New Roman" w:eastAsia="宋体" w:cs="Times New Roman"/>
          <w:kern w:val="2"/>
          <w:sz w:val="21"/>
          <w:szCs w:val="21"/>
          <w:highlight w:val="none"/>
          <w:lang w:val="en-US" w:eastAsia="zh-CN" w:bidi="ar-SA"/>
        </w:rPr>
        <w:t>以上合同文件就适用效力另有约定的从其约定，没有约定的，相关法律文件及条款法律效力依照本条上述约定在先的优先适用。</w:t>
      </w:r>
    </w:p>
    <w:p w14:paraId="0B442BFB">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 联络</w:t>
      </w:r>
    </w:p>
    <w:p w14:paraId="6C3A5760">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1.7.2 </w:t>
      </w:r>
      <w:r>
        <w:rPr>
          <w:rFonts w:hAnsi="宋体"/>
          <w:sz w:val="21"/>
          <w:szCs w:val="21"/>
          <w:highlight w:val="none"/>
        </w:rPr>
        <w:t>来往函件均应按技术标准和要求（合同技术条款）约定的期限送达</w:t>
      </w:r>
      <w:r>
        <w:rPr>
          <w:rFonts w:hint="eastAsia" w:hAnsi="宋体"/>
          <w:sz w:val="21"/>
          <w:szCs w:val="21"/>
          <w:highlight w:val="none"/>
          <w:u w:val="single"/>
          <w:lang w:val="en-US" w:eastAsia="zh-CN"/>
        </w:rPr>
        <w:t>发包人</w:t>
      </w:r>
      <w:r>
        <w:rPr>
          <w:rFonts w:hAnsi="宋体"/>
          <w:sz w:val="21"/>
          <w:szCs w:val="21"/>
          <w:highlight w:val="none"/>
          <w:u w:val="none"/>
        </w:rPr>
        <w:t>处</w:t>
      </w:r>
      <w:r>
        <w:rPr>
          <w:rFonts w:hAnsi="宋体"/>
          <w:sz w:val="21"/>
          <w:szCs w:val="21"/>
          <w:highlight w:val="none"/>
        </w:rPr>
        <w:t>。</w:t>
      </w:r>
    </w:p>
    <w:p w14:paraId="367820C8">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26" w:name="_Toc265408516"/>
      <w:r>
        <w:rPr>
          <w:rFonts w:ascii="宋体" w:hAnsi="Times New Roman" w:eastAsia="宋体" w:cs="Times New Roman"/>
          <w:b/>
          <w:bCs/>
          <w:sz w:val="21"/>
          <w:szCs w:val="21"/>
          <w:highlight w:val="none"/>
        </w:rPr>
        <w:t>2 发包人义务</w:t>
      </w:r>
      <w:bookmarkEnd w:id="26"/>
    </w:p>
    <w:p w14:paraId="0277B613">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2.3 提供施工场地</w:t>
      </w:r>
    </w:p>
    <w:p w14:paraId="4AA5DFF5">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2.3.2 </w:t>
      </w:r>
      <w:r>
        <w:rPr>
          <w:rFonts w:hAnsi="宋体"/>
          <w:sz w:val="21"/>
          <w:szCs w:val="21"/>
          <w:highlight w:val="none"/>
        </w:rPr>
        <w:t>发包人提供的施工场地范围为：</w:t>
      </w:r>
      <w:r>
        <w:rPr>
          <w:rFonts w:hAnsi="宋体"/>
          <w:sz w:val="21"/>
          <w:szCs w:val="21"/>
          <w:highlight w:val="none"/>
          <w:u w:val="single"/>
        </w:rPr>
        <w:t>施工图纸指定范围</w:t>
      </w:r>
      <w:r>
        <w:rPr>
          <w:rFonts w:hAnsi="宋体"/>
          <w:sz w:val="21"/>
          <w:szCs w:val="21"/>
          <w:highlight w:val="none"/>
        </w:rPr>
        <w:t>。</w:t>
      </w:r>
    </w:p>
    <w:p w14:paraId="3690879E">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2.3.3 </w:t>
      </w:r>
      <w:r>
        <w:rPr>
          <w:rFonts w:hAnsi="宋体"/>
          <w:sz w:val="21"/>
          <w:szCs w:val="21"/>
          <w:highlight w:val="none"/>
        </w:rPr>
        <w:t>承包人自行勘察的施工场地范围为：</w:t>
      </w:r>
      <w:r>
        <w:rPr>
          <w:rFonts w:hAnsi="宋体"/>
          <w:sz w:val="21"/>
          <w:szCs w:val="21"/>
          <w:highlight w:val="none"/>
          <w:u w:val="single"/>
        </w:rPr>
        <w:t>施工图纸指定范围</w:t>
      </w:r>
      <w:r>
        <w:rPr>
          <w:rFonts w:hAnsi="宋体"/>
          <w:sz w:val="21"/>
          <w:szCs w:val="21"/>
          <w:highlight w:val="none"/>
        </w:rPr>
        <w:t>。</w:t>
      </w:r>
    </w:p>
    <w:p w14:paraId="74DE6F30">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2.8 其它义务</w:t>
      </w:r>
    </w:p>
    <w:p w14:paraId="02593BED">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（根据发包人的合同管理要求补充）</w:t>
      </w:r>
    </w:p>
    <w:p w14:paraId="089DC6F8">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27" w:name="_Toc265408517"/>
      <w:r>
        <w:rPr>
          <w:rFonts w:ascii="宋体" w:hAnsi="Times New Roman" w:eastAsia="宋体" w:cs="Times New Roman"/>
          <w:b/>
          <w:bCs/>
          <w:sz w:val="21"/>
          <w:szCs w:val="21"/>
          <w:highlight w:val="none"/>
        </w:rPr>
        <w:t>3 监理人</w:t>
      </w:r>
      <w:bookmarkEnd w:id="27"/>
    </w:p>
    <w:p w14:paraId="2177A7B3">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3.1 监理人的职责和权力</w:t>
      </w:r>
    </w:p>
    <w:p w14:paraId="0B93387E">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3.1.1 </w:t>
      </w:r>
      <w:r>
        <w:rPr>
          <w:rFonts w:hAnsi="宋体"/>
          <w:sz w:val="21"/>
          <w:szCs w:val="21"/>
          <w:highlight w:val="none"/>
        </w:rPr>
        <w:t>监理人须根据发包人事先批准的权力范围行使权力，发包人批准的权力范围：</w:t>
      </w:r>
    </w:p>
    <w:p w14:paraId="665689DC">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（１）按第</w:t>
      </w:r>
      <w:r>
        <w:rPr>
          <w:sz w:val="21"/>
          <w:szCs w:val="21"/>
          <w:highlight w:val="none"/>
        </w:rPr>
        <w:t>4.3</w:t>
      </w:r>
      <w:r>
        <w:rPr>
          <w:rFonts w:hAnsi="宋体"/>
          <w:sz w:val="21"/>
          <w:szCs w:val="21"/>
          <w:highlight w:val="none"/>
        </w:rPr>
        <w:t>款约定，批准工程的分包；</w:t>
      </w:r>
    </w:p>
    <w:p w14:paraId="7276FC4E">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（２）按第</w:t>
      </w:r>
      <w:r>
        <w:rPr>
          <w:sz w:val="21"/>
          <w:szCs w:val="21"/>
          <w:highlight w:val="none"/>
        </w:rPr>
        <w:t>11.3</w:t>
      </w:r>
      <w:r>
        <w:rPr>
          <w:rFonts w:hAnsi="宋体"/>
          <w:sz w:val="21"/>
          <w:szCs w:val="21"/>
          <w:highlight w:val="none"/>
        </w:rPr>
        <w:t>款约定，确定延长完工期限；</w:t>
      </w:r>
    </w:p>
    <w:p w14:paraId="7A61CB2F">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（３）按第</w:t>
      </w:r>
      <w:r>
        <w:rPr>
          <w:sz w:val="21"/>
          <w:szCs w:val="21"/>
          <w:highlight w:val="none"/>
        </w:rPr>
        <w:t>15.6</w:t>
      </w:r>
      <w:r>
        <w:rPr>
          <w:rFonts w:hAnsi="宋体"/>
          <w:sz w:val="21"/>
          <w:szCs w:val="21"/>
          <w:highlight w:val="none"/>
        </w:rPr>
        <w:t>款约定，批准暂列金额的使用；</w:t>
      </w:r>
    </w:p>
    <w:p w14:paraId="46F74077">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28" w:name="_Toc265408518"/>
      <w:r>
        <w:rPr>
          <w:rFonts w:ascii="宋体" w:hAnsi="Times New Roman" w:eastAsia="宋体" w:cs="Times New Roman"/>
          <w:b/>
          <w:bCs/>
          <w:sz w:val="21"/>
          <w:szCs w:val="21"/>
          <w:highlight w:val="none"/>
        </w:rPr>
        <w:t>4 承包人</w:t>
      </w:r>
      <w:bookmarkEnd w:id="28"/>
    </w:p>
    <w:p w14:paraId="1B34FDCF">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4.1 承包人的一般义务</w:t>
      </w:r>
    </w:p>
    <w:p w14:paraId="105E4C8B">
      <w:pPr>
        <w:pageBreakBefore w:val="0"/>
        <w:widowControl w:val="0"/>
        <w:kinsoku/>
        <w:wordWrap/>
        <w:overflowPunct/>
        <w:topLinePunct w:val="0"/>
        <w:autoSpaceDE/>
        <w:autoSpaceDN/>
        <w:bidi w:val="0"/>
        <w:adjustRightInd/>
        <w:snapToGrid/>
        <w:spacing w:line="312" w:lineRule="auto"/>
        <w:ind w:firstLine="420" w:firstLineChars="200"/>
        <w:textAlignment w:val="auto"/>
        <w:rPr>
          <w:rFonts w:hAnsi="宋体"/>
          <w:color w:val="auto"/>
          <w:sz w:val="21"/>
          <w:szCs w:val="21"/>
          <w:highlight w:val="none"/>
        </w:rPr>
      </w:pPr>
      <w:r>
        <w:rPr>
          <w:color w:val="auto"/>
          <w:sz w:val="21"/>
          <w:szCs w:val="21"/>
          <w:highlight w:val="none"/>
        </w:rPr>
        <w:t xml:space="preserve">4.1.10 </w:t>
      </w:r>
      <w:r>
        <w:rPr>
          <w:rFonts w:hAnsi="宋体"/>
          <w:color w:val="auto"/>
          <w:sz w:val="21"/>
          <w:szCs w:val="21"/>
          <w:highlight w:val="none"/>
        </w:rPr>
        <w:t>其它义务：</w:t>
      </w:r>
    </w:p>
    <w:p w14:paraId="20F7C229">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eastAsia="zh-CN"/>
        </w:rPr>
        <w:t>（</w:t>
      </w:r>
      <w:r>
        <w:rPr>
          <w:rFonts w:hint="eastAsia" w:hAnsi="宋体"/>
          <w:color w:val="auto"/>
          <w:sz w:val="21"/>
          <w:szCs w:val="21"/>
          <w:highlight w:val="none"/>
          <w:lang w:val="en-US" w:eastAsia="zh-CN"/>
        </w:rPr>
        <w:t>1</w:t>
      </w:r>
      <w:r>
        <w:rPr>
          <w:rFonts w:hint="eastAsia" w:hAnsi="宋体"/>
          <w:color w:val="auto"/>
          <w:sz w:val="21"/>
          <w:szCs w:val="21"/>
          <w:highlight w:val="none"/>
          <w:lang w:eastAsia="zh-CN"/>
        </w:rPr>
        <w:t>）</w:t>
      </w:r>
      <w:r>
        <w:rPr>
          <w:rFonts w:hint="eastAsia" w:hAnsi="宋体"/>
          <w:color w:val="auto"/>
          <w:sz w:val="21"/>
          <w:szCs w:val="21"/>
          <w:highlight w:val="none"/>
        </w:rPr>
        <w:t>在项目建设过程中，不得以工程之名行采砂之实。</w:t>
      </w:r>
    </w:p>
    <w:p w14:paraId="7B4801CA">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hAnsi="宋体" w:eastAsia="宋体"/>
          <w:color w:val="auto"/>
          <w:sz w:val="21"/>
          <w:szCs w:val="21"/>
          <w:highlight w:val="none"/>
          <w:lang w:eastAsia="zh-CN"/>
        </w:rPr>
      </w:pPr>
      <w:r>
        <w:rPr>
          <w:rFonts w:hint="eastAsia" w:hAnsi="宋体"/>
          <w:color w:val="auto"/>
          <w:sz w:val="21"/>
          <w:szCs w:val="21"/>
          <w:highlight w:val="none"/>
          <w:lang w:eastAsia="zh-CN"/>
        </w:rPr>
        <w:t>（</w:t>
      </w:r>
      <w:r>
        <w:rPr>
          <w:rFonts w:hint="eastAsia" w:hAnsi="宋体"/>
          <w:color w:val="auto"/>
          <w:sz w:val="21"/>
          <w:szCs w:val="21"/>
          <w:highlight w:val="none"/>
          <w:lang w:val="en-US" w:eastAsia="zh-CN"/>
        </w:rPr>
        <w:t>2</w:t>
      </w:r>
      <w:r>
        <w:rPr>
          <w:rFonts w:hint="eastAsia" w:hAnsi="宋体"/>
          <w:color w:val="auto"/>
          <w:sz w:val="21"/>
          <w:szCs w:val="21"/>
          <w:highlight w:val="none"/>
          <w:lang w:eastAsia="zh-CN"/>
        </w:rPr>
        <w:t>）</w:t>
      </w:r>
      <w:r>
        <w:rPr>
          <w:rFonts w:hint="eastAsia" w:hAnsi="宋体"/>
          <w:color w:val="auto"/>
          <w:sz w:val="21"/>
          <w:szCs w:val="21"/>
          <w:highlight w:val="none"/>
        </w:rPr>
        <w:t>按照档案验收规范准备资料，配合发包人完成档案验收工作。项目合同工程完工验收通过后2个月内完成工程结算上报工作</w:t>
      </w:r>
      <w:r>
        <w:rPr>
          <w:rFonts w:hint="eastAsia" w:hAnsi="宋体"/>
          <w:color w:val="auto"/>
          <w:sz w:val="21"/>
          <w:szCs w:val="21"/>
          <w:highlight w:val="none"/>
          <w:lang w:eastAsia="zh-CN"/>
        </w:rPr>
        <w:t>。</w:t>
      </w:r>
    </w:p>
    <w:p w14:paraId="7E56ADBE">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color w:val="auto"/>
          <w:sz w:val="21"/>
          <w:szCs w:val="21"/>
          <w:highlight w:val="none"/>
        </w:rPr>
      </w:pPr>
      <w:r>
        <w:rPr>
          <w:rFonts w:ascii="宋体" w:hAnsi="Times New Roman" w:eastAsia="宋体" w:cs="Times New Roman"/>
          <w:b/>
          <w:bCs/>
          <w:color w:val="auto"/>
          <w:sz w:val="21"/>
          <w:szCs w:val="21"/>
          <w:highlight w:val="none"/>
        </w:rPr>
        <w:t>4.11 不利物质条件</w:t>
      </w:r>
    </w:p>
    <w:p w14:paraId="5F6B4188">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4.11.1</w:t>
      </w:r>
      <w:r>
        <w:rPr>
          <w:rFonts w:hAnsi="宋体"/>
          <w:sz w:val="21"/>
          <w:szCs w:val="21"/>
          <w:highlight w:val="none"/>
        </w:rPr>
        <w:t>不利物质条件的范围：</w:t>
      </w:r>
      <w:r>
        <w:rPr>
          <w:rFonts w:hAnsi="宋体"/>
          <w:sz w:val="21"/>
          <w:szCs w:val="21"/>
          <w:highlight w:val="none"/>
          <w:u w:val="single"/>
        </w:rPr>
        <w:t>施工图纸指定范围</w:t>
      </w:r>
      <w:r>
        <w:rPr>
          <w:rFonts w:hAnsi="宋体"/>
          <w:sz w:val="21"/>
          <w:szCs w:val="21"/>
          <w:highlight w:val="none"/>
        </w:rPr>
        <w:t>。</w:t>
      </w:r>
    </w:p>
    <w:p w14:paraId="1B1FE6CD">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5 材料和工程设备</w:t>
      </w:r>
    </w:p>
    <w:p w14:paraId="1269D1E7">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5.1 承包人提供的材料和工程设备</w:t>
      </w:r>
    </w:p>
    <w:p w14:paraId="55FE4248">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5.1.3</w:t>
      </w:r>
      <w:r>
        <w:rPr>
          <w:rFonts w:hAnsi="宋体"/>
          <w:sz w:val="21"/>
          <w:szCs w:val="21"/>
          <w:highlight w:val="none"/>
        </w:rPr>
        <w:t>对承包人提供的材料和工程设备，承包人除</w:t>
      </w:r>
      <w:r>
        <w:rPr>
          <w:sz w:val="21"/>
          <w:szCs w:val="21"/>
          <w:highlight w:val="none"/>
          <w:u w:val="single"/>
        </w:rPr>
        <w:t xml:space="preserve"> </w:t>
      </w:r>
      <w:r>
        <w:rPr>
          <w:rFonts w:hAnsi="宋体"/>
          <w:sz w:val="21"/>
          <w:szCs w:val="21"/>
          <w:highlight w:val="none"/>
          <w:u w:val="single"/>
        </w:rPr>
        <w:t>执行通用条款</w:t>
      </w:r>
      <w:r>
        <w:rPr>
          <w:sz w:val="21"/>
          <w:szCs w:val="21"/>
          <w:highlight w:val="none"/>
          <w:u w:val="single"/>
        </w:rPr>
        <w:t xml:space="preserve"> </w:t>
      </w:r>
      <w:r>
        <w:rPr>
          <w:rFonts w:hAnsi="宋体"/>
          <w:sz w:val="21"/>
          <w:szCs w:val="21"/>
          <w:highlight w:val="none"/>
        </w:rPr>
        <w:t>的约定外，发包人还可以采取以下措施，加强对材料和工程施工的全面质量进行如下控制：</w:t>
      </w:r>
    </w:p>
    <w:p w14:paraId="1CBB25C2">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w:t>
      </w:r>
      <w:r>
        <w:rPr>
          <w:sz w:val="21"/>
          <w:szCs w:val="21"/>
          <w:highlight w:val="none"/>
        </w:rPr>
        <w:t>1</w:t>
      </w:r>
      <w:r>
        <w:rPr>
          <w:rFonts w:hAnsi="宋体"/>
          <w:sz w:val="21"/>
          <w:szCs w:val="21"/>
          <w:highlight w:val="none"/>
        </w:rPr>
        <w:t>）发包人和监理人监督承包人健全其施工全过程的质量自检制度；承包人按监理人的指示，做好材料和工程质量检查的同期纪录；</w:t>
      </w:r>
    </w:p>
    <w:p w14:paraId="62DAE531">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w:t>
      </w:r>
      <w:r>
        <w:rPr>
          <w:sz w:val="21"/>
          <w:szCs w:val="21"/>
          <w:highlight w:val="none"/>
        </w:rPr>
        <w:t>2</w:t>
      </w:r>
      <w:r>
        <w:rPr>
          <w:rFonts w:hAnsi="宋体"/>
          <w:sz w:val="21"/>
          <w:szCs w:val="21"/>
          <w:highlight w:val="none"/>
        </w:rPr>
        <w:t>）承包人应建立完善的材料和工程质量检查、检验和验收制度，发包人和监理人有权对材料采购进货、运输、存储进行严格检查以及现场施工用材的全过程监控。尤其是工程中所用重要材料：格宾网、水泥、砂子及石块等重要材料在采购前必须通知发包人及监理人，发包人及监理人对其质量及技术要求按照图纸及国家相关规定进行确认，经发包人及监理人确认后方可采购进场；</w:t>
      </w:r>
    </w:p>
    <w:p w14:paraId="263A43C1">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w:t>
      </w:r>
      <w:r>
        <w:rPr>
          <w:sz w:val="21"/>
          <w:szCs w:val="21"/>
          <w:highlight w:val="none"/>
        </w:rPr>
        <w:t>3</w:t>
      </w:r>
      <w:r>
        <w:rPr>
          <w:rFonts w:hAnsi="宋体"/>
          <w:sz w:val="21"/>
          <w:szCs w:val="21"/>
          <w:highlight w:val="none"/>
        </w:rPr>
        <w:t>）承包人负责采购的材料和工程设备，一经与供货人签订供货协议，应将协议副本提交给发包人及监理人，使发包人及监理人及时了解承包人订货情况是否满足工程需要；</w:t>
      </w:r>
    </w:p>
    <w:p w14:paraId="33CCBC6A">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w:t>
      </w:r>
      <w:r>
        <w:rPr>
          <w:sz w:val="21"/>
          <w:szCs w:val="21"/>
          <w:highlight w:val="none"/>
        </w:rPr>
        <w:t>4</w:t>
      </w:r>
      <w:r>
        <w:rPr>
          <w:rFonts w:hAnsi="宋体"/>
          <w:sz w:val="21"/>
          <w:szCs w:val="21"/>
          <w:highlight w:val="none"/>
        </w:rPr>
        <w:t>）承包人提供的材料和工程设备只有经检验合格后才能用于工程施工。依据《建设工程质量管理条例》第</w:t>
      </w:r>
      <w:r>
        <w:rPr>
          <w:sz w:val="21"/>
          <w:szCs w:val="21"/>
          <w:highlight w:val="none"/>
        </w:rPr>
        <w:t>37</w:t>
      </w:r>
      <w:r>
        <w:rPr>
          <w:rFonts w:hAnsi="宋体"/>
          <w:sz w:val="21"/>
          <w:szCs w:val="21"/>
          <w:highlight w:val="none"/>
        </w:rPr>
        <w:t>条规定，未经监理工程师签字，建筑材料、建筑构配件和设备不得在工程上使用或者安装，施工单位不得进行下一道工序的施工。</w:t>
      </w:r>
    </w:p>
    <w:p w14:paraId="6052DC96">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29" w:name="_Toc265408521"/>
      <w:r>
        <w:rPr>
          <w:rFonts w:ascii="宋体" w:hAnsi="Times New Roman" w:eastAsia="宋体" w:cs="Times New Roman"/>
          <w:b/>
          <w:bCs/>
          <w:sz w:val="21"/>
          <w:szCs w:val="21"/>
          <w:highlight w:val="none"/>
        </w:rPr>
        <w:t>7 交通运输</w:t>
      </w:r>
      <w:bookmarkEnd w:id="29"/>
    </w:p>
    <w:p w14:paraId="4F152578">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7.1 道路通行权和场外设施</w:t>
      </w:r>
    </w:p>
    <w:p w14:paraId="5A815B24">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道路通行权和场外设施的约定：</w:t>
      </w:r>
      <w:r>
        <w:rPr>
          <w:rFonts w:hAnsi="宋体"/>
          <w:sz w:val="21"/>
          <w:szCs w:val="21"/>
          <w:highlight w:val="none"/>
          <w:u w:val="single"/>
        </w:rPr>
        <w:t>执行通用条款</w:t>
      </w:r>
      <w:r>
        <w:rPr>
          <w:rFonts w:hAnsi="宋体"/>
          <w:sz w:val="21"/>
          <w:szCs w:val="21"/>
          <w:highlight w:val="none"/>
        </w:rPr>
        <w:t>。</w:t>
      </w:r>
    </w:p>
    <w:p w14:paraId="5910E6FB">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0" w:name="_Toc265408522"/>
      <w:r>
        <w:rPr>
          <w:rFonts w:ascii="宋体" w:hAnsi="Times New Roman" w:eastAsia="宋体" w:cs="Times New Roman"/>
          <w:b/>
          <w:bCs/>
          <w:sz w:val="21"/>
          <w:szCs w:val="21"/>
          <w:highlight w:val="none"/>
        </w:rPr>
        <w:t>8 测量放线</w:t>
      </w:r>
      <w:bookmarkEnd w:id="30"/>
    </w:p>
    <w:p w14:paraId="7A4364B8">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8.1 施工控制网</w:t>
      </w:r>
    </w:p>
    <w:p w14:paraId="0AC6E510">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8.1.1 </w:t>
      </w:r>
      <w:r>
        <w:rPr>
          <w:rFonts w:hAnsi="宋体"/>
          <w:sz w:val="21"/>
          <w:szCs w:val="21"/>
          <w:highlight w:val="none"/>
        </w:rPr>
        <w:t>施工控制网的约定：</w:t>
      </w:r>
      <w:r>
        <w:rPr>
          <w:rFonts w:hAnsi="宋体"/>
          <w:sz w:val="21"/>
          <w:szCs w:val="21"/>
          <w:highlight w:val="none"/>
          <w:u w:val="single"/>
        </w:rPr>
        <w:t>执行通用条款</w:t>
      </w:r>
      <w:r>
        <w:rPr>
          <w:rFonts w:hAnsi="宋体"/>
          <w:sz w:val="21"/>
          <w:szCs w:val="21"/>
          <w:highlight w:val="none"/>
        </w:rPr>
        <w:t>。</w:t>
      </w:r>
    </w:p>
    <w:p w14:paraId="06F7E197">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1" w:name="_Toc265408523"/>
      <w:r>
        <w:rPr>
          <w:rFonts w:ascii="宋体" w:hAnsi="Times New Roman" w:eastAsia="宋体" w:cs="Times New Roman"/>
          <w:b/>
          <w:bCs/>
          <w:sz w:val="21"/>
          <w:szCs w:val="21"/>
          <w:highlight w:val="none"/>
        </w:rPr>
        <w:t>9 施工安全、治安保卫和环境保护</w:t>
      </w:r>
      <w:bookmarkEnd w:id="31"/>
    </w:p>
    <w:p w14:paraId="2BC15BEA">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9.1 发包人的施工安全责任</w:t>
      </w:r>
    </w:p>
    <w:p w14:paraId="1777CC92">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9.1.4 </w:t>
      </w:r>
      <w:r>
        <w:rPr>
          <w:rFonts w:hAnsi="宋体"/>
          <w:sz w:val="21"/>
          <w:szCs w:val="21"/>
          <w:highlight w:val="none"/>
        </w:rPr>
        <w:t>发包人提供</w:t>
      </w:r>
      <w:r>
        <w:rPr>
          <w:rFonts w:hAnsi="宋体"/>
          <w:sz w:val="21"/>
          <w:szCs w:val="21"/>
          <w:highlight w:val="none"/>
          <w:u w:val="single"/>
        </w:rPr>
        <w:t>通用条款约定</w:t>
      </w:r>
      <w:r>
        <w:rPr>
          <w:rFonts w:hAnsi="宋体"/>
          <w:sz w:val="21"/>
          <w:szCs w:val="21"/>
          <w:highlight w:val="none"/>
        </w:rPr>
        <w:t>资料，其余资料由承包人负责收集。</w:t>
      </w:r>
    </w:p>
    <w:p w14:paraId="5313AD40">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hint="eastAsia" w:ascii="宋体" w:hAnsi="Times New Roman" w:eastAsia="宋体" w:cs="Times New Roman"/>
          <w:b/>
          <w:bCs/>
          <w:sz w:val="21"/>
          <w:szCs w:val="21"/>
          <w:highlight w:val="none"/>
        </w:rPr>
      </w:pPr>
      <w:r>
        <w:rPr>
          <w:rFonts w:ascii="宋体" w:hAnsi="Times New Roman" w:eastAsia="宋体" w:cs="Times New Roman"/>
          <w:b/>
          <w:bCs/>
          <w:sz w:val="21"/>
          <w:szCs w:val="21"/>
          <w:highlight w:val="none"/>
        </w:rPr>
        <w:t>9.2 承包人的施工安全责任</w:t>
      </w:r>
    </w:p>
    <w:p w14:paraId="65431B51">
      <w:pPr>
        <w:pageBreakBefore w:val="0"/>
        <w:widowControl w:val="0"/>
        <w:kinsoku/>
        <w:wordWrap/>
        <w:overflowPunct/>
        <w:topLinePunct w:val="0"/>
        <w:autoSpaceDE/>
        <w:autoSpaceDN/>
        <w:bidi w:val="0"/>
        <w:adjustRightInd/>
        <w:snapToGrid/>
        <w:spacing w:line="312" w:lineRule="auto"/>
        <w:ind w:firstLine="420" w:firstLineChars="200"/>
        <w:textAlignment w:val="auto"/>
        <w:rPr>
          <w:rFonts w:ascii="宋体" w:hAnsi="宋体"/>
          <w:color w:val="auto"/>
          <w:sz w:val="21"/>
          <w:szCs w:val="21"/>
          <w:highlight w:val="none"/>
        </w:rPr>
      </w:pPr>
      <w:r>
        <w:rPr>
          <w:rFonts w:hint="eastAsia" w:ascii="宋体" w:hAnsi="宋体"/>
          <w:color w:val="auto"/>
          <w:sz w:val="21"/>
          <w:szCs w:val="21"/>
          <w:highlight w:val="none"/>
        </w:rPr>
        <w:t>承包人</w:t>
      </w:r>
      <w:r>
        <w:rPr>
          <w:rFonts w:ascii="宋体" w:hAnsi="宋体"/>
          <w:color w:val="auto"/>
          <w:sz w:val="21"/>
          <w:szCs w:val="21"/>
          <w:highlight w:val="none"/>
        </w:rPr>
        <w:t>应按合同约定履行安全职责，</w:t>
      </w:r>
      <w:r>
        <w:rPr>
          <w:rFonts w:hint="eastAsia" w:ascii="宋体" w:hAnsi="宋体"/>
          <w:color w:val="auto"/>
          <w:sz w:val="21"/>
          <w:szCs w:val="21"/>
          <w:highlight w:val="none"/>
        </w:rPr>
        <w:t>严格</w:t>
      </w:r>
      <w:r>
        <w:rPr>
          <w:rFonts w:ascii="宋体" w:hAnsi="宋体"/>
          <w:color w:val="auto"/>
          <w:sz w:val="21"/>
          <w:szCs w:val="21"/>
          <w:highlight w:val="none"/>
        </w:rPr>
        <w:t>执行国家、</w:t>
      </w:r>
      <w:r>
        <w:rPr>
          <w:rFonts w:hint="eastAsia" w:ascii="宋体" w:hAnsi="宋体"/>
          <w:color w:val="auto"/>
          <w:sz w:val="21"/>
          <w:szCs w:val="21"/>
          <w:highlight w:val="none"/>
        </w:rPr>
        <w:t>地方</w:t>
      </w:r>
      <w:r>
        <w:rPr>
          <w:rFonts w:ascii="宋体" w:hAnsi="宋体"/>
          <w:color w:val="auto"/>
          <w:sz w:val="21"/>
          <w:szCs w:val="21"/>
          <w:highlight w:val="none"/>
        </w:rPr>
        <w:t>政府有关施工安全管理方面的法律、</w:t>
      </w:r>
      <w:r>
        <w:rPr>
          <w:rFonts w:hint="eastAsia" w:ascii="宋体" w:hAnsi="宋体"/>
          <w:color w:val="auto"/>
          <w:sz w:val="21"/>
          <w:szCs w:val="21"/>
          <w:highlight w:val="none"/>
        </w:rPr>
        <w:t>法规</w:t>
      </w:r>
      <w:r>
        <w:rPr>
          <w:rFonts w:ascii="宋体" w:hAnsi="宋体"/>
          <w:color w:val="auto"/>
          <w:sz w:val="21"/>
          <w:szCs w:val="21"/>
          <w:highlight w:val="none"/>
        </w:rPr>
        <w:t>及规章制度，</w:t>
      </w:r>
      <w:r>
        <w:rPr>
          <w:rFonts w:hint="eastAsia" w:ascii="宋体" w:hAnsi="宋体"/>
          <w:color w:val="auto"/>
          <w:sz w:val="21"/>
          <w:szCs w:val="21"/>
          <w:highlight w:val="none"/>
        </w:rPr>
        <w:t>同时</w:t>
      </w:r>
      <w:r>
        <w:rPr>
          <w:rFonts w:ascii="宋体" w:hAnsi="宋体"/>
          <w:color w:val="auto"/>
          <w:sz w:val="21"/>
          <w:szCs w:val="21"/>
          <w:highlight w:val="none"/>
        </w:rPr>
        <w:t>严格执行发包人制订的本项目安全生产管理方面的规章制度、</w:t>
      </w:r>
      <w:r>
        <w:rPr>
          <w:rFonts w:hint="eastAsia" w:ascii="宋体" w:hAnsi="宋体"/>
          <w:color w:val="auto"/>
          <w:sz w:val="21"/>
          <w:szCs w:val="21"/>
          <w:highlight w:val="none"/>
        </w:rPr>
        <w:t>安全</w:t>
      </w:r>
      <w:r>
        <w:rPr>
          <w:rFonts w:ascii="宋体" w:hAnsi="宋体"/>
          <w:color w:val="auto"/>
          <w:sz w:val="21"/>
          <w:szCs w:val="21"/>
          <w:highlight w:val="none"/>
        </w:rPr>
        <w:t>检查程序及施工安全管理要求，</w:t>
      </w:r>
      <w:r>
        <w:rPr>
          <w:rFonts w:hint="eastAsia" w:ascii="宋体" w:hAnsi="宋体"/>
          <w:color w:val="auto"/>
          <w:sz w:val="21"/>
          <w:szCs w:val="21"/>
          <w:highlight w:val="none"/>
        </w:rPr>
        <w:t>以及</w:t>
      </w:r>
      <w:r>
        <w:rPr>
          <w:rFonts w:ascii="宋体" w:hAnsi="宋体"/>
          <w:color w:val="auto"/>
          <w:sz w:val="21"/>
          <w:szCs w:val="21"/>
          <w:highlight w:val="none"/>
        </w:rPr>
        <w:t>监理人有关安全工作的指示，</w:t>
      </w:r>
      <w:r>
        <w:rPr>
          <w:rFonts w:hint="eastAsia" w:ascii="宋体" w:hAnsi="宋体"/>
          <w:color w:val="auto"/>
          <w:sz w:val="21"/>
          <w:szCs w:val="21"/>
          <w:highlight w:val="none"/>
        </w:rPr>
        <w:t>并</w:t>
      </w:r>
      <w:r>
        <w:rPr>
          <w:rFonts w:ascii="宋体" w:hAnsi="宋体"/>
          <w:color w:val="auto"/>
          <w:sz w:val="21"/>
          <w:szCs w:val="21"/>
          <w:highlight w:val="none"/>
        </w:rPr>
        <w:t>对在本工程施工中</w:t>
      </w:r>
      <w:r>
        <w:rPr>
          <w:rFonts w:hint="eastAsia" w:ascii="宋体" w:hAnsi="宋体"/>
          <w:color w:val="auto"/>
          <w:sz w:val="21"/>
          <w:szCs w:val="21"/>
          <w:highlight w:val="none"/>
        </w:rPr>
        <w:t>发生</w:t>
      </w:r>
      <w:r>
        <w:rPr>
          <w:rFonts w:ascii="宋体" w:hAnsi="宋体"/>
          <w:color w:val="auto"/>
          <w:sz w:val="21"/>
          <w:szCs w:val="21"/>
          <w:highlight w:val="none"/>
        </w:rPr>
        <w:t>的一切不安全事故负全部责任。</w:t>
      </w:r>
    </w:p>
    <w:p w14:paraId="15299E08">
      <w:pPr>
        <w:pageBreakBefore w:val="0"/>
        <w:widowControl w:val="0"/>
        <w:kinsoku/>
        <w:wordWrap/>
        <w:overflowPunct/>
        <w:topLinePunct w:val="0"/>
        <w:autoSpaceDE/>
        <w:autoSpaceDN/>
        <w:bidi w:val="0"/>
        <w:adjustRightInd/>
        <w:snapToGrid/>
        <w:spacing w:line="312" w:lineRule="auto"/>
        <w:ind w:firstLine="420" w:firstLineChars="200"/>
        <w:textAlignment w:val="auto"/>
        <w:rPr>
          <w:color w:val="auto"/>
          <w:sz w:val="21"/>
          <w:szCs w:val="21"/>
          <w:highlight w:val="none"/>
        </w:rPr>
      </w:pPr>
      <w:r>
        <w:rPr>
          <w:color w:val="auto"/>
          <w:sz w:val="21"/>
          <w:szCs w:val="21"/>
          <w:highlight w:val="none"/>
        </w:rPr>
        <w:t>9.2.12</w:t>
      </w:r>
      <w:r>
        <w:rPr>
          <w:rFonts w:hAnsi="宋体"/>
          <w:color w:val="auto"/>
          <w:sz w:val="21"/>
          <w:szCs w:val="21"/>
          <w:highlight w:val="none"/>
        </w:rPr>
        <w:t>下列工程应编制专项施工方案：</w:t>
      </w:r>
      <w:r>
        <w:rPr>
          <w:rFonts w:hint="eastAsia" w:hAnsi="宋体"/>
          <w:color w:val="auto"/>
          <w:sz w:val="21"/>
          <w:szCs w:val="21"/>
          <w:highlight w:val="none"/>
          <w:u w:val="single"/>
          <w:lang w:val="en-US" w:eastAsia="zh-CN"/>
        </w:rPr>
        <w:t xml:space="preserve">  （合同签订时另行约定）  </w:t>
      </w:r>
      <w:r>
        <w:rPr>
          <w:rFonts w:hAnsi="宋体"/>
          <w:color w:val="auto"/>
          <w:sz w:val="21"/>
          <w:szCs w:val="21"/>
          <w:highlight w:val="none"/>
        </w:rPr>
        <w:t>。其中</w:t>
      </w:r>
      <w:r>
        <w:rPr>
          <w:rFonts w:hAnsi="宋体"/>
          <w:color w:val="auto"/>
          <w:sz w:val="21"/>
          <w:szCs w:val="21"/>
          <w:highlight w:val="none"/>
          <w:u w:val="single"/>
        </w:rPr>
        <w:t>（</w:t>
      </w:r>
      <w:r>
        <w:rPr>
          <w:rFonts w:hint="eastAsia" w:hAnsi="宋体"/>
          <w:color w:val="auto"/>
          <w:sz w:val="21"/>
          <w:szCs w:val="21"/>
          <w:highlight w:val="none"/>
          <w:u w:val="single"/>
        </w:rPr>
        <w:t>招标人根据需要</w:t>
      </w:r>
      <w:r>
        <w:rPr>
          <w:rFonts w:hAnsi="宋体"/>
          <w:color w:val="auto"/>
          <w:sz w:val="21"/>
          <w:szCs w:val="21"/>
          <w:highlight w:val="none"/>
          <w:u w:val="single"/>
        </w:rPr>
        <w:t>）</w:t>
      </w:r>
      <w:r>
        <w:rPr>
          <w:rFonts w:hAnsi="宋体"/>
          <w:color w:val="auto"/>
          <w:sz w:val="21"/>
          <w:szCs w:val="21"/>
          <w:highlight w:val="none"/>
        </w:rPr>
        <w:t>组织专家论证和审查</w:t>
      </w:r>
      <w:r>
        <w:rPr>
          <w:rFonts w:hint="eastAsia" w:hAnsi="宋体"/>
          <w:color w:val="auto"/>
          <w:sz w:val="21"/>
          <w:szCs w:val="21"/>
          <w:highlight w:val="none"/>
        </w:rPr>
        <w:t>，承包人应积极配合</w:t>
      </w:r>
      <w:r>
        <w:rPr>
          <w:rFonts w:hAnsi="宋体"/>
          <w:color w:val="auto"/>
          <w:sz w:val="21"/>
          <w:szCs w:val="21"/>
          <w:highlight w:val="none"/>
        </w:rPr>
        <w:t>。</w:t>
      </w:r>
    </w:p>
    <w:p w14:paraId="1ACE25CC">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9.7 文明工地</w:t>
      </w:r>
    </w:p>
    <w:p w14:paraId="40761734">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9.7.1 </w:t>
      </w:r>
      <w:r>
        <w:rPr>
          <w:rFonts w:hAnsi="宋体"/>
          <w:sz w:val="21"/>
          <w:szCs w:val="21"/>
          <w:highlight w:val="none"/>
        </w:rPr>
        <w:t>本合同文明工地的约定：</w:t>
      </w:r>
      <w:r>
        <w:rPr>
          <w:rFonts w:hAnsi="宋体"/>
          <w:sz w:val="21"/>
          <w:szCs w:val="21"/>
          <w:highlight w:val="none"/>
          <w:u w:val="single"/>
        </w:rPr>
        <w:t>执行国家或地方标准</w:t>
      </w:r>
      <w:r>
        <w:rPr>
          <w:rFonts w:hAnsi="宋体"/>
          <w:sz w:val="21"/>
          <w:szCs w:val="21"/>
          <w:highlight w:val="none"/>
        </w:rPr>
        <w:t>。</w:t>
      </w:r>
    </w:p>
    <w:p w14:paraId="1ED1D895">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2" w:name="_Toc265408524"/>
      <w:r>
        <w:rPr>
          <w:rFonts w:ascii="宋体" w:hAnsi="Times New Roman" w:eastAsia="宋体" w:cs="Times New Roman"/>
          <w:b/>
          <w:bCs/>
          <w:sz w:val="21"/>
          <w:szCs w:val="21"/>
          <w:highlight w:val="none"/>
        </w:rPr>
        <w:t>11 开工和竣工（完工）</w:t>
      </w:r>
      <w:bookmarkEnd w:id="32"/>
    </w:p>
    <w:p w14:paraId="323062C2">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11.4</w:t>
      </w:r>
      <w:r>
        <w:rPr>
          <w:rFonts w:hint="eastAsia" w:ascii="宋体" w:hAnsi="Times New Roman" w:eastAsia="宋体" w:cs="Times New Roman"/>
          <w:b/>
          <w:bCs/>
          <w:sz w:val="21"/>
          <w:szCs w:val="21"/>
          <w:highlight w:val="none"/>
          <w:lang w:val="en-US" w:eastAsia="zh-CN"/>
        </w:rPr>
        <w:t xml:space="preserve"> </w:t>
      </w:r>
      <w:r>
        <w:rPr>
          <w:rFonts w:ascii="宋体" w:hAnsi="Times New Roman" w:eastAsia="宋体" w:cs="Times New Roman"/>
          <w:b/>
          <w:bCs/>
          <w:sz w:val="21"/>
          <w:szCs w:val="21"/>
          <w:highlight w:val="none"/>
        </w:rPr>
        <w:t>异常恶劣的气候条件</w:t>
      </w:r>
    </w:p>
    <w:p w14:paraId="2A3CCF0C">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hAnsi="宋体"/>
          <w:sz w:val="21"/>
          <w:szCs w:val="21"/>
          <w:highlight w:val="none"/>
        </w:rPr>
      </w:pPr>
      <w:r>
        <w:rPr>
          <w:sz w:val="21"/>
          <w:szCs w:val="21"/>
          <w:highlight w:val="none"/>
        </w:rPr>
        <w:t xml:space="preserve">11.4.3 </w:t>
      </w:r>
      <w:r>
        <w:rPr>
          <w:rFonts w:hAnsi="宋体"/>
          <w:sz w:val="21"/>
          <w:szCs w:val="21"/>
          <w:highlight w:val="none"/>
        </w:rPr>
        <w:t>本合同工程界定异常恶劣气候条件的范围为：</w:t>
      </w:r>
    </w:p>
    <w:p w14:paraId="2C79D644">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（1）日降雨量大于</w:t>
      </w:r>
      <w:r>
        <w:rPr>
          <w:rFonts w:hint="eastAsia" w:ascii="Times New Roman" w:hAnsi="Times New Roman" w:eastAsia="宋体" w:cs="Times New Roman"/>
          <w:sz w:val="21"/>
          <w:szCs w:val="21"/>
          <w:highlight w:val="none"/>
          <w:u w:val="single"/>
          <w:lang w:val="en-US" w:eastAsia="zh-CN"/>
        </w:rPr>
        <w:t>_50_</w:t>
      </w:r>
      <w:r>
        <w:rPr>
          <w:rFonts w:hint="eastAsia"/>
          <w:sz w:val="21"/>
          <w:szCs w:val="21"/>
          <w:highlight w:val="none"/>
        </w:rPr>
        <w:t>mm的雨日超过</w:t>
      </w:r>
      <w:r>
        <w:rPr>
          <w:rFonts w:hint="eastAsia"/>
          <w:sz w:val="21"/>
          <w:szCs w:val="21"/>
          <w:highlight w:val="none"/>
          <w:u w:val="single"/>
          <w:lang w:val="en-US" w:eastAsia="zh-CN"/>
        </w:rPr>
        <w:t xml:space="preserve"> </w:t>
      </w:r>
      <w:r>
        <w:rPr>
          <w:rFonts w:hint="eastAsia"/>
          <w:sz w:val="21"/>
          <w:szCs w:val="21"/>
          <w:highlight w:val="none"/>
          <w:u w:val="single"/>
        </w:rPr>
        <w:t>3</w:t>
      </w:r>
      <w:r>
        <w:rPr>
          <w:rFonts w:hint="eastAsia"/>
          <w:sz w:val="21"/>
          <w:szCs w:val="21"/>
          <w:highlight w:val="none"/>
          <w:u w:val="single"/>
          <w:lang w:val="en-US" w:eastAsia="zh-CN"/>
        </w:rPr>
        <w:t xml:space="preserve"> </w:t>
      </w:r>
      <w:r>
        <w:rPr>
          <w:rFonts w:hint="eastAsia"/>
          <w:sz w:val="21"/>
          <w:szCs w:val="21"/>
          <w:highlight w:val="none"/>
        </w:rPr>
        <w:t>天；</w:t>
      </w:r>
    </w:p>
    <w:p w14:paraId="657495A1">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（2）风速大于_</w:t>
      </w:r>
      <w:r>
        <w:rPr>
          <w:rFonts w:hint="eastAsia"/>
          <w:sz w:val="21"/>
          <w:szCs w:val="21"/>
          <w:highlight w:val="none"/>
          <w:u w:val="single"/>
        </w:rPr>
        <w:t>50</w:t>
      </w:r>
      <w:r>
        <w:rPr>
          <w:rFonts w:hint="eastAsia"/>
          <w:sz w:val="21"/>
          <w:szCs w:val="21"/>
          <w:highlight w:val="none"/>
        </w:rPr>
        <w:t>_m/s的八级以上台风灾害；</w:t>
      </w:r>
    </w:p>
    <w:p w14:paraId="4A38F01E">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（3）日气温超过</w:t>
      </w:r>
      <w:r>
        <w:rPr>
          <w:rFonts w:hint="eastAsia"/>
          <w:sz w:val="21"/>
          <w:szCs w:val="21"/>
          <w:highlight w:val="none"/>
          <w:u w:val="single"/>
          <w:lang w:val="en-US" w:eastAsia="zh-CN"/>
        </w:rPr>
        <w:t xml:space="preserve"> </w:t>
      </w:r>
      <w:r>
        <w:rPr>
          <w:rFonts w:hint="eastAsia"/>
          <w:sz w:val="21"/>
          <w:szCs w:val="21"/>
          <w:highlight w:val="none"/>
          <w:u w:val="single"/>
        </w:rPr>
        <w:t>39</w:t>
      </w:r>
      <w:r>
        <w:rPr>
          <w:rFonts w:hint="eastAsia"/>
          <w:sz w:val="21"/>
          <w:szCs w:val="21"/>
          <w:highlight w:val="none"/>
          <w:u w:val="single"/>
          <w:lang w:val="en-US" w:eastAsia="zh-CN"/>
        </w:rPr>
        <w:t xml:space="preserve"> </w:t>
      </w:r>
      <w:r>
        <w:rPr>
          <w:rFonts w:hint="eastAsia"/>
          <w:sz w:val="21"/>
          <w:szCs w:val="21"/>
          <w:highlight w:val="none"/>
        </w:rPr>
        <w:t>℃的高温大于</w:t>
      </w:r>
      <w:r>
        <w:rPr>
          <w:rFonts w:hint="eastAsia"/>
          <w:sz w:val="21"/>
          <w:szCs w:val="21"/>
          <w:highlight w:val="none"/>
          <w:u w:val="single"/>
          <w:lang w:val="en-US" w:eastAsia="zh-CN"/>
        </w:rPr>
        <w:t xml:space="preserve"> </w:t>
      </w:r>
      <w:r>
        <w:rPr>
          <w:rFonts w:hint="eastAsia"/>
          <w:sz w:val="21"/>
          <w:szCs w:val="21"/>
          <w:highlight w:val="none"/>
          <w:u w:val="single"/>
        </w:rPr>
        <w:t>3</w:t>
      </w:r>
      <w:r>
        <w:rPr>
          <w:rFonts w:hint="eastAsia"/>
          <w:sz w:val="21"/>
          <w:szCs w:val="21"/>
          <w:highlight w:val="none"/>
          <w:u w:val="single"/>
          <w:lang w:val="en-US" w:eastAsia="zh-CN"/>
        </w:rPr>
        <w:t xml:space="preserve"> </w:t>
      </w:r>
      <w:r>
        <w:rPr>
          <w:rFonts w:hint="eastAsia"/>
          <w:sz w:val="21"/>
          <w:szCs w:val="21"/>
          <w:highlight w:val="none"/>
        </w:rPr>
        <w:t>天；</w:t>
      </w:r>
    </w:p>
    <w:p w14:paraId="68453A4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（4）日气温低于</w:t>
      </w:r>
      <w:r>
        <w:rPr>
          <w:rFonts w:hint="eastAsia"/>
          <w:sz w:val="21"/>
          <w:szCs w:val="21"/>
          <w:highlight w:val="none"/>
          <w:u w:val="single"/>
          <w:lang w:val="en-US" w:eastAsia="zh-CN"/>
        </w:rPr>
        <w:t xml:space="preserve"> </w:t>
      </w:r>
      <w:r>
        <w:rPr>
          <w:rFonts w:hint="eastAsia"/>
          <w:sz w:val="21"/>
          <w:szCs w:val="21"/>
          <w:highlight w:val="none"/>
          <w:u w:val="single"/>
        </w:rPr>
        <w:t xml:space="preserve">-10 </w:t>
      </w:r>
      <w:r>
        <w:rPr>
          <w:rFonts w:hint="eastAsia"/>
          <w:sz w:val="21"/>
          <w:szCs w:val="21"/>
          <w:highlight w:val="none"/>
          <w:u w:val="single"/>
          <w:lang w:val="en-US" w:eastAsia="zh-CN"/>
        </w:rPr>
        <w:t xml:space="preserve"> </w:t>
      </w:r>
      <w:r>
        <w:rPr>
          <w:rFonts w:hint="eastAsia"/>
          <w:sz w:val="21"/>
          <w:szCs w:val="21"/>
          <w:highlight w:val="none"/>
        </w:rPr>
        <w:t>℃的严寒大于</w:t>
      </w:r>
      <w:r>
        <w:rPr>
          <w:rFonts w:hint="eastAsia"/>
          <w:sz w:val="21"/>
          <w:szCs w:val="21"/>
          <w:highlight w:val="none"/>
          <w:u w:val="single"/>
          <w:lang w:val="en-US" w:eastAsia="zh-CN"/>
        </w:rPr>
        <w:t xml:space="preserve"> </w:t>
      </w:r>
      <w:r>
        <w:rPr>
          <w:rFonts w:hint="eastAsia"/>
          <w:sz w:val="21"/>
          <w:szCs w:val="21"/>
          <w:highlight w:val="none"/>
          <w:u w:val="single"/>
        </w:rPr>
        <w:t>3</w:t>
      </w:r>
      <w:r>
        <w:rPr>
          <w:rFonts w:hint="eastAsia"/>
          <w:sz w:val="21"/>
          <w:szCs w:val="21"/>
          <w:highlight w:val="none"/>
          <w:u w:val="single"/>
          <w:lang w:val="en-US" w:eastAsia="zh-CN"/>
        </w:rPr>
        <w:t xml:space="preserve"> </w:t>
      </w:r>
      <w:r>
        <w:rPr>
          <w:rFonts w:hint="eastAsia"/>
          <w:sz w:val="21"/>
          <w:szCs w:val="21"/>
          <w:highlight w:val="none"/>
        </w:rPr>
        <w:t>天；</w:t>
      </w:r>
    </w:p>
    <w:p w14:paraId="35DD30AA">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（5）造成工程损坏的冰雹和大雪灾害：一周内无法正常施工；</w:t>
      </w:r>
    </w:p>
    <w:p w14:paraId="30FF81B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（6）其它异常恶劣气候灾害。</w:t>
      </w:r>
    </w:p>
    <w:p w14:paraId="333CDA77">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11.5承包人工期延误</w:t>
      </w:r>
    </w:p>
    <w:p w14:paraId="66713125">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全部逾期完工违约金的总限额为</w:t>
      </w:r>
      <w:r>
        <w:rPr>
          <w:rFonts w:hAnsi="宋体"/>
          <w:sz w:val="21"/>
          <w:szCs w:val="21"/>
          <w:highlight w:val="none"/>
          <w:u w:val="single"/>
        </w:rPr>
        <w:t>（不超过签约合同价的</w:t>
      </w:r>
      <w:r>
        <w:rPr>
          <w:rFonts w:hint="eastAsia" w:hAnsi="宋体"/>
          <w:sz w:val="21"/>
          <w:szCs w:val="21"/>
          <w:highlight w:val="none"/>
          <w:u w:val="single"/>
        </w:rPr>
        <w:t>10</w:t>
      </w:r>
      <w:r>
        <w:rPr>
          <w:rFonts w:hAnsi="宋体"/>
          <w:sz w:val="21"/>
          <w:szCs w:val="21"/>
          <w:highlight w:val="none"/>
          <w:u w:val="single"/>
        </w:rPr>
        <w:t>％）</w:t>
      </w:r>
      <w:r>
        <w:rPr>
          <w:rFonts w:hAnsi="宋体"/>
          <w:sz w:val="21"/>
          <w:szCs w:val="21"/>
          <w:highlight w:val="none"/>
        </w:rPr>
        <w:t>。</w:t>
      </w:r>
    </w:p>
    <w:p w14:paraId="7A79F254">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11.6 工期提前</w:t>
      </w:r>
    </w:p>
    <w:p w14:paraId="494CBFD7">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工期提前的奖金约定：</w:t>
      </w:r>
      <w:r>
        <w:rPr>
          <w:rFonts w:hAnsi="宋体"/>
          <w:sz w:val="21"/>
          <w:szCs w:val="21"/>
          <w:highlight w:val="none"/>
          <w:u w:val="single"/>
        </w:rPr>
        <w:t>无</w:t>
      </w:r>
      <w:r>
        <w:rPr>
          <w:rFonts w:hAnsi="宋体"/>
          <w:sz w:val="21"/>
          <w:szCs w:val="21"/>
          <w:highlight w:val="none"/>
        </w:rPr>
        <w:t>。</w:t>
      </w:r>
    </w:p>
    <w:p w14:paraId="4C6C5725">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3" w:name="_Toc265408526"/>
      <w:r>
        <w:rPr>
          <w:rFonts w:ascii="宋体" w:hAnsi="Times New Roman" w:eastAsia="宋体" w:cs="Times New Roman"/>
          <w:b/>
          <w:bCs/>
          <w:sz w:val="21"/>
          <w:szCs w:val="21"/>
          <w:highlight w:val="none"/>
        </w:rPr>
        <w:t>13 工程质量</w:t>
      </w:r>
      <w:bookmarkEnd w:id="33"/>
    </w:p>
    <w:p w14:paraId="38D0411A">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13.7 质量评定</w:t>
      </w:r>
    </w:p>
    <w:p w14:paraId="42376DB4">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13.7.4 </w:t>
      </w:r>
      <w:r>
        <w:rPr>
          <w:rFonts w:hAnsi="宋体"/>
          <w:sz w:val="21"/>
          <w:szCs w:val="21"/>
          <w:highlight w:val="none"/>
        </w:rPr>
        <w:t>重要隐蔽单元工程和关键部位单元工程质量评定的约定：</w:t>
      </w:r>
      <w:r>
        <w:rPr>
          <w:rFonts w:hAnsi="宋体"/>
          <w:sz w:val="21"/>
          <w:szCs w:val="21"/>
          <w:highlight w:val="none"/>
          <w:u w:val="single"/>
        </w:rPr>
        <w:t>执行通用条款</w:t>
      </w:r>
      <w:r>
        <w:rPr>
          <w:rFonts w:hAnsi="宋体"/>
          <w:sz w:val="21"/>
          <w:szCs w:val="21"/>
          <w:highlight w:val="none"/>
        </w:rPr>
        <w:t>。</w:t>
      </w:r>
    </w:p>
    <w:p w14:paraId="32FFF9E7">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13.7.7 </w:t>
      </w:r>
      <w:r>
        <w:rPr>
          <w:rFonts w:hAnsi="宋体"/>
          <w:sz w:val="21"/>
          <w:szCs w:val="21"/>
          <w:highlight w:val="none"/>
        </w:rPr>
        <w:t>工程合格标准为：</w:t>
      </w:r>
      <w:r>
        <w:rPr>
          <w:rFonts w:hint="eastAsia" w:hAnsi="宋体"/>
          <w:sz w:val="21"/>
          <w:szCs w:val="21"/>
          <w:highlight w:val="none"/>
          <w:u w:val="single"/>
        </w:rPr>
        <w:t>相关规范和规程验收标准</w:t>
      </w:r>
      <w:r>
        <w:rPr>
          <w:rFonts w:hAnsi="宋体"/>
          <w:sz w:val="21"/>
          <w:szCs w:val="21"/>
          <w:highlight w:val="none"/>
        </w:rPr>
        <w:t>；优良标准为：</w:t>
      </w:r>
      <w:r>
        <w:rPr>
          <w:rFonts w:hint="eastAsia"/>
          <w:sz w:val="21"/>
          <w:szCs w:val="21"/>
          <w:highlight w:val="none"/>
          <w:u w:val="single"/>
        </w:rPr>
        <w:t>相关规范和规程验收标准</w:t>
      </w:r>
      <w:r>
        <w:rPr>
          <w:rFonts w:hAnsi="宋体"/>
          <w:sz w:val="21"/>
          <w:szCs w:val="21"/>
          <w:highlight w:val="none"/>
        </w:rPr>
        <w:t>。达到优良的奖金为：</w:t>
      </w:r>
      <w:r>
        <w:rPr>
          <w:sz w:val="21"/>
          <w:szCs w:val="21"/>
          <w:highlight w:val="none"/>
          <w:u w:val="single"/>
        </w:rPr>
        <w:t xml:space="preserve">  </w:t>
      </w:r>
      <w:r>
        <w:rPr>
          <w:rFonts w:hint="eastAsia"/>
          <w:sz w:val="21"/>
          <w:szCs w:val="21"/>
          <w:highlight w:val="none"/>
          <w:u w:val="single"/>
          <w:lang w:eastAsia="zh-CN"/>
        </w:rPr>
        <w:t>无</w:t>
      </w:r>
      <w:r>
        <w:rPr>
          <w:sz w:val="21"/>
          <w:szCs w:val="21"/>
          <w:highlight w:val="none"/>
          <w:u w:val="single"/>
        </w:rPr>
        <w:t xml:space="preserve">  </w:t>
      </w:r>
      <w:r>
        <w:rPr>
          <w:rFonts w:hAnsi="宋体"/>
          <w:sz w:val="21"/>
          <w:szCs w:val="21"/>
          <w:highlight w:val="none"/>
        </w:rPr>
        <w:t>。</w:t>
      </w:r>
    </w:p>
    <w:p w14:paraId="4B0EB0DE">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13.8 质量事故处理</w:t>
      </w:r>
    </w:p>
    <w:p w14:paraId="3AC4FF02">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13.8.4 </w:t>
      </w:r>
      <w:r>
        <w:rPr>
          <w:rFonts w:hAnsi="宋体"/>
          <w:sz w:val="21"/>
          <w:szCs w:val="21"/>
          <w:highlight w:val="none"/>
        </w:rPr>
        <w:t>工程竣工验收时，</w:t>
      </w:r>
      <w:r>
        <w:rPr>
          <w:rFonts w:hAnsi="宋体"/>
          <w:sz w:val="21"/>
          <w:szCs w:val="21"/>
          <w:highlight w:val="none"/>
          <w:u w:val="single"/>
        </w:rPr>
        <w:t>承包人协助发包人</w:t>
      </w:r>
      <w:r>
        <w:rPr>
          <w:rFonts w:hAnsi="宋体"/>
          <w:sz w:val="21"/>
          <w:szCs w:val="21"/>
          <w:highlight w:val="none"/>
        </w:rPr>
        <w:t>向竣工验收委员会汇报并提交历次质量缺陷处理的备案资料。</w:t>
      </w:r>
    </w:p>
    <w:p w14:paraId="29D49091">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4" w:name="_Toc265408527"/>
      <w:r>
        <w:rPr>
          <w:rFonts w:ascii="宋体" w:hAnsi="Times New Roman" w:eastAsia="宋体" w:cs="Times New Roman"/>
          <w:b/>
          <w:bCs/>
          <w:sz w:val="21"/>
          <w:szCs w:val="21"/>
          <w:highlight w:val="none"/>
        </w:rPr>
        <w:t>14 试验和检验</w:t>
      </w:r>
      <w:bookmarkEnd w:id="34"/>
    </w:p>
    <w:p w14:paraId="6AEB389E">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14.1 材料、工程设备和工程的试验和检验</w:t>
      </w:r>
    </w:p>
    <w:p w14:paraId="04DC252E">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14.1.5</w:t>
      </w:r>
      <w:r>
        <w:rPr>
          <w:rFonts w:hAnsi="宋体"/>
          <w:sz w:val="21"/>
          <w:szCs w:val="21"/>
          <w:highlight w:val="none"/>
        </w:rPr>
        <w:t>水工金属结构、启闭机及机电产品进场后的交货检查和验收中，</w:t>
      </w:r>
      <w:r>
        <w:rPr>
          <w:sz w:val="21"/>
          <w:szCs w:val="21"/>
          <w:highlight w:val="none"/>
        </w:rPr>
        <w:t xml:space="preserve"> </w:t>
      </w:r>
      <w:r>
        <w:rPr>
          <w:rFonts w:hAnsi="宋体"/>
          <w:sz w:val="21"/>
          <w:szCs w:val="21"/>
          <w:highlight w:val="none"/>
        </w:rPr>
        <w:t>承包人负责</w:t>
      </w:r>
      <w:r>
        <w:rPr>
          <w:rFonts w:hAnsi="宋体"/>
          <w:sz w:val="21"/>
          <w:szCs w:val="21"/>
          <w:highlight w:val="none"/>
          <w:u w:val="single"/>
        </w:rPr>
        <w:t>执行通用条款</w:t>
      </w:r>
      <w:r>
        <w:rPr>
          <w:rFonts w:hAnsi="宋体"/>
          <w:sz w:val="21"/>
          <w:szCs w:val="21"/>
          <w:highlight w:val="none"/>
        </w:rPr>
        <w:t>。</w:t>
      </w:r>
    </w:p>
    <w:p w14:paraId="7C37DE64">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14.1.6 </w:t>
      </w:r>
      <w:r>
        <w:rPr>
          <w:rFonts w:hAnsi="宋体"/>
          <w:sz w:val="21"/>
          <w:szCs w:val="21"/>
          <w:highlight w:val="none"/>
        </w:rPr>
        <w:t>本工程实行见证取样的试块、试件及有关材料：</w:t>
      </w:r>
      <w:r>
        <w:rPr>
          <w:rFonts w:hAnsi="宋体"/>
          <w:sz w:val="21"/>
          <w:szCs w:val="21"/>
          <w:highlight w:val="none"/>
          <w:u w:val="single"/>
        </w:rPr>
        <w:t>执行通用条款</w:t>
      </w:r>
      <w:r>
        <w:rPr>
          <w:rFonts w:hAnsi="宋体"/>
          <w:sz w:val="21"/>
          <w:szCs w:val="21"/>
          <w:highlight w:val="none"/>
        </w:rPr>
        <w:t>。</w:t>
      </w:r>
    </w:p>
    <w:p w14:paraId="68C5F377">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5" w:name="_Toc265408528"/>
      <w:r>
        <w:rPr>
          <w:rFonts w:ascii="宋体" w:hAnsi="Times New Roman" w:eastAsia="宋体" w:cs="Times New Roman"/>
          <w:b/>
          <w:bCs/>
          <w:sz w:val="21"/>
          <w:szCs w:val="21"/>
          <w:highlight w:val="none"/>
        </w:rPr>
        <w:t>15 变更</w:t>
      </w:r>
      <w:bookmarkEnd w:id="35"/>
    </w:p>
    <w:p w14:paraId="504BC984">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15.1 变更的范围和内容</w:t>
      </w:r>
    </w:p>
    <w:p w14:paraId="3B0536E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color w:val="000000"/>
          <w:sz w:val="21"/>
          <w:szCs w:val="21"/>
          <w:highlight w:val="none"/>
        </w:rPr>
      </w:pPr>
      <w:r>
        <w:rPr>
          <w:rFonts w:hint="eastAsia"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6）</w:t>
      </w:r>
      <w:r>
        <w:rPr>
          <w:rFonts w:hint="eastAsia" w:ascii="Times New Roman" w:hAnsi="Times New Roman" w:eastAsia="宋体" w:cs="Times New Roman"/>
          <w:sz w:val="21"/>
          <w:szCs w:val="21"/>
          <w:highlight w:val="none"/>
        </w:rPr>
        <w:t>增</w:t>
      </w:r>
      <w:r>
        <w:rPr>
          <w:rFonts w:hint="eastAsia"/>
          <w:sz w:val="21"/>
          <w:szCs w:val="21"/>
          <w:highlight w:val="none"/>
        </w:rPr>
        <w:t>加或</w:t>
      </w:r>
      <w:r>
        <w:rPr>
          <w:rFonts w:hint="eastAsia"/>
          <w:color w:val="000000"/>
          <w:sz w:val="21"/>
          <w:szCs w:val="21"/>
          <w:highlight w:val="none"/>
        </w:rPr>
        <w:t>减少合同中关键项目的工程量超过其工程总量的</w:t>
      </w:r>
      <w:r>
        <w:rPr>
          <w:rFonts w:hint="eastAsia"/>
          <w:color w:val="000000"/>
          <w:sz w:val="21"/>
          <w:szCs w:val="21"/>
          <w:highlight w:val="none"/>
          <w:u w:val="single"/>
        </w:rPr>
        <w:t>（合同签订时另行约定）</w:t>
      </w:r>
      <w:r>
        <w:rPr>
          <w:rFonts w:hint="eastAsia"/>
          <w:color w:val="000000"/>
          <w:sz w:val="21"/>
          <w:szCs w:val="21"/>
          <w:highlight w:val="none"/>
          <w:u w:val="single"/>
          <w:lang w:val="en-US" w:eastAsia="zh-CN"/>
        </w:rPr>
        <w:t>%</w:t>
      </w:r>
      <w:r>
        <w:rPr>
          <w:rFonts w:hint="eastAsia"/>
          <w:color w:val="000000"/>
          <w:sz w:val="21"/>
          <w:szCs w:val="21"/>
          <w:highlight w:val="none"/>
        </w:rPr>
        <w:t>，关键项目</w:t>
      </w:r>
      <w:r>
        <w:rPr>
          <w:rFonts w:hint="eastAsia"/>
          <w:color w:val="000000"/>
          <w:sz w:val="21"/>
          <w:szCs w:val="21"/>
          <w:highlight w:val="none"/>
          <w:u w:val="single"/>
        </w:rPr>
        <w:t>（合同签订时另行约定）</w:t>
      </w:r>
      <w:r>
        <w:rPr>
          <w:rFonts w:hint="eastAsia"/>
          <w:color w:val="000000"/>
          <w:sz w:val="21"/>
          <w:szCs w:val="21"/>
          <w:highlight w:val="none"/>
        </w:rPr>
        <w:t>，单价调整方式：</w:t>
      </w:r>
      <w:r>
        <w:rPr>
          <w:rFonts w:hint="eastAsia"/>
          <w:color w:val="000000"/>
          <w:sz w:val="21"/>
          <w:szCs w:val="21"/>
          <w:highlight w:val="none"/>
          <w:u w:val="single"/>
        </w:rPr>
        <w:t>（1）承包人中标报价中已有适用的综合单价，按合同中已有的综合单价确定；（2）承包人中标报价中有类似工程项目单价的，可参照其中类似的综合单价确定；（3）承包人中标报价中没有类似工程项目单价的，应依据承包人中标价中人工、材料、机械以及各项取费为基础，由承包人提出适当的综合单价，经监理工程师以及发包人审定后执行</w:t>
      </w:r>
      <w:r>
        <w:rPr>
          <w:rFonts w:hint="eastAsia"/>
          <w:color w:val="000000"/>
          <w:sz w:val="21"/>
          <w:szCs w:val="21"/>
          <w:highlight w:val="none"/>
        </w:rPr>
        <w:t>。</w:t>
      </w:r>
    </w:p>
    <w:p w14:paraId="6ED55BB5">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15.5 承包人的合理化建议</w:t>
      </w:r>
    </w:p>
    <w:p w14:paraId="18EA4C67">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15.5.2 </w:t>
      </w:r>
      <w:r>
        <w:rPr>
          <w:rFonts w:hAnsi="宋体"/>
          <w:sz w:val="21"/>
          <w:szCs w:val="21"/>
          <w:highlight w:val="none"/>
        </w:rPr>
        <w:t>承包人实现合理化建议的奖励金额为：</w:t>
      </w:r>
      <w:r>
        <w:rPr>
          <w:rFonts w:hint="eastAsia" w:hAnsi="宋体"/>
          <w:sz w:val="21"/>
          <w:szCs w:val="21"/>
          <w:highlight w:val="none"/>
          <w:u w:val="single"/>
        </w:rPr>
        <w:t xml:space="preserve">不适用 </w:t>
      </w:r>
      <w:r>
        <w:rPr>
          <w:rFonts w:hAnsi="宋体"/>
          <w:sz w:val="21"/>
          <w:szCs w:val="21"/>
          <w:highlight w:val="none"/>
        </w:rPr>
        <w:t>。</w:t>
      </w:r>
    </w:p>
    <w:p w14:paraId="280C6F52">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15.8 暂估价</w:t>
      </w:r>
    </w:p>
    <w:p w14:paraId="5A79D430">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bookmarkStart w:id="36" w:name="_Toc265408529"/>
      <w:r>
        <w:rPr>
          <w:sz w:val="21"/>
          <w:szCs w:val="21"/>
          <w:highlight w:val="none"/>
        </w:rPr>
        <w:t xml:space="preserve">15.8.1 </w:t>
      </w:r>
      <w:r>
        <w:rPr>
          <w:rFonts w:hAnsi="宋体"/>
          <w:sz w:val="21"/>
          <w:szCs w:val="21"/>
          <w:highlight w:val="none"/>
        </w:rPr>
        <w:t>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3CE01FC0">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16 价格调整</w:t>
      </w:r>
      <w:bookmarkEnd w:id="36"/>
    </w:p>
    <w:p w14:paraId="13F433E8">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16.1 物价波动引起的价格调整</w:t>
      </w:r>
    </w:p>
    <w:p w14:paraId="397A19A2">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物价波动引起的价格调整方式：</w:t>
      </w:r>
      <w:r>
        <w:rPr>
          <w:sz w:val="21"/>
          <w:szCs w:val="21"/>
          <w:highlight w:val="none"/>
          <w:u w:val="single"/>
        </w:rPr>
        <w:t xml:space="preserve"> </w:t>
      </w:r>
      <w:r>
        <w:rPr>
          <w:rFonts w:hAnsi="宋体"/>
          <w:sz w:val="21"/>
          <w:szCs w:val="21"/>
          <w:highlight w:val="none"/>
          <w:u w:val="single"/>
        </w:rPr>
        <w:t>不调整</w:t>
      </w:r>
      <w:r>
        <w:rPr>
          <w:sz w:val="21"/>
          <w:szCs w:val="21"/>
          <w:highlight w:val="none"/>
          <w:u w:val="single"/>
        </w:rPr>
        <w:t xml:space="preserve">  </w:t>
      </w:r>
      <w:r>
        <w:rPr>
          <w:rFonts w:hAnsi="宋体"/>
          <w:sz w:val="21"/>
          <w:szCs w:val="21"/>
          <w:highlight w:val="none"/>
        </w:rPr>
        <w:t>。</w:t>
      </w:r>
    </w:p>
    <w:p w14:paraId="7FD9C069">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7" w:name="_Toc265408530"/>
      <w:r>
        <w:rPr>
          <w:rFonts w:ascii="宋体" w:hAnsi="Times New Roman" w:eastAsia="宋体" w:cs="Times New Roman"/>
          <w:b/>
          <w:bCs/>
          <w:sz w:val="21"/>
          <w:szCs w:val="21"/>
          <w:highlight w:val="none"/>
        </w:rPr>
        <w:t>17 计量与支付</w:t>
      </w:r>
      <w:bookmarkEnd w:id="37"/>
    </w:p>
    <w:p w14:paraId="75753555">
      <w:pPr>
        <w:pageBreakBefore w:val="0"/>
        <w:widowControl w:val="0"/>
        <w:kinsoku/>
        <w:wordWrap/>
        <w:overflowPunct/>
        <w:topLinePunct w:val="0"/>
        <w:autoSpaceDE/>
        <w:autoSpaceDN/>
        <w:bidi w:val="0"/>
        <w:adjustRightInd/>
        <w:snapToGrid/>
        <w:spacing w:line="312" w:lineRule="auto"/>
        <w:textAlignment w:val="auto"/>
        <w:rPr>
          <w:rFonts w:hint="eastAsia" w:ascii="Times New Roman" w:hAnsi="Times New Roman" w:eastAsia="宋体" w:cs="Times New Roman"/>
          <w:b/>
          <w:bCs/>
          <w:sz w:val="21"/>
          <w:szCs w:val="21"/>
          <w:highlight w:val="none"/>
        </w:rPr>
      </w:pPr>
      <w:r>
        <w:rPr>
          <w:rFonts w:hint="eastAsia" w:ascii="Times New Roman" w:hAnsi="Times New Roman" w:eastAsia="宋体" w:cs="Times New Roman"/>
          <w:b/>
          <w:bCs/>
          <w:sz w:val="21"/>
          <w:szCs w:val="21"/>
          <w:highlight w:val="none"/>
        </w:rPr>
        <w:t>17.2 预付款</w:t>
      </w:r>
    </w:p>
    <w:p w14:paraId="5B6E08F8">
      <w:pPr>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rPr>
        <w:t>17.2.1 预付款：</w:t>
      </w:r>
    </w:p>
    <w:p w14:paraId="173A79CA">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（1）预付款支付比例或金额：</w:t>
      </w:r>
      <w:r>
        <w:rPr>
          <w:rFonts w:hint="eastAsia"/>
          <w:color w:val="auto"/>
          <w:sz w:val="21"/>
          <w:szCs w:val="21"/>
          <w:highlight w:val="none"/>
          <w:u w:val="single"/>
          <w:lang w:val="en-US" w:eastAsia="zh-CN"/>
        </w:rPr>
        <w:t xml:space="preserve">  合同价款的30%  </w:t>
      </w:r>
      <w:r>
        <w:rPr>
          <w:rFonts w:hint="eastAsia"/>
          <w:color w:val="auto"/>
          <w:sz w:val="21"/>
          <w:szCs w:val="21"/>
          <w:highlight w:val="none"/>
        </w:rPr>
        <w:t>。</w:t>
      </w:r>
    </w:p>
    <w:p w14:paraId="79013258">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17.3 进度付款</w:t>
      </w:r>
    </w:p>
    <w:p w14:paraId="7325BB4A">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17.3.4工程进度付款</w:t>
      </w:r>
    </w:p>
    <w:p w14:paraId="00C32EAC">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lang w:val="en-US" w:eastAsia="zh-CN" w:bidi="ar-SA"/>
        </w:rPr>
        <w:t>（1）</w:t>
      </w:r>
      <w:r>
        <w:rPr>
          <w:rFonts w:hint="eastAsia" w:ascii="Times New Roman" w:hAnsi="Times New Roman" w:eastAsia="宋体" w:cs="Times New Roman"/>
          <w:color w:val="auto"/>
          <w:sz w:val="21"/>
          <w:szCs w:val="21"/>
          <w:highlight w:val="none"/>
          <w:u w:val="single"/>
          <w:lang w:val="en-US" w:eastAsia="zh-CN"/>
        </w:rPr>
        <w:t>合同签订后，甲方向乙方支付合同价款的30%作为预付款；工程完工验收合格且结算审核完成后，支付至结算价款的97%；剩余3%作为质保金，质保金在缺陷责任期满后且无任何质量问题后甲方一次性付清剩余价款</w:t>
      </w:r>
      <w:r>
        <w:rPr>
          <w:rFonts w:hint="eastAsia" w:ascii="宋体" w:hAnsi="宋体" w:eastAsia="宋体" w:cs="宋体"/>
          <w:color w:val="auto"/>
          <w:sz w:val="21"/>
          <w:szCs w:val="21"/>
          <w:highlight w:val="none"/>
          <w:u w:val="none"/>
          <w:lang w:val="en-US" w:eastAsia="zh-CN"/>
        </w:rPr>
        <w:t>；</w:t>
      </w:r>
    </w:p>
    <w:p w14:paraId="1A9FFFC3">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宋体" w:eastAsia="宋体" w:cs="Times New Roman"/>
          <w:color w:val="000000"/>
          <w:sz w:val="21"/>
          <w:szCs w:val="21"/>
          <w:highlight w:val="none"/>
          <w:lang w:val="en-US" w:eastAsia="zh-CN"/>
        </w:rPr>
      </w:pPr>
      <w:r>
        <w:rPr>
          <w:rFonts w:hint="eastAsia" w:ascii="Times New Roman" w:hAnsi="宋体" w:eastAsia="宋体" w:cs="Times New Roman"/>
          <w:color w:val="000000"/>
          <w:sz w:val="21"/>
          <w:szCs w:val="21"/>
          <w:highlight w:val="none"/>
          <w:lang w:val="en-US" w:eastAsia="zh-CN"/>
        </w:rPr>
        <w:t>（2）</w:t>
      </w:r>
      <w:r>
        <w:rPr>
          <w:rFonts w:hint="eastAsia" w:ascii="Times New Roman" w:hAnsi="宋体" w:eastAsia="宋体" w:cs="Times New Roman"/>
          <w:color w:val="000000"/>
          <w:sz w:val="21"/>
          <w:szCs w:val="21"/>
          <w:highlight w:val="none"/>
          <w:u w:val="single"/>
          <w:lang w:val="en-US" w:eastAsia="zh-CN"/>
        </w:rPr>
        <w:t>每期付款时供应商提供等额发票申请款项</w:t>
      </w:r>
      <w:r>
        <w:rPr>
          <w:rFonts w:hint="eastAsia" w:ascii="Times New Roman" w:hAnsi="宋体" w:eastAsia="宋体" w:cs="Times New Roman"/>
          <w:color w:val="000000"/>
          <w:sz w:val="21"/>
          <w:szCs w:val="21"/>
          <w:highlight w:val="none"/>
          <w:lang w:val="en-US" w:eastAsia="zh-CN"/>
        </w:rPr>
        <w:t>；</w:t>
      </w:r>
    </w:p>
    <w:p w14:paraId="687398A0">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宋体" w:eastAsia="宋体" w:cs="Times New Roman"/>
          <w:color w:val="000000"/>
          <w:sz w:val="21"/>
          <w:szCs w:val="21"/>
          <w:highlight w:val="none"/>
        </w:rPr>
      </w:pPr>
      <w:r>
        <w:rPr>
          <w:rFonts w:hint="eastAsia" w:ascii="Times New Roman" w:hAnsi="宋体" w:eastAsia="宋体" w:cs="Times New Roman"/>
          <w:color w:val="000000"/>
          <w:sz w:val="21"/>
          <w:szCs w:val="21"/>
          <w:highlight w:val="none"/>
          <w:lang w:eastAsia="zh-CN"/>
        </w:rPr>
        <w:t>（</w:t>
      </w:r>
      <w:r>
        <w:rPr>
          <w:rFonts w:hint="eastAsia" w:ascii="Times New Roman" w:hAnsi="宋体" w:eastAsia="宋体" w:cs="Times New Roman"/>
          <w:color w:val="000000"/>
          <w:sz w:val="21"/>
          <w:szCs w:val="21"/>
          <w:highlight w:val="none"/>
          <w:lang w:val="en-US" w:eastAsia="zh-CN"/>
        </w:rPr>
        <w:t>3</w:t>
      </w:r>
      <w:r>
        <w:rPr>
          <w:rFonts w:hint="eastAsia" w:ascii="Times New Roman" w:hAnsi="宋体" w:eastAsia="宋体" w:cs="Times New Roman"/>
          <w:color w:val="000000"/>
          <w:sz w:val="21"/>
          <w:szCs w:val="21"/>
          <w:highlight w:val="none"/>
          <w:lang w:eastAsia="zh-CN"/>
        </w:rPr>
        <w:t>）</w:t>
      </w:r>
      <w:r>
        <w:rPr>
          <w:rFonts w:hint="eastAsia" w:ascii="Times New Roman" w:hAnsi="宋体" w:eastAsia="宋体" w:cs="Times New Roman"/>
          <w:color w:val="000000"/>
          <w:sz w:val="21"/>
          <w:szCs w:val="21"/>
          <w:highlight w:val="none"/>
          <w:u w:val="single"/>
        </w:rPr>
        <w:t>涉及农民工工资的每次款项支付前，承包人提供由项目总监审签、与施工组织计划相对应员工（特别是农民工）的花名册、劳动合同、考勤表、工资表及签付凭证等</w:t>
      </w:r>
      <w:r>
        <w:rPr>
          <w:rFonts w:hint="eastAsia" w:ascii="Times New Roman" w:hAnsi="宋体" w:eastAsia="宋体" w:cs="Times New Roman"/>
          <w:color w:val="000000"/>
          <w:sz w:val="21"/>
          <w:szCs w:val="21"/>
          <w:highlight w:val="none"/>
        </w:rPr>
        <w:t>。</w:t>
      </w:r>
    </w:p>
    <w:p w14:paraId="408C6C5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宋体" w:eastAsia="宋体" w:cs="Times New Roman"/>
          <w:color w:val="000000"/>
          <w:sz w:val="21"/>
          <w:szCs w:val="21"/>
          <w:highlight w:val="none"/>
          <w:lang w:val="en-US" w:eastAsia="zh-CN"/>
        </w:rPr>
      </w:pPr>
      <w:r>
        <w:rPr>
          <w:rFonts w:hint="eastAsia" w:ascii="Times New Roman" w:hAnsi="宋体" w:eastAsia="宋体" w:cs="Times New Roman"/>
          <w:color w:val="000000"/>
          <w:sz w:val="21"/>
          <w:szCs w:val="21"/>
          <w:highlight w:val="none"/>
          <w:lang w:val="en-US" w:eastAsia="zh-CN"/>
        </w:rPr>
        <w:t>（4）</w:t>
      </w:r>
      <w:r>
        <w:rPr>
          <w:rFonts w:hint="eastAsia" w:ascii="Times New Roman" w:hAnsi="宋体" w:eastAsia="宋体" w:cs="Times New Roman"/>
          <w:color w:val="000000"/>
          <w:sz w:val="21"/>
          <w:szCs w:val="21"/>
          <w:highlight w:val="none"/>
          <w:u w:val="single"/>
          <w:lang w:val="en-US" w:eastAsia="zh-CN"/>
        </w:rPr>
        <w:t>本工程属政府下达资金项</w:t>
      </w:r>
      <w:bookmarkStart w:id="45" w:name="_GoBack"/>
      <w:bookmarkEnd w:id="45"/>
      <w:r>
        <w:rPr>
          <w:rFonts w:hint="eastAsia" w:ascii="Times New Roman" w:hAnsi="宋体" w:eastAsia="宋体" w:cs="Times New Roman"/>
          <w:color w:val="000000"/>
          <w:sz w:val="21"/>
          <w:szCs w:val="21"/>
          <w:highlight w:val="none"/>
          <w:u w:val="single"/>
          <w:lang w:val="en-US" w:eastAsia="zh-CN"/>
        </w:rPr>
        <w:t>目，在进度付款中涉及资金转拨环节较多，承包人应理解与支持政府资金延迟拨付的可能性，并有自行应对措施，不能因未按期支付，因此延误工期成为向发包人索赔的理由</w:t>
      </w:r>
      <w:r>
        <w:rPr>
          <w:rFonts w:hint="eastAsia" w:ascii="Times New Roman" w:hAnsi="宋体" w:eastAsia="宋体" w:cs="Times New Roman"/>
          <w:color w:val="000000"/>
          <w:sz w:val="21"/>
          <w:szCs w:val="21"/>
          <w:highlight w:val="none"/>
          <w:lang w:val="en-US" w:eastAsia="zh-CN"/>
        </w:rPr>
        <w:t>。</w:t>
      </w:r>
    </w:p>
    <w:p w14:paraId="00DB62F9">
      <w:pPr>
        <w:pStyle w:val="2"/>
        <w:ind w:firstLine="420" w:firstLineChars="200"/>
        <w:rPr>
          <w:rFonts w:hint="default"/>
          <w:lang w:val="en-US" w:eastAsia="zh-CN"/>
        </w:rPr>
      </w:pPr>
      <w:r>
        <w:rPr>
          <w:rFonts w:hint="eastAsia" w:ascii="Times New Roman" w:hAnsi="宋体" w:cs="Times New Roman"/>
          <w:color w:val="000000"/>
          <w:sz w:val="21"/>
          <w:szCs w:val="21"/>
          <w:highlight w:val="none"/>
          <w:lang w:val="en-US" w:eastAsia="zh-CN"/>
        </w:rPr>
        <w:t>（5）关于“建设征地和移民安置补偿费”结算：</w:t>
      </w:r>
      <w:r>
        <w:rPr>
          <w:rFonts w:hint="eastAsia" w:ascii="宋体" w:hAnsi="宋体" w:eastAsia="宋体" w:cs="宋体"/>
          <w:color w:val="auto"/>
          <w:sz w:val="21"/>
          <w:szCs w:val="21"/>
          <w:highlight w:val="none"/>
          <w:u w:val="single"/>
          <w:lang w:val="en-US" w:eastAsia="zh-CN"/>
        </w:rPr>
        <w:t>建设征地和移民安置补偿专项工作</w:t>
      </w:r>
      <w:r>
        <w:rPr>
          <w:rFonts w:hint="eastAsia" w:ascii="宋体" w:hAnsi="宋体" w:cs="宋体"/>
          <w:color w:val="auto"/>
          <w:sz w:val="21"/>
          <w:szCs w:val="21"/>
          <w:highlight w:val="none"/>
          <w:u w:val="single"/>
          <w:lang w:val="en-US" w:eastAsia="zh-CN"/>
        </w:rPr>
        <w:t>由承包人</w:t>
      </w:r>
      <w:r>
        <w:rPr>
          <w:rFonts w:hint="eastAsia" w:ascii="宋体" w:hAnsi="宋体" w:eastAsia="宋体" w:cs="宋体"/>
          <w:color w:val="auto"/>
          <w:sz w:val="21"/>
          <w:szCs w:val="21"/>
          <w:highlight w:val="none"/>
          <w:u w:val="single"/>
          <w:lang w:val="en-US" w:eastAsia="zh-CN"/>
        </w:rPr>
        <w:t>完成后</w:t>
      </w:r>
      <w:r>
        <w:rPr>
          <w:rFonts w:hint="eastAsia" w:ascii="宋体" w:hAnsi="宋体" w:cs="宋体"/>
          <w:color w:val="auto"/>
          <w:sz w:val="21"/>
          <w:szCs w:val="21"/>
          <w:highlight w:val="none"/>
          <w:u w:val="single"/>
          <w:lang w:val="en-US" w:eastAsia="zh-CN"/>
        </w:rPr>
        <w:t>，并将相关依据性资料报送审核并确认后进行支付</w:t>
      </w:r>
      <w:r>
        <w:rPr>
          <w:rFonts w:hint="eastAsia" w:ascii="宋体" w:hAnsi="宋体" w:cs="宋体"/>
          <w:color w:val="auto"/>
          <w:sz w:val="21"/>
          <w:szCs w:val="21"/>
          <w:highlight w:val="none"/>
          <w:u w:val="none"/>
          <w:lang w:val="en-US" w:eastAsia="zh-CN"/>
        </w:rPr>
        <w:t>。</w:t>
      </w:r>
    </w:p>
    <w:p w14:paraId="475FC2B4">
      <w:pPr>
        <w:pageBreakBefore w:val="0"/>
        <w:widowControl w:val="0"/>
        <w:kinsoku/>
        <w:wordWrap/>
        <w:overflowPunct/>
        <w:topLinePunct w:val="0"/>
        <w:autoSpaceDE/>
        <w:autoSpaceDN/>
        <w:bidi w:val="0"/>
        <w:adjustRightInd/>
        <w:snapToGrid/>
        <w:spacing w:line="312" w:lineRule="auto"/>
        <w:textAlignment w:val="auto"/>
        <w:rPr>
          <w:rFonts w:hint="eastAsia" w:hAnsi="宋体"/>
          <w:color w:val="000000"/>
          <w:sz w:val="21"/>
          <w:szCs w:val="21"/>
          <w:highlight w:val="none"/>
        </w:rPr>
      </w:pPr>
      <w:r>
        <w:rPr>
          <w:rFonts w:hint="eastAsia" w:hAnsi="宋体"/>
          <w:color w:val="000000"/>
          <w:sz w:val="21"/>
          <w:szCs w:val="21"/>
          <w:highlight w:val="none"/>
        </w:rPr>
        <w:t>17.3.5农民工工资</w:t>
      </w:r>
    </w:p>
    <w:p w14:paraId="7FD280EE">
      <w:pPr>
        <w:pageBreakBefore w:val="0"/>
        <w:widowControl w:val="0"/>
        <w:kinsoku/>
        <w:wordWrap/>
        <w:overflowPunct/>
        <w:topLinePunct w:val="0"/>
        <w:autoSpaceDE/>
        <w:autoSpaceDN/>
        <w:bidi w:val="0"/>
        <w:adjustRightInd/>
        <w:snapToGrid/>
        <w:spacing w:line="312" w:lineRule="auto"/>
        <w:ind w:firstLine="435"/>
        <w:textAlignment w:val="auto"/>
        <w:rPr>
          <w:rFonts w:hint="eastAsia" w:hAnsi="宋体" w:eastAsia="宋体"/>
          <w:color w:val="000000"/>
          <w:sz w:val="21"/>
          <w:szCs w:val="21"/>
          <w:highlight w:val="none"/>
          <w:lang w:eastAsia="zh-CN"/>
        </w:rPr>
      </w:pPr>
      <w:r>
        <w:rPr>
          <w:rFonts w:hint="eastAsia"/>
          <w:color w:val="333333"/>
          <w:sz w:val="21"/>
          <w:szCs w:val="21"/>
          <w:highlight w:val="none"/>
          <w:shd w:val="clear" w:color="auto" w:fill="FFFFFF"/>
        </w:rPr>
        <w:t>为了规范农民工工资支付行为，保障农民工按时足额获得工资</w:t>
      </w:r>
      <w:r>
        <w:rPr>
          <w:rFonts w:hint="eastAsia" w:hAnsi="宋体"/>
          <w:color w:val="000000"/>
          <w:sz w:val="21"/>
          <w:szCs w:val="21"/>
          <w:highlight w:val="none"/>
        </w:rPr>
        <w:t>，</w:t>
      </w:r>
      <w:r>
        <w:rPr>
          <w:rFonts w:hint="eastAsia" w:hAnsi="宋体"/>
          <w:color w:val="000000"/>
          <w:sz w:val="21"/>
          <w:szCs w:val="21"/>
          <w:highlight w:val="none"/>
          <w:lang w:val="en-US" w:eastAsia="zh-CN"/>
        </w:rPr>
        <w:t>承包人应按照</w:t>
      </w:r>
      <w:r>
        <w:rPr>
          <w:rFonts w:hint="eastAsia" w:hAnsi="宋体"/>
          <w:color w:val="000000"/>
          <w:sz w:val="21"/>
          <w:szCs w:val="21"/>
          <w:highlight w:val="none"/>
        </w:rPr>
        <w:t>《中华人民共和国劳动法》、中华人民共和国国务院《保障农民工工资支付条例》（中华人民共和国国务院令第724号）的规定、《陕西省农民工工资支付保障》、《陕西省建筑施工企业农民工工资支付办法》的通知等相关规定保障农民工工资按月足额发放到位</w:t>
      </w:r>
      <w:r>
        <w:rPr>
          <w:rFonts w:hint="eastAsia" w:hAnsi="宋体"/>
          <w:color w:val="000000"/>
          <w:sz w:val="21"/>
          <w:szCs w:val="21"/>
          <w:highlight w:val="none"/>
          <w:lang w:eastAsia="zh-CN"/>
        </w:rPr>
        <w:t>。</w:t>
      </w:r>
    </w:p>
    <w:p w14:paraId="5D12F914">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hint="eastAsia" w:hAnsi="Times New Roman" w:eastAsia="宋体" w:cs="Times New Roman"/>
          <w:b/>
          <w:bCs/>
          <w:sz w:val="21"/>
          <w:szCs w:val="21"/>
          <w:highlight w:val="none"/>
          <w:lang w:eastAsia="zh-CN"/>
        </w:rPr>
      </w:pPr>
      <w:r>
        <w:rPr>
          <w:rFonts w:ascii="宋体" w:hAnsi="Times New Roman" w:eastAsia="宋体" w:cs="Times New Roman"/>
          <w:b/>
          <w:bCs/>
          <w:sz w:val="21"/>
          <w:szCs w:val="21"/>
          <w:highlight w:val="none"/>
        </w:rPr>
        <w:t>17.4 质量保证金</w:t>
      </w:r>
      <w:r>
        <w:rPr>
          <w:rFonts w:hint="eastAsia" w:hAnsi="Times New Roman" w:eastAsia="宋体" w:cs="Times New Roman"/>
          <w:b/>
          <w:bCs/>
          <w:sz w:val="21"/>
          <w:szCs w:val="21"/>
          <w:highlight w:val="none"/>
          <w:lang w:eastAsia="zh-CN"/>
        </w:rPr>
        <w:t>：</w:t>
      </w:r>
    </w:p>
    <w:p w14:paraId="219BE572">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宋体" w:eastAsia="宋体" w:cs="Times New Roman"/>
          <w:color w:val="000000"/>
          <w:sz w:val="21"/>
          <w:szCs w:val="21"/>
          <w:highlight w:val="none"/>
        </w:rPr>
      </w:pPr>
      <w:r>
        <w:rPr>
          <w:rFonts w:hint="eastAsia" w:ascii="Times New Roman" w:hAnsi="宋体" w:eastAsia="宋体" w:cs="Times New Roman"/>
          <w:color w:val="000000"/>
          <w:sz w:val="21"/>
          <w:szCs w:val="21"/>
          <w:highlight w:val="none"/>
          <w:lang w:val="en-US" w:eastAsia="zh-CN"/>
        </w:rPr>
        <w:t>17.4.1 扣留的质量保证金</w:t>
      </w:r>
      <w:r>
        <w:rPr>
          <w:rFonts w:hint="eastAsia" w:hAnsi="宋体" w:cs="Times New Roman"/>
          <w:color w:val="000000"/>
          <w:sz w:val="21"/>
          <w:szCs w:val="21"/>
          <w:highlight w:val="none"/>
          <w:lang w:val="en-US" w:eastAsia="zh-CN"/>
        </w:rPr>
        <w:t>：</w:t>
      </w:r>
      <w:r>
        <w:rPr>
          <w:rFonts w:hint="eastAsia" w:hAnsi="宋体" w:cs="Times New Roman"/>
          <w:color w:val="000000"/>
          <w:sz w:val="21"/>
          <w:szCs w:val="21"/>
          <w:highlight w:val="none"/>
          <w:u w:val="single"/>
          <w:lang w:val="en-US" w:eastAsia="zh-CN"/>
        </w:rPr>
        <w:t xml:space="preserve">    /    </w:t>
      </w:r>
      <w:r>
        <w:rPr>
          <w:rFonts w:hint="eastAsia" w:ascii="Times New Roman" w:hAnsi="宋体" w:eastAsia="宋体" w:cs="Times New Roman"/>
          <w:color w:val="000000"/>
          <w:sz w:val="21"/>
          <w:szCs w:val="21"/>
          <w:highlight w:val="none"/>
          <w:lang w:val="en-US" w:eastAsia="zh-CN"/>
        </w:rPr>
        <w:t>。</w:t>
      </w:r>
    </w:p>
    <w:p w14:paraId="280010E4">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17.5 竣工（完工）结算</w:t>
      </w:r>
    </w:p>
    <w:p w14:paraId="1B90A2BB">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17.5.1 </w:t>
      </w:r>
      <w:r>
        <w:rPr>
          <w:rFonts w:hAnsi="宋体"/>
          <w:sz w:val="21"/>
          <w:szCs w:val="21"/>
          <w:highlight w:val="none"/>
        </w:rPr>
        <w:t>竣工（完工）付款申请单</w:t>
      </w:r>
    </w:p>
    <w:p w14:paraId="3A26A819">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（１）承包人应提交完工付款申请单一式</w:t>
      </w:r>
      <w:r>
        <w:rPr>
          <w:rFonts w:hint="eastAsia"/>
          <w:sz w:val="21"/>
          <w:szCs w:val="21"/>
          <w:highlight w:val="none"/>
          <w:u w:val="single"/>
          <w:lang w:val="en-US" w:eastAsia="zh-CN"/>
        </w:rPr>
        <w:t>4</w:t>
      </w:r>
      <w:r>
        <w:rPr>
          <w:rFonts w:hAnsi="宋体"/>
          <w:sz w:val="21"/>
          <w:szCs w:val="21"/>
          <w:highlight w:val="none"/>
        </w:rPr>
        <w:t>份。</w:t>
      </w:r>
    </w:p>
    <w:p w14:paraId="5C1D4469">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17.6 最终结清</w:t>
      </w:r>
    </w:p>
    <w:p w14:paraId="1610C8AF">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17.6.1 </w:t>
      </w:r>
      <w:r>
        <w:rPr>
          <w:rFonts w:hAnsi="宋体"/>
          <w:sz w:val="21"/>
          <w:szCs w:val="21"/>
          <w:highlight w:val="none"/>
        </w:rPr>
        <w:t>最终结清申请单</w:t>
      </w:r>
    </w:p>
    <w:p w14:paraId="3B374197">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（１）承包人应提交最终结清申请单一式</w:t>
      </w:r>
      <w:r>
        <w:rPr>
          <w:rFonts w:hint="eastAsia"/>
          <w:sz w:val="21"/>
          <w:szCs w:val="21"/>
          <w:highlight w:val="none"/>
          <w:u w:val="single"/>
          <w:lang w:val="en-US" w:eastAsia="zh-CN"/>
        </w:rPr>
        <w:t>4</w:t>
      </w:r>
      <w:r>
        <w:rPr>
          <w:rFonts w:hAnsi="宋体"/>
          <w:sz w:val="21"/>
          <w:szCs w:val="21"/>
          <w:highlight w:val="none"/>
        </w:rPr>
        <w:t>份。</w:t>
      </w:r>
    </w:p>
    <w:p w14:paraId="4CD59BCE">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17.7 竣工财务决算</w:t>
      </w:r>
    </w:p>
    <w:p w14:paraId="5BCABDEC">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承包人应为竣工财务决算编制提供的资料：</w:t>
      </w:r>
      <w:r>
        <w:rPr>
          <w:rFonts w:hAnsi="宋体"/>
          <w:sz w:val="21"/>
          <w:szCs w:val="21"/>
          <w:highlight w:val="none"/>
          <w:u w:val="single"/>
        </w:rPr>
        <w:t>提供竣工财务决算编制所需的相关材料</w:t>
      </w:r>
      <w:r>
        <w:rPr>
          <w:rFonts w:hint="eastAsia"/>
          <w:sz w:val="21"/>
          <w:szCs w:val="21"/>
          <w:highlight w:val="none"/>
          <w:u w:val="single"/>
        </w:rPr>
        <w:t xml:space="preserve"> </w:t>
      </w:r>
      <w:r>
        <w:rPr>
          <w:rFonts w:hAnsi="宋体"/>
          <w:sz w:val="21"/>
          <w:szCs w:val="21"/>
          <w:highlight w:val="none"/>
        </w:rPr>
        <w:t>。</w:t>
      </w:r>
    </w:p>
    <w:p w14:paraId="29C50125">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8" w:name="_Toc265408531"/>
      <w:r>
        <w:rPr>
          <w:rFonts w:ascii="宋体" w:hAnsi="Times New Roman" w:eastAsia="宋体" w:cs="Times New Roman"/>
          <w:b/>
          <w:bCs/>
          <w:sz w:val="21"/>
          <w:szCs w:val="21"/>
          <w:highlight w:val="none"/>
        </w:rPr>
        <w:t>18 竣工验收（验收）</w:t>
      </w:r>
      <w:bookmarkEnd w:id="38"/>
    </w:p>
    <w:p w14:paraId="1504FDAB">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18.1 验收工作分类</w:t>
      </w:r>
    </w:p>
    <w:p w14:paraId="5C38AB50">
      <w:pPr>
        <w:pageBreakBefore w:val="0"/>
        <w:widowControl w:val="0"/>
        <w:kinsoku/>
        <w:wordWrap/>
        <w:overflowPunct/>
        <w:topLinePunct w:val="0"/>
        <w:autoSpaceDE/>
        <w:autoSpaceDN/>
        <w:bidi w:val="0"/>
        <w:adjustRightInd/>
        <w:snapToGrid/>
        <w:spacing w:line="312" w:lineRule="auto"/>
        <w:ind w:firstLine="420" w:firstLineChars="200"/>
        <w:textAlignment w:val="auto"/>
        <w:rPr>
          <w:rFonts w:ascii="Times New Roman" w:hAnsi="宋体" w:eastAsia="宋体" w:cs="Times New Roman"/>
          <w:sz w:val="21"/>
          <w:szCs w:val="21"/>
          <w:highlight w:val="none"/>
        </w:rPr>
      </w:pPr>
      <w:r>
        <w:rPr>
          <w:rFonts w:ascii="Times New Roman" w:hAnsi="宋体" w:eastAsia="宋体" w:cs="Times New Roman"/>
          <w:sz w:val="21"/>
          <w:szCs w:val="21"/>
          <w:highlight w:val="none"/>
        </w:rPr>
        <w:t>本工程法人验收包括：</w:t>
      </w:r>
      <w:r>
        <w:rPr>
          <w:rFonts w:hint="eastAsia" w:ascii="Times New Roman" w:hAnsi="宋体" w:eastAsia="宋体" w:cs="Times New Roman"/>
          <w:sz w:val="21"/>
          <w:szCs w:val="21"/>
          <w:highlight w:val="none"/>
          <w:u w:val="single"/>
          <w:lang w:val="en-US" w:eastAsia="zh-CN"/>
        </w:rPr>
        <w:t>分部工程验收、单位工程验收、合同完工验收、竣工验收自查</w:t>
      </w:r>
      <w:r>
        <w:rPr>
          <w:rFonts w:ascii="Times New Roman" w:hAnsi="宋体" w:eastAsia="宋体" w:cs="Times New Roman"/>
          <w:sz w:val="21"/>
          <w:szCs w:val="21"/>
          <w:highlight w:val="none"/>
        </w:rPr>
        <w:t>；政府验收包括：</w:t>
      </w:r>
      <w:r>
        <w:rPr>
          <w:rFonts w:hint="eastAsia" w:ascii="Times New Roman" w:hAnsi="宋体" w:eastAsia="宋体" w:cs="Times New Roman"/>
          <w:sz w:val="21"/>
          <w:szCs w:val="21"/>
          <w:highlight w:val="none"/>
          <w:u w:val="single"/>
          <w:lang w:val="en-US" w:eastAsia="zh-CN"/>
        </w:rPr>
        <w:t>竣工技术预验收、竣工验收</w:t>
      </w:r>
      <w:r>
        <w:rPr>
          <w:rFonts w:ascii="Times New Roman" w:hAnsi="宋体" w:eastAsia="宋体" w:cs="Times New Roman"/>
          <w:sz w:val="21"/>
          <w:szCs w:val="21"/>
          <w:highlight w:val="none"/>
        </w:rPr>
        <w:t>。验收条件为：</w:t>
      </w:r>
      <w:r>
        <w:rPr>
          <w:rFonts w:hint="eastAsia" w:ascii="Times New Roman" w:hAnsi="宋体" w:eastAsia="宋体" w:cs="Times New Roman"/>
          <w:sz w:val="21"/>
          <w:szCs w:val="21"/>
          <w:highlight w:val="none"/>
          <w:u w:val="single"/>
          <w:lang w:val="en-US" w:eastAsia="zh-CN"/>
        </w:rPr>
        <w:t>（合同签订时另行约定）</w:t>
      </w:r>
      <w:r>
        <w:rPr>
          <w:rFonts w:ascii="Times New Roman" w:hAnsi="宋体" w:eastAsia="宋体" w:cs="Times New Roman"/>
          <w:sz w:val="21"/>
          <w:szCs w:val="21"/>
          <w:highlight w:val="none"/>
        </w:rPr>
        <w:t>，验收程序为：</w:t>
      </w:r>
      <w:r>
        <w:rPr>
          <w:rFonts w:hint="eastAsia" w:ascii="Times New Roman" w:hAnsi="宋体" w:eastAsia="宋体" w:cs="Times New Roman"/>
          <w:sz w:val="21"/>
          <w:szCs w:val="21"/>
          <w:highlight w:val="none"/>
          <w:u w:val="single"/>
          <w:lang w:val="en-US" w:eastAsia="zh-CN"/>
        </w:rPr>
        <w:t>（合同签订时另行约定）</w:t>
      </w:r>
      <w:r>
        <w:rPr>
          <w:rFonts w:ascii="Times New Roman" w:hAnsi="宋体" w:eastAsia="宋体" w:cs="Times New Roman"/>
          <w:sz w:val="21"/>
          <w:szCs w:val="21"/>
          <w:highlight w:val="none"/>
        </w:rPr>
        <w:t>。</w:t>
      </w:r>
    </w:p>
    <w:p w14:paraId="6EE81913">
      <w:pPr>
        <w:pageBreakBefore w:val="0"/>
        <w:widowControl w:val="0"/>
        <w:kinsoku/>
        <w:wordWrap/>
        <w:overflowPunct/>
        <w:topLinePunct w:val="0"/>
        <w:autoSpaceDE/>
        <w:autoSpaceDN/>
        <w:bidi w:val="0"/>
        <w:adjustRightInd/>
        <w:snapToGrid/>
        <w:spacing w:line="312" w:lineRule="auto"/>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18.2 分部工程验收</w:t>
      </w:r>
    </w:p>
    <w:p w14:paraId="1185CFAE">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18.2.1 </w:t>
      </w:r>
      <w:r>
        <w:rPr>
          <w:rFonts w:hAnsi="宋体"/>
          <w:sz w:val="21"/>
          <w:szCs w:val="21"/>
          <w:highlight w:val="none"/>
        </w:rPr>
        <w:t>本工程由发包人主持的分部工程验收为</w:t>
      </w:r>
      <w:r>
        <w:rPr>
          <w:rFonts w:hAnsi="宋体"/>
          <w:sz w:val="21"/>
          <w:szCs w:val="21"/>
          <w:highlight w:val="none"/>
          <w:u w:val="single"/>
        </w:rPr>
        <w:t>（</w:t>
      </w:r>
      <w:r>
        <w:rPr>
          <w:rFonts w:hint="eastAsia" w:ascii="Times New Roman" w:hAnsi="宋体" w:eastAsia="宋体" w:cs="Times New Roman"/>
          <w:sz w:val="21"/>
          <w:szCs w:val="21"/>
          <w:highlight w:val="none"/>
          <w:u w:val="single"/>
          <w:lang w:val="en-US" w:eastAsia="zh-CN"/>
        </w:rPr>
        <w:t>合同签订时另行约定</w:t>
      </w:r>
      <w:r>
        <w:rPr>
          <w:rFonts w:hAnsi="宋体"/>
          <w:sz w:val="21"/>
          <w:szCs w:val="21"/>
          <w:highlight w:val="none"/>
          <w:u w:val="single"/>
        </w:rPr>
        <w:t>）</w:t>
      </w:r>
      <w:r>
        <w:rPr>
          <w:rFonts w:hAnsi="宋体"/>
          <w:sz w:val="21"/>
          <w:szCs w:val="21"/>
          <w:highlight w:val="none"/>
        </w:rPr>
        <w:t>，其余由监理人主持。</w:t>
      </w:r>
    </w:p>
    <w:p w14:paraId="11C523D9">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18.3 单位工程验收</w:t>
      </w:r>
    </w:p>
    <w:p w14:paraId="1AA154FE">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18.3.1 </w:t>
      </w:r>
      <w:r>
        <w:rPr>
          <w:rFonts w:hAnsi="宋体"/>
          <w:sz w:val="21"/>
          <w:szCs w:val="21"/>
          <w:highlight w:val="none"/>
        </w:rPr>
        <w:t>提前投入使用的单位工程包括：</w:t>
      </w:r>
      <w:r>
        <w:rPr>
          <w:sz w:val="21"/>
          <w:szCs w:val="21"/>
          <w:highlight w:val="none"/>
          <w:u w:val="single"/>
        </w:rPr>
        <w:t xml:space="preserve"> </w:t>
      </w:r>
      <w:r>
        <w:rPr>
          <w:rFonts w:hAnsi="宋体"/>
          <w:sz w:val="21"/>
          <w:szCs w:val="21"/>
          <w:highlight w:val="none"/>
          <w:u w:val="single"/>
        </w:rPr>
        <w:t>无。</w:t>
      </w:r>
    </w:p>
    <w:p w14:paraId="5EC478E8">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18.5 阶段验收</w:t>
      </w:r>
    </w:p>
    <w:p w14:paraId="623185CB">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18.5.1</w:t>
      </w:r>
      <w:r>
        <w:rPr>
          <w:rFonts w:hAnsi="宋体"/>
          <w:sz w:val="21"/>
          <w:szCs w:val="21"/>
          <w:highlight w:val="none"/>
        </w:rPr>
        <w:t>本合同工程阶段验收类别包括：</w:t>
      </w:r>
      <w:r>
        <w:rPr>
          <w:rFonts w:hAnsi="宋体"/>
          <w:sz w:val="21"/>
          <w:szCs w:val="21"/>
          <w:highlight w:val="none"/>
          <w:u w:val="single"/>
        </w:rPr>
        <w:t>（</w:t>
      </w:r>
      <w:r>
        <w:rPr>
          <w:rFonts w:hint="eastAsia" w:ascii="Times New Roman" w:hAnsi="宋体" w:eastAsia="宋体" w:cs="Times New Roman"/>
          <w:sz w:val="21"/>
          <w:szCs w:val="21"/>
          <w:highlight w:val="none"/>
          <w:u w:val="single"/>
          <w:lang w:val="en-US" w:eastAsia="zh-CN"/>
        </w:rPr>
        <w:t>合同签订时另行约定</w:t>
      </w:r>
      <w:r>
        <w:rPr>
          <w:rFonts w:hAnsi="宋体"/>
          <w:sz w:val="21"/>
          <w:szCs w:val="21"/>
          <w:highlight w:val="none"/>
          <w:u w:val="single"/>
        </w:rPr>
        <w:t>）</w:t>
      </w:r>
      <w:r>
        <w:rPr>
          <w:sz w:val="21"/>
          <w:szCs w:val="21"/>
          <w:highlight w:val="none"/>
          <w:u w:val="single"/>
        </w:rPr>
        <w:t xml:space="preserve"> </w:t>
      </w:r>
      <w:r>
        <w:rPr>
          <w:rFonts w:hAnsi="宋体"/>
          <w:sz w:val="21"/>
          <w:szCs w:val="21"/>
          <w:highlight w:val="none"/>
        </w:rPr>
        <w:t>。</w:t>
      </w:r>
    </w:p>
    <w:p w14:paraId="6C6CC9E7">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18.6 专项验收</w:t>
      </w:r>
    </w:p>
    <w:p w14:paraId="2F9F5A65">
      <w:pPr>
        <w:keepNext w:val="0"/>
        <w:keepLines w:val="0"/>
        <w:pageBreakBefore w:val="0"/>
        <w:widowControl/>
        <w:suppressLineNumbers w:val="0"/>
        <w:kinsoku/>
        <w:wordWrap/>
        <w:overflowPunct/>
        <w:topLinePunct w:val="0"/>
        <w:autoSpaceDE/>
        <w:autoSpaceDN/>
        <w:bidi w:val="0"/>
        <w:adjustRightInd/>
        <w:snapToGrid/>
        <w:spacing w:line="312" w:lineRule="auto"/>
        <w:ind w:firstLine="420" w:firstLineChars="200"/>
        <w:jc w:val="left"/>
        <w:textAlignment w:val="auto"/>
        <w:rPr>
          <w:sz w:val="21"/>
          <w:szCs w:val="21"/>
          <w:highlight w:val="none"/>
        </w:rPr>
      </w:pPr>
      <w:r>
        <w:rPr>
          <w:sz w:val="21"/>
          <w:szCs w:val="21"/>
          <w:highlight w:val="none"/>
        </w:rPr>
        <w:t>18.6.1</w:t>
      </w:r>
      <w:r>
        <w:rPr>
          <w:rFonts w:hAnsi="宋体"/>
          <w:sz w:val="21"/>
          <w:szCs w:val="21"/>
          <w:highlight w:val="none"/>
        </w:rPr>
        <w:t>本合同工程专项验收类别包括：</w:t>
      </w:r>
      <w:r>
        <w:rPr>
          <w:sz w:val="21"/>
          <w:szCs w:val="21"/>
          <w:highlight w:val="none"/>
          <w:u w:val="single"/>
        </w:rPr>
        <w:t xml:space="preserve"> </w:t>
      </w:r>
      <w:r>
        <w:rPr>
          <w:rFonts w:hint="eastAsia"/>
          <w:sz w:val="21"/>
          <w:szCs w:val="21"/>
          <w:highlight w:val="none"/>
          <w:u w:val="single"/>
          <w:lang w:val="en-US" w:eastAsia="zh-CN"/>
        </w:rPr>
        <w:t xml:space="preserve"> </w:t>
      </w:r>
      <w:r>
        <w:rPr>
          <w:rFonts w:hint="eastAsia" w:ascii="宋体" w:hAnsi="宋体" w:eastAsia="宋体" w:cs="宋体"/>
          <w:color w:val="000000"/>
          <w:kern w:val="0"/>
          <w:sz w:val="21"/>
          <w:szCs w:val="21"/>
          <w:u w:val="single"/>
          <w:lang w:val="en-US" w:eastAsia="zh-CN" w:bidi="ar"/>
        </w:rPr>
        <w:t xml:space="preserve">档案验收 </w:t>
      </w:r>
      <w:r>
        <w:rPr>
          <w:rFonts w:hAnsi="宋体"/>
          <w:sz w:val="21"/>
          <w:szCs w:val="21"/>
          <w:highlight w:val="none"/>
        </w:rPr>
        <w:t>。</w:t>
      </w:r>
    </w:p>
    <w:p w14:paraId="36F13C7F">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18.7 竣工验收</w:t>
      </w:r>
    </w:p>
    <w:p w14:paraId="17E846A8">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18.7.1</w:t>
      </w:r>
      <w:r>
        <w:rPr>
          <w:rFonts w:hAnsi="宋体"/>
          <w:sz w:val="21"/>
          <w:szCs w:val="21"/>
          <w:highlight w:val="none"/>
        </w:rPr>
        <w:t>本工程</w:t>
      </w:r>
      <w:r>
        <w:rPr>
          <w:rFonts w:hAnsi="宋体"/>
          <w:sz w:val="21"/>
          <w:szCs w:val="21"/>
          <w:highlight w:val="none"/>
          <w:u w:val="single"/>
        </w:rPr>
        <w:t>（</w:t>
      </w:r>
      <w:r>
        <w:rPr>
          <w:rFonts w:hint="eastAsia" w:ascii="Times New Roman" w:hAnsi="宋体" w:eastAsia="宋体" w:cs="Times New Roman"/>
          <w:sz w:val="21"/>
          <w:szCs w:val="21"/>
          <w:highlight w:val="none"/>
          <w:u w:val="single"/>
          <w:lang w:val="en-US" w:eastAsia="zh-CN"/>
        </w:rPr>
        <w:t>合同签订时另行约定</w:t>
      </w:r>
      <w:r>
        <w:rPr>
          <w:rFonts w:hAnsi="宋体"/>
          <w:sz w:val="21"/>
          <w:szCs w:val="21"/>
          <w:highlight w:val="none"/>
          <w:u w:val="single"/>
        </w:rPr>
        <w:t>）</w:t>
      </w:r>
      <w:r>
        <w:rPr>
          <w:rFonts w:hAnsi="宋体"/>
          <w:sz w:val="21"/>
          <w:szCs w:val="21"/>
          <w:highlight w:val="none"/>
        </w:rPr>
        <w:t>（需要／不需要）竣工验收技术鉴定（蓄水安全鉴定）。</w:t>
      </w:r>
    </w:p>
    <w:p w14:paraId="352F20E5">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18.8 施工期运行</w:t>
      </w:r>
    </w:p>
    <w:p w14:paraId="6FD6BD9A">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18.8.1 </w:t>
      </w:r>
      <w:r>
        <w:rPr>
          <w:rFonts w:hAnsi="宋体"/>
          <w:sz w:val="21"/>
          <w:szCs w:val="21"/>
          <w:highlight w:val="none"/>
        </w:rPr>
        <w:t>需要在施工期运行的单位工程或工程设备为：</w:t>
      </w:r>
      <w:r>
        <w:rPr>
          <w:sz w:val="21"/>
          <w:szCs w:val="21"/>
          <w:highlight w:val="none"/>
          <w:u w:val="single"/>
        </w:rPr>
        <w:t xml:space="preserve"> </w:t>
      </w:r>
      <w:r>
        <w:rPr>
          <w:rFonts w:hint="eastAsia"/>
          <w:sz w:val="21"/>
          <w:szCs w:val="21"/>
          <w:highlight w:val="none"/>
          <w:u w:val="single"/>
        </w:rPr>
        <w:t>（以据项目运行需要）</w:t>
      </w:r>
      <w:r>
        <w:rPr>
          <w:sz w:val="21"/>
          <w:szCs w:val="21"/>
          <w:highlight w:val="none"/>
          <w:u w:val="single"/>
        </w:rPr>
        <w:t xml:space="preserve">   </w:t>
      </w:r>
      <w:r>
        <w:rPr>
          <w:sz w:val="21"/>
          <w:szCs w:val="21"/>
          <w:highlight w:val="none"/>
        </w:rPr>
        <w:t xml:space="preserve"> </w:t>
      </w:r>
      <w:r>
        <w:rPr>
          <w:rFonts w:hAnsi="宋体"/>
          <w:sz w:val="21"/>
          <w:szCs w:val="21"/>
          <w:highlight w:val="none"/>
        </w:rPr>
        <w:t>。　</w:t>
      </w:r>
    </w:p>
    <w:p w14:paraId="186C98C0">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18.9 试运行</w:t>
      </w:r>
    </w:p>
    <w:p w14:paraId="766B4A1F">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18.9.1 </w:t>
      </w:r>
      <w:r>
        <w:rPr>
          <w:rFonts w:hAnsi="宋体"/>
          <w:sz w:val="21"/>
          <w:szCs w:val="21"/>
          <w:highlight w:val="none"/>
        </w:rPr>
        <w:t>试运行的组织：</w:t>
      </w:r>
      <w:r>
        <w:rPr>
          <w:rFonts w:hint="eastAsia"/>
          <w:sz w:val="21"/>
          <w:szCs w:val="21"/>
          <w:highlight w:val="none"/>
          <w:u w:val="single"/>
        </w:rPr>
        <w:t xml:space="preserve"> </w:t>
      </w:r>
      <w:r>
        <w:rPr>
          <w:rFonts w:hint="eastAsia"/>
          <w:sz w:val="21"/>
          <w:szCs w:val="21"/>
          <w:highlight w:val="none"/>
          <w:u w:val="single"/>
          <w:lang w:val="en-US" w:eastAsia="zh-CN"/>
        </w:rPr>
        <w:t xml:space="preserve">   /</w:t>
      </w:r>
      <w:r>
        <w:rPr>
          <w:rFonts w:hint="eastAsia"/>
          <w:sz w:val="21"/>
          <w:szCs w:val="21"/>
          <w:highlight w:val="none"/>
          <w:u w:val="single"/>
        </w:rPr>
        <w:t xml:space="preserve"> </w:t>
      </w:r>
      <w:r>
        <w:rPr>
          <w:rFonts w:hint="eastAsia"/>
          <w:sz w:val="21"/>
          <w:szCs w:val="21"/>
          <w:highlight w:val="none"/>
          <w:u w:val="single"/>
          <w:lang w:val="en-US" w:eastAsia="zh-CN"/>
        </w:rPr>
        <w:t xml:space="preserve">   </w:t>
      </w:r>
      <w:r>
        <w:rPr>
          <w:rFonts w:hAnsi="宋体"/>
          <w:sz w:val="21"/>
          <w:szCs w:val="21"/>
          <w:highlight w:val="none"/>
        </w:rPr>
        <w:t>；</w:t>
      </w:r>
    </w:p>
    <w:p w14:paraId="7C305FA0">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9" w:name="_Toc265408532"/>
      <w:r>
        <w:rPr>
          <w:rFonts w:ascii="宋体" w:hAnsi="Times New Roman" w:eastAsia="宋体" w:cs="Times New Roman"/>
          <w:b/>
          <w:bCs/>
          <w:sz w:val="21"/>
          <w:szCs w:val="21"/>
          <w:highlight w:val="none"/>
        </w:rPr>
        <w:t>19 缺陷责任与保修责任</w:t>
      </w:r>
      <w:bookmarkEnd w:id="39"/>
    </w:p>
    <w:p w14:paraId="296A4737">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19.1 缺陷责任期（工程质量保修期）的起算时间</w:t>
      </w:r>
    </w:p>
    <w:p w14:paraId="3F6DE2F3">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本工程缺陷责任期（工程质量保修期）计算如下：</w:t>
      </w:r>
      <w:r>
        <w:rPr>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工程质量保修期自工程通过合同工程验收之日算起，保修范围、保修期限按合同约定和法律法规执行</w:t>
      </w:r>
      <w:r>
        <w:rPr>
          <w:rFonts w:hAnsi="宋体"/>
          <w:sz w:val="21"/>
          <w:szCs w:val="21"/>
          <w:highlight w:val="none"/>
        </w:rPr>
        <w:t>。</w:t>
      </w:r>
    </w:p>
    <w:p w14:paraId="0A6495A2">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40" w:name="_Toc265408533"/>
      <w:r>
        <w:rPr>
          <w:rFonts w:ascii="宋体" w:hAnsi="Times New Roman" w:eastAsia="宋体" w:cs="Times New Roman"/>
          <w:b/>
          <w:bCs/>
          <w:sz w:val="21"/>
          <w:szCs w:val="21"/>
          <w:highlight w:val="none"/>
        </w:rPr>
        <w:t>20 保险</w:t>
      </w:r>
      <w:bookmarkEnd w:id="40"/>
    </w:p>
    <w:p w14:paraId="5C5C6F00">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20.1 工程保险</w:t>
      </w:r>
    </w:p>
    <w:p w14:paraId="691A4D40">
      <w:pPr>
        <w:pageBreakBefore w:val="0"/>
        <w:widowControl w:val="0"/>
        <w:kinsoku/>
        <w:wordWrap/>
        <w:overflowPunct/>
        <w:topLinePunct w:val="0"/>
        <w:autoSpaceDE/>
        <w:autoSpaceDN/>
        <w:bidi w:val="0"/>
        <w:adjustRightInd/>
        <w:snapToGrid/>
        <w:spacing w:line="312" w:lineRule="auto"/>
        <w:ind w:firstLine="420" w:firstLineChars="200"/>
        <w:textAlignment w:val="auto"/>
        <w:rPr>
          <w:color w:val="auto"/>
          <w:sz w:val="21"/>
          <w:szCs w:val="21"/>
          <w:highlight w:val="none"/>
        </w:rPr>
      </w:pPr>
      <w:r>
        <w:rPr>
          <w:rFonts w:hAnsi="宋体"/>
          <w:color w:val="auto"/>
          <w:sz w:val="21"/>
          <w:szCs w:val="21"/>
          <w:highlight w:val="none"/>
        </w:rPr>
        <w:t>建筑工程一切险和（或）安装工程一切险投保人：</w:t>
      </w:r>
      <w:r>
        <w:rPr>
          <w:color w:val="auto"/>
          <w:sz w:val="21"/>
          <w:szCs w:val="21"/>
          <w:highlight w:val="none"/>
          <w:u w:val="single"/>
        </w:rPr>
        <w:t xml:space="preserve"> </w:t>
      </w:r>
      <w:r>
        <w:rPr>
          <w:rFonts w:hint="eastAsia"/>
          <w:color w:val="auto"/>
          <w:sz w:val="21"/>
          <w:szCs w:val="21"/>
          <w:highlight w:val="none"/>
          <w:u w:val="single"/>
        </w:rPr>
        <w:t>以发包人与承包人的共同名义向双方同意的保险人</w:t>
      </w:r>
      <w:r>
        <w:rPr>
          <w:rFonts w:hAnsi="宋体"/>
          <w:color w:val="auto"/>
          <w:sz w:val="21"/>
          <w:szCs w:val="21"/>
          <w:highlight w:val="none"/>
        </w:rPr>
        <w:t>；</w:t>
      </w:r>
    </w:p>
    <w:p w14:paraId="024AFADA">
      <w:pPr>
        <w:pageBreakBefore w:val="0"/>
        <w:widowControl w:val="0"/>
        <w:kinsoku/>
        <w:wordWrap/>
        <w:overflowPunct/>
        <w:topLinePunct w:val="0"/>
        <w:autoSpaceDE/>
        <w:autoSpaceDN/>
        <w:bidi w:val="0"/>
        <w:adjustRightInd/>
        <w:snapToGrid/>
        <w:spacing w:line="312" w:lineRule="auto"/>
        <w:ind w:firstLine="420" w:firstLineChars="200"/>
        <w:textAlignment w:val="auto"/>
        <w:rPr>
          <w:color w:val="auto"/>
          <w:sz w:val="21"/>
          <w:szCs w:val="21"/>
          <w:highlight w:val="none"/>
        </w:rPr>
      </w:pPr>
      <w:r>
        <w:rPr>
          <w:rFonts w:hAnsi="宋体"/>
          <w:color w:val="auto"/>
          <w:sz w:val="21"/>
          <w:szCs w:val="21"/>
          <w:highlight w:val="none"/>
        </w:rPr>
        <w:t>投保内容：</w:t>
      </w:r>
      <w:r>
        <w:rPr>
          <w:color w:val="auto"/>
          <w:sz w:val="21"/>
          <w:szCs w:val="21"/>
          <w:highlight w:val="none"/>
          <w:u w:val="single"/>
        </w:rPr>
        <w:t xml:space="preserve"> </w:t>
      </w:r>
      <w:r>
        <w:rPr>
          <w:rFonts w:hint="eastAsia"/>
          <w:color w:val="auto"/>
          <w:sz w:val="21"/>
          <w:szCs w:val="21"/>
          <w:highlight w:val="none"/>
          <w:u w:val="single"/>
        </w:rPr>
        <w:t>本合同工程的永久工程、临时工程和设备及已运至施工工地用于永久工程的材料和设备所投的保险</w:t>
      </w:r>
      <w:r>
        <w:rPr>
          <w:color w:val="auto"/>
          <w:sz w:val="21"/>
          <w:szCs w:val="21"/>
          <w:highlight w:val="none"/>
          <w:u w:val="single"/>
        </w:rPr>
        <w:t xml:space="preserve"> </w:t>
      </w:r>
      <w:r>
        <w:rPr>
          <w:rFonts w:hAnsi="宋体"/>
          <w:color w:val="auto"/>
          <w:sz w:val="21"/>
          <w:szCs w:val="21"/>
          <w:highlight w:val="none"/>
        </w:rPr>
        <w:t>；</w:t>
      </w:r>
    </w:p>
    <w:p w14:paraId="550D571F">
      <w:pPr>
        <w:pageBreakBefore w:val="0"/>
        <w:widowControl w:val="0"/>
        <w:kinsoku/>
        <w:wordWrap/>
        <w:overflowPunct/>
        <w:topLinePunct w:val="0"/>
        <w:autoSpaceDE/>
        <w:autoSpaceDN/>
        <w:bidi w:val="0"/>
        <w:adjustRightInd/>
        <w:snapToGrid/>
        <w:spacing w:line="312" w:lineRule="auto"/>
        <w:ind w:firstLine="420" w:firstLineChars="200"/>
        <w:textAlignment w:val="auto"/>
        <w:rPr>
          <w:color w:val="auto"/>
          <w:sz w:val="21"/>
          <w:szCs w:val="21"/>
          <w:highlight w:val="none"/>
        </w:rPr>
      </w:pPr>
      <w:r>
        <w:rPr>
          <w:rFonts w:hAnsi="宋体"/>
          <w:color w:val="auto"/>
          <w:sz w:val="21"/>
          <w:szCs w:val="21"/>
          <w:highlight w:val="none"/>
        </w:rPr>
        <w:t>保险金额、保险费率和保险期限：</w:t>
      </w:r>
      <w:r>
        <w:rPr>
          <w:color w:val="auto"/>
          <w:sz w:val="21"/>
          <w:szCs w:val="21"/>
          <w:highlight w:val="none"/>
          <w:u w:val="single"/>
        </w:rPr>
        <w:t xml:space="preserve"> </w:t>
      </w:r>
      <w:r>
        <w:rPr>
          <w:rFonts w:hint="eastAsia"/>
          <w:color w:val="auto"/>
          <w:sz w:val="21"/>
          <w:szCs w:val="21"/>
          <w:highlight w:val="none"/>
          <w:u w:val="single"/>
        </w:rPr>
        <w:t>开工日起至本合同工程签发缺陷责任期终止证书止（即合同工期+缺陷责任期）</w:t>
      </w:r>
      <w:r>
        <w:rPr>
          <w:rFonts w:hAnsi="宋体"/>
          <w:color w:val="auto"/>
          <w:sz w:val="21"/>
          <w:szCs w:val="21"/>
          <w:highlight w:val="none"/>
        </w:rPr>
        <w:t>。</w:t>
      </w:r>
    </w:p>
    <w:p w14:paraId="6A2AB7C4">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20.4 第三者责任险</w:t>
      </w:r>
    </w:p>
    <w:p w14:paraId="33E791CE">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20.4.1 </w:t>
      </w:r>
      <w:r>
        <w:rPr>
          <w:rFonts w:hAnsi="宋体"/>
          <w:sz w:val="21"/>
          <w:szCs w:val="21"/>
          <w:highlight w:val="none"/>
        </w:rPr>
        <w:t>　第三者责任险保险费率：</w:t>
      </w:r>
      <w:r>
        <w:rPr>
          <w:rFonts w:hint="eastAsia"/>
          <w:sz w:val="21"/>
          <w:szCs w:val="21"/>
          <w:highlight w:val="none"/>
          <w:u w:val="single"/>
        </w:rPr>
        <w:t>承包人根据情况自行投保，发包人不再另行支付</w:t>
      </w:r>
      <w:r>
        <w:rPr>
          <w:rFonts w:hAnsi="宋体"/>
          <w:sz w:val="21"/>
          <w:szCs w:val="21"/>
          <w:highlight w:val="none"/>
        </w:rPr>
        <w:t>；</w:t>
      </w:r>
    </w:p>
    <w:p w14:paraId="38721A63">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第三者责任险保险金额：</w:t>
      </w:r>
      <w:r>
        <w:rPr>
          <w:rFonts w:hint="eastAsia"/>
          <w:sz w:val="21"/>
          <w:szCs w:val="21"/>
          <w:highlight w:val="none"/>
          <w:u w:val="single"/>
        </w:rPr>
        <w:t>承包人根据情况自行投保，发包人不再另行支付</w:t>
      </w:r>
      <w:r>
        <w:rPr>
          <w:rFonts w:hAnsi="宋体"/>
          <w:sz w:val="21"/>
          <w:szCs w:val="21"/>
          <w:highlight w:val="none"/>
        </w:rPr>
        <w:t>。</w:t>
      </w:r>
    </w:p>
    <w:p w14:paraId="1520E9FF">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20.5 其它保险</w:t>
      </w:r>
    </w:p>
    <w:p w14:paraId="6056445A">
      <w:pPr>
        <w:pageBreakBefore w:val="0"/>
        <w:widowControl w:val="0"/>
        <w:kinsoku/>
        <w:wordWrap/>
        <w:overflowPunct/>
        <w:topLinePunct w:val="0"/>
        <w:autoSpaceDE/>
        <w:autoSpaceDN/>
        <w:bidi w:val="0"/>
        <w:adjustRightInd/>
        <w:snapToGrid/>
        <w:spacing w:line="312" w:lineRule="auto"/>
        <w:ind w:firstLine="420" w:firstLineChars="200"/>
        <w:textAlignment w:val="auto"/>
        <w:rPr>
          <w:color w:val="auto"/>
          <w:sz w:val="21"/>
          <w:szCs w:val="21"/>
          <w:highlight w:val="none"/>
        </w:rPr>
      </w:pPr>
      <w:r>
        <w:rPr>
          <w:rFonts w:hAnsi="宋体"/>
          <w:color w:val="auto"/>
          <w:sz w:val="21"/>
          <w:szCs w:val="21"/>
          <w:highlight w:val="none"/>
        </w:rPr>
        <w:t>需要投保的其它内容：</w:t>
      </w:r>
      <w:r>
        <w:rPr>
          <w:color w:val="auto"/>
          <w:sz w:val="21"/>
          <w:szCs w:val="21"/>
          <w:highlight w:val="none"/>
          <w:u w:val="single"/>
        </w:rPr>
        <w:t xml:space="preserve"> </w:t>
      </w:r>
      <w:r>
        <w:rPr>
          <w:rFonts w:hint="eastAsia"/>
          <w:color w:val="auto"/>
          <w:sz w:val="21"/>
          <w:szCs w:val="21"/>
          <w:highlight w:val="none"/>
          <w:u w:val="single"/>
        </w:rPr>
        <w:t xml:space="preserve">无 </w:t>
      </w:r>
      <w:r>
        <w:rPr>
          <w:color w:val="auto"/>
          <w:sz w:val="21"/>
          <w:szCs w:val="21"/>
          <w:highlight w:val="none"/>
          <w:u w:val="single"/>
        </w:rPr>
        <w:t xml:space="preserve"> </w:t>
      </w:r>
      <w:r>
        <w:rPr>
          <w:rFonts w:hAnsi="宋体"/>
          <w:color w:val="auto"/>
          <w:sz w:val="21"/>
          <w:szCs w:val="21"/>
          <w:highlight w:val="none"/>
        </w:rPr>
        <w:t>；</w:t>
      </w:r>
    </w:p>
    <w:p w14:paraId="17AAF523">
      <w:pPr>
        <w:pageBreakBefore w:val="0"/>
        <w:widowControl w:val="0"/>
        <w:kinsoku/>
        <w:wordWrap/>
        <w:overflowPunct/>
        <w:topLinePunct w:val="0"/>
        <w:autoSpaceDE/>
        <w:autoSpaceDN/>
        <w:bidi w:val="0"/>
        <w:adjustRightInd/>
        <w:snapToGrid/>
        <w:spacing w:line="312" w:lineRule="auto"/>
        <w:ind w:firstLine="420" w:firstLineChars="200"/>
        <w:textAlignment w:val="auto"/>
        <w:rPr>
          <w:color w:val="auto"/>
          <w:sz w:val="21"/>
          <w:szCs w:val="21"/>
          <w:highlight w:val="none"/>
        </w:rPr>
      </w:pPr>
      <w:r>
        <w:rPr>
          <w:rFonts w:hAnsi="宋体"/>
          <w:color w:val="auto"/>
          <w:sz w:val="21"/>
          <w:szCs w:val="21"/>
          <w:highlight w:val="none"/>
        </w:rPr>
        <w:t>保险金额、保险费率和保险期限：</w:t>
      </w:r>
      <w:r>
        <w:rPr>
          <w:color w:val="auto"/>
          <w:sz w:val="21"/>
          <w:szCs w:val="21"/>
          <w:highlight w:val="none"/>
          <w:u w:val="single"/>
        </w:rPr>
        <w:t xml:space="preserve">   </w:t>
      </w:r>
      <w:r>
        <w:rPr>
          <w:rFonts w:hint="eastAsia"/>
          <w:color w:val="auto"/>
          <w:sz w:val="21"/>
          <w:szCs w:val="21"/>
          <w:highlight w:val="none"/>
          <w:u w:val="single"/>
        </w:rPr>
        <w:t>不适用</w:t>
      </w:r>
      <w:r>
        <w:rPr>
          <w:color w:val="auto"/>
          <w:sz w:val="21"/>
          <w:szCs w:val="21"/>
          <w:highlight w:val="none"/>
          <w:u w:val="single"/>
        </w:rPr>
        <w:t xml:space="preserve">   </w:t>
      </w:r>
      <w:r>
        <w:rPr>
          <w:rFonts w:hAnsi="宋体"/>
          <w:color w:val="auto"/>
          <w:sz w:val="21"/>
          <w:szCs w:val="21"/>
          <w:highlight w:val="none"/>
        </w:rPr>
        <w:t>。</w:t>
      </w:r>
    </w:p>
    <w:p w14:paraId="1DE54E95">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color w:val="auto"/>
          <w:sz w:val="21"/>
          <w:szCs w:val="21"/>
          <w:highlight w:val="none"/>
        </w:rPr>
      </w:pPr>
      <w:r>
        <w:rPr>
          <w:rFonts w:ascii="宋体" w:hAnsi="Times New Roman" w:eastAsia="宋体" w:cs="Times New Roman"/>
          <w:b/>
          <w:bCs/>
          <w:color w:val="auto"/>
          <w:sz w:val="21"/>
          <w:szCs w:val="21"/>
          <w:highlight w:val="none"/>
        </w:rPr>
        <w:t>20.6 对各项保险的一般要求</w:t>
      </w:r>
    </w:p>
    <w:p w14:paraId="24B514BE">
      <w:pPr>
        <w:pageBreakBefore w:val="0"/>
        <w:widowControl w:val="0"/>
        <w:kinsoku/>
        <w:wordWrap/>
        <w:overflowPunct/>
        <w:topLinePunct w:val="0"/>
        <w:autoSpaceDE/>
        <w:autoSpaceDN/>
        <w:bidi w:val="0"/>
        <w:adjustRightInd/>
        <w:snapToGrid/>
        <w:spacing w:line="312" w:lineRule="auto"/>
        <w:ind w:firstLine="420" w:firstLineChars="200"/>
        <w:textAlignment w:val="auto"/>
        <w:rPr>
          <w:color w:val="auto"/>
          <w:sz w:val="21"/>
          <w:szCs w:val="21"/>
          <w:highlight w:val="none"/>
        </w:rPr>
      </w:pPr>
      <w:r>
        <w:rPr>
          <w:color w:val="auto"/>
          <w:sz w:val="21"/>
          <w:szCs w:val="21"/>
          <w:highlight w:val="none"/>
        </w:rPr>
        <w:t xml:space="preserve">20.6.1 </w:t>
      </w:r>
      <w:r>
        <w:rPr>
          <w:rFonts w:hAnsi="宋体"/>
          <w:color w:val="auto"/>
          <w:sz w:val="21"/>
          <w:szCs w:val="21"/>
          <w:highlight w:val="none"/>
        </w:rPr>
        <w:t>保险凭证</w:t>
      </w:r>
    </w:p>
    <w:p w14:paraId="330626CE">
      <w:pPr>
        <w:pageBreakBefore w:val="0"/>
        <w:widowControl w:val="0"/>
        <w:kinsoku/>
        <w:wordWrap/>
        <w:overflowPunct/>
        <w:topLinePunct w:val="0"/>
        <w:autoSpaceDE/>
        <w:autoSpaceDN/>
        <w:bidi w:val="0"/>
        <w:adjustRightInd/>
        <w:snapToGrid/>
        <w:spacing w:line="312" w:lineRule="auto"/>
        <w:ind w:firstLine="420" w:firstLineChars="200"/>
        <w:textAlignment w:val="auto"/>
        <w:rPr>
          <w:color w:val="auto"/>
          <w:sz w:val="21"/>
          <w:szCs w:val="21"/>
          <w:highlight w:val="none"/>
        </w:rPr>
      </w:pPr>
      <w:r>
        <w:rPr>
          <w:rFonts w:hAnsi="宋体"/>
          <w:color w:val="auto"/>
          <w:sz w:val="21"/>
          <w:szCs w:val="21"/>
          <w:highlight w:val="none"/>
        </w:rPr>
        <w:t>承包人提交保险凭证的期限：</w:t>
      </w:r>
      <w:r>
        <w:rPr>
          <w:color w:val="auto"/>
          <w:sz w:val="21"/>
          <w:szCs w:val="21"/>
          <w:highlight w:val="none"/>
          <w:u w:val="single"/>
        </w:rPr>
        <w:t xml:space="preserve">  </w:t>
      </w:r>
      <w:r>
        <w:rPr>
          <w:rFonts w:hint="eastAsia"/>
          <w:color w:val="auto"/>
          <w:sz w:val="21"/>
          <w:szCs w:val="21"/>
          <w:highlight w:val="none"/>
          <w:u w:val="single"/>
        </w:rPr>
        <w:t>开工后</w:t>
      </w:r>
      <w:r>
        <w:rPr>
          <w:rFonts w:hint="eastAsia"/>
          <w:color w:val="auto"/>
          <w:sz w:val="21"/>
          <w:szCs w:val="21"/>
          <w:highlight w:val="none"/>
          <w:u w:val="single"/>
          <w:lang w:val="en-US" w:eastAsia="zh-CN"/>
        </w:rPr>
        <w:t>30</w:t>
      </w:r>
      <w:r>
        <w:rPr>
          <w:rFonts w:hint="eastAsia"/>
          <w:color w:val="auto"/>
          <w:sz w:val="21"/>
          <w:szCs w:val="21"/>
          <w:highlight w:val="none"/>
          <w:u w:val="single"/>
        </w:rPr>
        <w:t>天内</w:t>
      </w:r>
      <w:r>
        <w:rPr>
          <w:color w:val="auto"/>
          <w:sz w:val="21"/>
          <w:szCs w:val="21"/>
          <w:highlight w:val="none"/>
          <w:u w:val="single"/>
        </w:rPr>
        <w:t xml:space="preserve">  </w:t>
      </w:r>
      <w:r>
        <w:rPr>
          <w:rFonts w:hAnsi="宋体"/>
          <w:color w:val="auto"/>
          <w:sz w:val="21"/>
          <w:szCs w:val="21"/>
          <w:highlight w:val="none"/>
        </w:rPr>
        <w:t>。</w:t>
      </w:r>
    </w:p>
    <w:p w14:paraId="7BCBEA1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hAnsi="宋体"/>
          <w:sz w:val="21"/>
          <w:szCs w:val="21"/>
          <w:highlight w:val="none"/>
        </w:rPr>
      </w:pPr>
      <w:r>
        <w:rPr>
          <w:sz w:val="21"/>
          <w:szCs w:val="21"/>
          <w:highlight w:val="none"/>
        </w:rPr>
        <w:t xml:space="preserve">20.6.4 </w:t>
      </w:r>
      <w:r>
        <w:rPr>
          <w:rFonts w:hAnsi="宋体"/>
          <w:sz w:val="21"/>
          <w:szCs w:val="21"/>
          <w:highlight w:val="none"/>
        </w:rPr>
        <w:t>保险金不足的补偿</w:t>
      </w:r>
    </w:p>
    <w:p w14:paraId="4992A6C9">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int="eastAsia" w:hAnsi="宋体"/>
          <w:sz w:val="21"/>
          <w:szCs w:val="21"/>
          <w:highlight w:val="none"/>
        </w:rPr>
        <w:t>保险金不足以补偿损失的（包括免赔额和超过赔偿限额部分），由承包人和发包人协商确定补偿。</w:t>
      </w:r>
    </w:p>
    <w:p w14:paraId="7B85A43C">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41" w:name="_Toc265408534"/>
      <w:r>
        <w:rPr>
          <w:rFonts w:ascii="宋体" w:hAnsi="Times New Roman" w:eastAsia="宋体" w:cs="Times New Roman"/>
          <w:b/>
          <w:bCs/>
          <w:sz w:val="21"/>
          <w:szCs w:val="21"/>
          <w:highlight w:val="none"/>
        </w:rPr>
        <w:t>24 争议的解决</w:t>
      </w:r>
      <w:bookmarkEnd w:id="41"/>
    </w:p>
    <w:p w14:paraId="1C89A2D6">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24.1 争议的解决方式</w:t>
      </w:r>
    </w:p>
    <w:p w14:paraId="5753F0BD">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u w:val="none"/>
        </w:rPr>
      </w:pPr>
      <w:r>
        <w:rPr>
          <w:rFonts w:hAnsi="宋体"/>
          <w:sz w:val="21"/>
          <w:szCs w:val="21"/>
          <w:highlight w:val="none"/>
        </w:rPr>
        <w:t>合同当事人友好协商解决不成、不愿提请争议评审或不接受争议评审组意见的，约定的合同争议解决方式：</w:t>
      </w:r>
      <w:r>
        <w:rPr>
          <w:rFonts w:hint="eastAsia"/>
          <w:sz w:val="21"/>
          <w:szCs w:val="21"/>
          <w:highlight w:val="none"/>
          <w:u w:val="single"/>
        </w:rPr>
        <w:t>向工程所在地仲裁委员会申请仲裁</w:t>
      </w:r>
      <w:r>
        <w:rPr>
          <w:rFonts w:hint="eastAsia"/>
          <w:sz w:val="21"/>
          <w:szCs w:val="21"/>
          <w:highlight w:val="none"/>
          <w:u w:val="single"/>
          <w:lang w:val="en-US" w:eastAsia="zh-CN"/>
        </w:rPr>
        <w:t>或向</w:t>
      </w:r>
      <w:r>
        <w:rPr>
          <w:rFonts w:hint="eastAsia"/>
          <w:sz w:val="21"/>
          <w:szCs w:val="21"/>
          <w:highlight w:val="none"/>
          <w:u w:val="single"/>
        </w:rPr>
        <w:t>工程所在地</w:t>
      </w:r>
      <w:r>
        <w:rPr>
          <w:rFonts w:hint="eastAsia"/>
          <w:sz w:val="21"/>
          <w:szCs w:val="21"/>
          <w:highlight w:val="none"/>
          <w:u w:val="single"/>
          <w:lang w:val="en-US" w:eastAsia="zh-CN"/>
        </w:rPr>
        <w:t>人民法院提起诉讼</w:t>
      </w:r>
      <w:r>
        <w:rPr>
          <w:rFonts w:hint="eastAsia"/>
          <w:sz w:val="21"/>
          <w:szCs w:val="21"/>
          <w:highlight w:val="none"/>
          <w:u w:val="none"/>
        </w:rPr>
        <w:t>。</w:t>
      </w:r>
    </w:p>
    <w:p w14:paraId="72532B25">
      <w:pPr>
        <w:pageBreakBefore w:val="0"/>
        <w:widowControl w:val="0"/>
        <w:kinsoku/>
        <w:wordWrap/>
        <w:overflowPunct/>
        <w:topLinePunct w:val="0"/>
        <w:autoSpaceDE/>
        <w:autoSpaceDN/>
        <w:bidi w:val="0"/>
        <w:adjustRightInd/>
        <w:snapToGrid/>
        <w:spacing w:line="324" w:lineRule="auto"/>
        <w:textAlignment w:val="auto"/>
        <w:rPr>
          <w:rFonts w:hAnsi="宋体"/>
          <w:sz w:val="21"/>
          <w:szCs w:val="21"/>
          <w:highlight w:val="none"/>
        </w:rPr>
      </w:pPr>
    </w:p>
    <w:p w14:paraId="0600D305">
      <w:pPr>
        <w:pStyle w:val="2"/>
        <w:rPr>
          <w:rFonts w:hAnsi="宋体"/>
          <w:sz w:val="21"/>
          <w:szCs w:val="21"/>
          <w:highlight w:val="none"/>
        </w:rPr>
      </w:pPr>
    </w:p>
    <w:p w14:paraId="6C086670">
      <w:pPr>
        <w:pStyle w:val="2"/>
        <w:rPr>
          <w:rFonts w:hAnsi="宋体"/>
          <w:sz w:val="21"/>
          <w:szCs w:val="21"/>
          <w:highlight w:val="none"/>
        </w:rPr>
      </w:pPr>
    </w:p>
    <w:p w14:paraId="780E2599">
      <w:pPr>
        <w:pStyle w:val="2"/>
        <w:rPr>
          <w:rFonts w:hAnsi="宋体"/>
          <w:sz w:val="21"/>
          <w:szCs w:val="21"/>
          <w:highlight w:val="none"/>
        </w:rPr>
      </w:pPr>
    </w:p>
    <w:p w14:paraId="4C2520C2">
      <w:pPr>
        <w:pStyle w:val="2"/>
        <w:rPr>
          <w:rFonts w:hAnsi="宋体"/>
          <w:sz w:val="21"/>
          <w:szCs w:val="21"/>
          <w:highlight w:val="none"/>
        </w:rPr>
      </w:pPr>
    </w:p>
    <w:p w14:paraId="474E43B1">
      <w:pPr>
        <w:pStyle w:val="2"/>
        <w:rPr>
          <w:rFonts w:hAnsi="宋体"/>
          <w:sz w:val="21"/>
          <w:szCs w:val="21"/>
          <w:highlight w:val="none"/>
        </w:rPr>
      </w:pPr>
    </w:p>
    <w:p w14:paraId="417F2917">
      <w:pPr>
        <w:pStyle w:val="2"/>
        <w:rPr>
          <w:rFonts w:hAnsi="宋体"/>
          <w:sz w:val="21"/>
          <w:szCs w:val="21"/>
          <w:highlight w:val="none"/>
        </w:rPr>
      </w:pPr>
    </w:p>
    <w:p w14:paraId="2006A3A5">
      <w:pPr>
        <w:pStyle w:val="2"/>
        <w:rPr>
          <w:rFonts w:hAnsi="宋体"/>
          <w:sz w:val="21"/>
          <w:szCs w:val="21"/>
          <w:highlight w:val="none"/>
        </w:rPr>
      </w:pPr>
    </w:p>
    <w:p w14:paraId="1368E0B0">
      <w:pPr>
        <w:pStyle w:val="2"/>
        <w:rPr>
          <w:rFonts w:hAnsi="宋体"/>
          <w:sz w:val="21"/>
          <w:szCs w:val="21"/>
          <w:highlight w:val="none"/>
        </w:rPr>
      </w:pPr>
    </w:p>
    <w:p w14:paraId="3BBCFF4D">
      <w:pPr>
        <w:pStyle w:val="2"/>
        <w:rPr>
          <w:rFonts w:hAnsi="宋体"/>
          <w:sz w:val="21"/>
          <w:szCs w:val="21"/>
          <w:highlight w:val="none"/>
        </w:rPr>
      </w:pPr>
    </w:p>
    <w:p w14:paraId="3A5EBF2B">
      <w:pPr>
        <w:pStyle w:val="2"/>
        <w:rPr>
          <w:rFonts w:hAnsi="宋体"/>
          <w:sz w:val="21"/>
          <w:szCs w:val="21"/>
          <w:highlight w:val="none"/>
        </w:rPr>
      </w:pPr>
    </w:p>
    <w:p w14:paraId="6B321D67">
      <w:pPr>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br w:type="page"/>
      </w:r>
    </w:p>
    <w:p w14:paraId="7587CE46">
      <w:pPr>
        <w:pStyle w:val="11"/>
        <w:outlineLvl w:val="0"/>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 xml:space="preserve">附件一： </w:t>
      </w:r>
    </w:p>
    <w:p w14:paraId="09644116">
      <w:pPr>
        <w:pStyle w:val="11"/>
        <w:jc w:val="center"/>
        <w:outlineLvl w:val="0"/>
        <w:rPr>
          <w:rFonts w:hint="eastAsia" w:ascii="宋体" w:hAnsi="宋体" w:eastAsia="宋体" w:cs="宋体"/>
          <w:b/>
          <w:bCs/>
          <w:color w:val="000000"/>
          <w:sz w:val="28"/>
          <w:szCs w:val="21"/>
          <w:lang w:val="en-US" w:eastAsia="zh-CN"/>
        </w:rPr>
      </w:pPr>
      <w:r>
        <w:rPr>
          <w:rFonts w:hint="eastAsia" w:ascii="宋体" w:hAnsi="宋体" w:eastAsia="宋体" w:cs="宋体"/>
          <w:b/>
          <w:bCs/>
          <w:color w:val="000000"/>
          <w:sz w:val="28"/>
          <w:szCs w:val="21"/>
          <w:lang w:val="en-US" w:eastAsia="zh-CN"/>
        </w:rPr>
        <w:t>工程质量保修书</w:t>
      </w:r>
    </w:p>
    <w:p w14:paraId="7F655C6C">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default"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发包人 (全称)：</w:t>
      </w:r>
      <w:r>
        <w:rPr>
          <w:rFonts w:hint="eastAsia" w:ascii="宋体" w:hAnsi="宋体" w:eastAsia="宋体" w:cs="宋体"/>
          <w:color w:val="000000"/>
          <w:szCs w:val="21"/>
          <w:u w:val="single"/>
          <w:lang w:val="en-US" w:eastAsia="zh-CN"/>
        </w:rPr>
        <w:t xml:space="preserve">                       </w:t>
      </w:r>
    </w:p>
    <w:p w14:paraId="3B9670B0">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承包人（全称）：</w:t>
      </w:r>
      <w:r>
        <w:rPr>
          <w:rFonts w:hint="eastAsia" w:ascii="宋体" w:hAnsi="宋体" w:eastAsia="宋体" w:cs="宋体"/>
          <w:color w:val="000000"/>
          <w:szCs w:val="21"/>
          <w:u w:val="single"/>
          <w:lang w:val="en-US" w:eastAsia="zh-CN"/>
        </w:rPr>
        <w:t xml:space="preserve">                       </w:t>
      </w:r>
    </w:p>
    <w:p w14:paraId="5B67A1FF">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为保证</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lang w:val="en-US" w:eastAsia="zh-CN"/>
        </w:rPr>
        <w:t xml:space="preserve">（项目名称）在合理使用期限内正常使用，发包人、承包人协商一致签订工程质量保修书。承包人在质量保修期内按照有关管理规定及双方约定承担工程质量保修责任。 </w:t>
      </w:r>
    </w:p>
    <w:p w14:paraId="48DDA983">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一、工程质量保修范围和内容 </w:t>
      </w:r>
    </w:p>
    <w:p w14:paraId="30A76B07">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具体质量保修内容双方约定如下：执行国务院279号令《建筑工程质量管理条例》规定的保修内容。 </w:t>
      </w:r>
    </w:p>
    <w:p w14:paraId="2677D22A">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二、质量保修期 </w:t>
      </w:r>
    </w:p>
    <w:p w14:paraId="5F143385">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auto"/>
          <w:szCs w:val="21"/>
          <w:lang w:val="en-US" w:eastAsia="zh-CN"/>
        </w:rPr>
      </w:pPr>
      <w:r>
        <w:rPr>
          <w:rFonts w:hint="eastAsia" w:ascii="宋体" w:hAnsi="宋体" w:cs="宋体"/>
          <w:color w:val="auto"/>
          <w:u w:val="single"/>
          <w:lang w:eastAsia="zh-CN"/>
        </w:rPr>
        <w:t>合同工程完工验收合格之日起12个月</w:t>
      </w:r>
      <w:r>
        <w:rPr>
          <w:rFonts w:hint="eastAsia" w:ascii="宋体" w:hAnsi="宋体" w:eastAsia="宋体" w:cs="宋体"/>
          <w:color w:val="auto"/>
          <w:u w:val="single"/>
          <w:lang w:eastAsia="zh-CN"/>
        </w:rPr>
        <w:t>，</w:t>
      </w:r>
      <w:r>
        <w:rPr>
          <w:rFonts w:hint="eastAsia" w:ascii="宋体" w:hAnsi="宋体" w:eastAsia="宋体" w:cs="宋体"/>
          <w:color w:val="auto"/>
          <w:sz w:val="21"/>
          <w:szCs w:val="21"/>
          <w:highlight w:val="none"/>
          <w:u w:val="single"/>
          <w:lang w:val="en-US" w:eastAsia="zh-CN"/>
        </w:rPr>
        <w:t>保修范围、保修期限按合同约定和法律法规执行</w:t>
      </w:r>
      <w:r>
        <w:rPr>
          <w:rFonts w:hint="eastAsia" w:ascii="宋体" w:hAnsi="宋体" w:eastAsia="宋体" w:cs="宋体"/>
          <w:color w:val="auto"/>
          <w:szCs w:val="21"/>
          <w:lang w:val="en-US" w:eastAsia="zh-CN"/>
        </w:rPr>
        <w:t>。</w:t>
      </w:r>
    </w:p>
    <w:p w14:paraId="64E1B0E1">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三、质量保修责任 </w:t>
      </w:r>
    </w:p>
    <w:p w14:paraId="23125740">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1、属于保修范围和内容的项目，承包人应在接到修理通知之日后 7 天内派人修理。承包人不在约定期限内派人修理，发包人可委托其他人员修理，保修费用从质量保修金内扣除。 </w:t>
      </w:r>
    </w:p>
    <w:p w14:paraId="3B16CD2B">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2、发生须紧急抢修事故（如上水跑水、暖气漏水漏气、燃气漏气等），承包人接到事故通知后，应立即到达事故现场抢修。非承包人施工质量引起的事故，抢修费用由发包人承 担。 </w:t>
      </w:r>
    </w:p>
    <w:p w14:paraId="3EEDDE27">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3、在国家规定的工程合理使用期限内，承包人确保地基基础工程和主体结构的质量。因承包人原因致使工程在合理使用期限内造成人身和财产损害的，承包人应承担损害赔偿责 任。 </w:t>
      </w:r>
    </w:p>
    <w:p w14:paraId="6558F1E7">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四、质量保修费用 </w:t>
      </w:r>
    </w:p>
    <w:p w14:paraId="2B0488C3">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保修费用由造成质量缺陷的责任方承担。 </w:t>
      </w:r>
    </w:p>
    <w:p w14:paraId="1B7F3F24">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五、其他 </w:t>
      </w:r>
    </w:p>
    <w:p w14:paraId="6B52710B">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双方约定的其他工程质量保修事项：</w:t>
      </w:r>
      <w:r>
        <w:rPr>
          <w:rFonts w:hint="eastAsia" w:ascii="宋体" w:hAnsi="宋体" w:eastAsia="宋体" w:cs="宋体"/>
          <w:color w:val="000000"/>
          <w:szCs w:val="21"/>
          <w:u w:val="single"/>
          <w:lang w:val="en-US" w:eastAsia="zh-CN"/>
        </w:rPr>
        <w:t xml:space="preserve">                            </w:t>
      </w:r>
    </w:p>
    <w:p w14:paraId="77E521BB">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本工程质量保修书，由施工合同发包人、承包人在竣工验收前共同签署，做为施工合同附件，其有效期限至保修期满。</w:t>
      </w:r>
    </w:p>
    <w:p w14:paraId="3E654A92">
      <w:pPr>
        <w:pStyle w:val="7"/>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15"/>
          <w:szCs w:val="15"/>
        </w:rPr>
      </w:pPr>
    </w:p>
    <w:tbl>
      <w:tblPr>
        <w:tblStyle w:val="8"/>
        <w:tblW w:w="8839" w:type="dxa"/>
        <w:tblInd w:w="0" w:type="dxa"/>
        <w:tblLayout w:type="fixed"/>
        <w:tblCellMar>
          <w:top w:w="0" w:type="dxa"/>
          <w:left w:w="108" w:type="dxa"/>
          <w:bottom w:w="0" w:type="dxa"/>
          <w:right w:w="108" w:type="dxa"/>
        </w:tblCellMar>
      </w:tblPr>
      <w:tblGrid>
        <w:gridCol w:w="4399"/>
        <w:gridCol w:w="4440"/>
      </w:tblGrid>
      <w:tr w14:paraId="5DA03766">
        <w:tblPrEx>
          <w:tblCellMar>
            <w:top w:w="0" w:type="dxa"/>
            <w:left w:w="108" w:type="dxa"/>
            <w:bottom w:w="0" w:type="dxa"/>
            <w:right w:w="108" w:type="dxa"/>
          </w:tblCellMar>
        </w:tblPrEx>
        <w:trPr>
          <w:trHeight w:val="639" w:hRule="atLeast"/>
        </w:trPr>
        <w:tc>
          <w:tcPr>
            <w:tcW w:w="4399" w:type="dxa"/>
            <w:noWrap w:val="0"/>
            <w:vAlign w:val="center"/>
          </w:tcPr>
          <w:p w14:paraId="71D08810">
            <w:pPr>
              <w:keepNext w:val="0"/>
              <w:keepLines w:val="0"/>
              <w:pageBreakBefore w:val="0"/>
              <w:widowControl w:val="0"/>
              <w:tabs>
                <w:tab w:val="left" w:pos="5760"/>
              </w:tabs>
              <w:kinsoku/>
              <w:wordWrap/>
              <w:overflowPunct/>
              <w:topLinePunct w:val="0"/>
              <w:autoSpaceDE/>
              <w:autoSpaceDN/>
              <w:bidi w:val="0"/>
              <w:adjustRightInd/>
              <w:snapToGrid/>
              <w:spacing w:line="312" w:lineRule="auto"/>
              <w:ind w:left="840" w:hanging="735" w:hangingChars="3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c>
          <w:tcPr>
            <w:tcW w:w="4440" w:type="dxa"/>
            <w:noWrap w:val="0"/>
            <w:vAlign w:val="center"/>
          </w:tcPr>
          <w:p w14:paraId="33B1EF66">
            <w:pPr>
              <w:keepNext w:val="0"/>
              <w:keepLines w:val="0"/>
              <w:pageBreakBefore w:val="0"/>
              <w:widowControl w:val="0"/>
              <w:tabs>
                <w:tab w:val="left" w:pos="5760"/>
              </w:tabs>
              <w:kinsoku/>
              <w:wordWrap/>
              <w:overflowPunct/>
              <w:topLinePunct w:val="0"/>
              <w:autoSpaceDE/>
              <w:autoSpaceDN/>
              <w:bidi w:val="0"/>
              <w:adjustRightInd/>
              <w:snapToGrid/>
              <w:spacing w:line="312" w:lineRule="auto"/>
              <w:ind w:left="762" w:leftChars="313" w:hanging="105" w:hanging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r>
      <w:tr w14:paraId="60C654D4">
        <w:tblPrEx>
          <w:tblCellMar>
            <w:top w:w="0" w:type="dxa"/>
            <w:left w:w="108" w:type="dxa"/>
            <w:bottom w:w="0" w:type="dxa"/>
            <w:right w:w="108" w:type="dxa"/>
          </w:tblCellMar>
        </w:tblPrEx>
        <w:trPr>
          <w:trHeight w:val="639" w:hRule="atLeast"/>
        </w:trPr>
        <w:tc>
          <w:tcPr>
            <w:tcW w:w="4399" w:type="dxa"/>
            <w:noWrap w:val="0"/>
            <w:vAlign w:val="center"/>
          </w:tcPr>
          <w:p w14:paraId="5E84991C">
            <w:pPr>
              <w:keepNext w:val="0"/>
              <w:keepLines w:val="0"/>
              <w:pageBreakBefore w:val="0"/>
              <w:widowControl w:val="0"/>
              <w:tabs>
                <w:tab w:val="left" w:pos="5760"/>
              </w:tabs>
              <w:kinsoku/>
              <w:wordWrap/>
              <w:overflowPunct/>
              <w:topLinePunct w:val="0"/>
              <w:autoSpaceDE/>
              <w:autoSpaceDN/>
              <w:bidi w:val="0"/>
              <w:adjustRightInd/>
              <w:snapToGrid/>
              <w:spacing w:line="312" w:lineRule="auto"/>
              <w:ind w:left="840" w:hanging="735" w:hangingChars="35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                            </w:t>
            </w:r>
          </w:p>
        </w:tc>
        <w:tc>
          <w:tcPr>
            <w:tcW w:w="4440" w:type="dxa"/>
            <w:noWrap w:val="0"/>
            <w:vAlign w:val="center"/>
          </w:tcPr>
          <w:p w14:paraId="27D54200">
            <w:pPr>
              <w:keepNext w:val="0"/>
              <w:keepLines w:val="0"/>
              <w:pageBreakBefore w:val="0"/>
              <w:widowControl w:val="0"/>
              <w:tabs>
                <w:tab w:val="left" w:pos="5760"/>
              </w:tabs>
              <w:kinsoku/>
              <w:wordWrap/>
              <w:overflowPunct/>
              <w:topLinePunct w:val="0"/>
              <w:autoSpaceDE/>
              <w:autoSpaceDN/>
              <w:bidi w:val="0"/>
              <w:adjustRightInd/>
              <w:snapToGrid/>
              <w:spacing w:line="312" w:lineRule="auto"/>
              <w:ind w:firstLine="630" w:firstLineChars="3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w:t>
            </w:r>
          </w:p>
        </w:tc>
      </w:tr>
      <w:tr w14:paraId="312626CD">
        <w:tblPrEx>
          <w:tblCellMar>
            <w:top w:w="0" w:type="dxa"/>
            <w:left w:w="108" w:type="dxa"/>
            <w:bottom w:w="0" w:type="dxa"/>
            <w:right w:w="108" w:type="dxa"/>
          </w:tblCellMar>
        </w:tblPrEx>
        <w:trPr>
          <w:trHeight w:val="754" w:hRule="atLeast"/>
        </w:trPr>
        <w:tc>
          <w:tcPr>
            <w:tcW w:w="4399" w:type="dxa"/>
            <w:noWrap w:val="0"/>
            <w:vAlign w:val="center"/>
          </w:tcPr>
          <w:p w14:paraId="193B23EE">
            <w:pPr>
              <w:keepNext w:val="0"/>
              <w:keepLines w:val="0"/>
              <w:pageBreakBefore w:val="0"/>
              <w:widowControl w:val="0"/>
              <w:tabs>
                <w:tab w:val="left" w:pos="5760"/>
              </w:tabs>
              <w:kinsoku/>
              <w:wordWrap/>
              <w:overflowPunct/>
              <w:topLinePunct w:val="0"/>
              <w:autoSpaceDE/>
              <w:autoSpaceDN/>
              <w:bidi w:val="0"/>
              <w:adjustRightInd/>
              <w:snapToGrid/>
              <w:spacing w:line="312" w:lineRule="auto"/>
              <w:ind w:left="840" w:hanging="735" w:hangingChars="3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c>
          <w:tcPr>
            <w:tcW w:w="4440" w:type="dxa"/>
            <w:noWrap w:val="0"/>
            <w:vAlign w:val="center"/>
          </w:tcPr>
          <w:p w14:paraId="3CAFD204">
            <w:pPr>
              <w:keepNext w:val="0"/>
              <w:keepLines w:val="0"/>
              <w:pageBreakBefore w:val="0"/>
              <w:widowControl w:val="0"/>
              <w:tabs>
                <w:tab w:val="left" w:pos="5760"/>
              </w:tabs>
              <w:kinsoku/>
              <w:wordWrap/>
              <w:overflowPunct/>
              <w:topLinePunct w:val="0"/>
              <w:autoSpaceDE/>
              <w:autoSpaceDN/>
              <w:bidi w:val="0"/>
              <w:adjustRightInd/>
              <w:snapToGrid/>
              <w:spacing w:line="312" w:lineRule="auto"/>
              <w:ind w:firstLine="840" w:firstLineChars="4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r>
    </w:tbl>
    <w:p w14:paraId="022F15CF">
      <w:pPr>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br w:type="page"/>
      </w:r>
    </w:p>
    <w:p w14:paraId="5A391B1B">
      <w:pPr>
        <w:pStyle w:val="11"/>
        <w:pageBreakBefore w:val="0"/>
        <w:widowControl w:val="0"/>
        <w:kinsoku/>
        <w:wordWrap/>
        <w:overflowPunct/>
        <w:topLinePunct w:val="0"/>
        <w:bidi w:val="0"/>
        <w:snapToGrid/>
        <w:spacing w:line="336" w:lineRule="auto"/>
        <w:textAlignment w:val="auto"/>
        <w:outlineLvl w:val="0"/>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附件二：</w:t>
      </w:r>
    </w:p>
    <w:p w14:paraId="34B47804">
      <w:pPr>
        <w:pageBreakBefore w:val="0"/>
        <w:widowControl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000000"/>
          <w:sz w:val="24"/>
          <w:lang w:val="en-US" w:eastAsia="zh-CN"/>
        </w:rPr>
      </w:pPr>
      <w:r>
        <w:rPr>
          <w:rFonts w:hint="eastAsia" w:ascii="宋体" w:hAnsi="宋体" w:eastAsia="宋体" w:cs="宋体"/>
          <w:b/>
          <w:bCs/>
          <w:color w:val="000000"/>
          <w:kern w:val="2"/>
          <w:sz w:val="28"/>
          <w:szCs w:val="21"/>
          <w:lang w:val="en-US" w:eastAsia="zh-CN" w:bidi="ar-SA"/>
        </w:rPr>
        <w:t>建设工程廉政责任书</w:t>
      </w:r>
    </w:p>
    <w:p w14:paraId="295C80E7">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发包人(全称)：</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lang w:val="en-US" w:eastAsia="zh-CN"/>
        </w:rPr>
        <w:t xml:space="preserve">（以下简称甲方） </w:t>
      </w:r>
    </w:p>
    <w:p w14:paraId="40A15545">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承包人(全称)：</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lang w:val="en-US" w:eastAsia="zh-CN"/>
        </w:rPr>
        <w:t xml:space="preserve">（以下简称乙方） </w:t>
      </w:r>
    </w:p>
    <w:p w14:paraId="0B66D33D">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为加强工程建设中的廉政建设，规范工程建设中的各项活动，防止发生各种谋取不正当利益的违法乱纪行为，保护国家、集体和当事人的合法权益，根据国家有关工程建设的法律法规和廉政建设责任制规定，甲乙双方特订立本廉政责任书。 </w:t>
      </w:r>
    </w:p>
    <w:p w14:paraId="67BF57BC">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第一条 甲、乙双方的责任</w:t>
      </w:r>
    </w:p>
    <w:p w14:paraId="7136723C">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(一)应严格遵守国家关于市场准入、项目招标投标、工程建设、工程施工和市场活动的有关法律、法规，相关政策，以及廉政建设的各项规定。 </w:t>
      </w:r>
    </w:p>
    <w:p w14:paraId="4E30B07F">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(二)严格执行建设工程项目施工合同文件，自觉按合同办事。 </w:t>
      </w:r>
    </w:p>
    <w:p w14:paraId="6277AE6E">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(三)业务活动必须持公开、公平、公正、诚信、透明的原则(除法律法规另有规定者外)，不得为获取不正当的利益，损害国家、集体和对方利益，不得违反工程建设管理的规章制度。 </w:t>
      </w:r>
    </w:p>
    <w:p w14:paraId="0FA1C901">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(四)发现对方在业务活动中有违规、违纪、违法行为的、应及时提醒对方，情节严重的，应向其上级主管部门或纪检监察、司法等有关机关举报。 </w:t>
      </w:r>
    </w:p>
    <w:p w14:paraId="4D1C1789">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第二条 甲方的责任 </w:t>
      </w:r>
    </w:p>
    <w:p w14:paraId="190AAF52">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甲方的领导和从事该建设工程项目的工作人员在工程建设的事前、事中、事后应遵守以下规定： </w:t>
      </w:r>
    </w:p>
    <w:p w14:paraId="4DB1ABA5">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(一)不准向乙方和相关单位索要或接受回扣、礼金、有价证券、贵重物品和好处费、感谢费等。 </w:t>
      </w:r>
    </w:p>
    <w:p w14:paraId="649E19C1">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(二)不准在乙方和相关单位报销任何应由甲方或个人支付的费用。 </w:t>
      </w:r>
    </w:p>
    <w:p w14:paraId="7F6DEC3E">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(三)不准要求示或接受乙方和相关单位为个人装修住房、婚丧嫁娶、配偶子女的工作安排以及出国(境)、旅游等提供方便。 </w:t>
      </w:r>
    </w:p>
    <w:p w14:paraId="524D1476">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(四)不准参加有可能影响公正执行公务的乙方和相关单位的宴请、健身、娱乐等活动。 </w:t>
      </w:r>
    </w:p>
    <w:p w14:paraId="28EE59A3">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五)不准向乙方和相关单位介绍或为配偶、子女、亲属参与同甲方工程项目合同有关的施工分包项目等活动。不准向乙方和相关单位介绍或为配偶、子女、亲属参与同项目工程合同有关的设备、材料、工程分包、劳务等经济活动。不得以任何理由向乙方和相关单位推荐分包单位和要求购买与项目工程合同规定以外的材料、设备等。 </w:t>
      </w:r>
    </w:p>
    <w:p w14:paraId="079CE368">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第三条 乙方的责任</w:t>
      </w:r>
    </w:p>
    <w:p w14:paraId="252E2E5F">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应与甲方和相关单位保持正常的业务交往。按照有关法律法规和程序开展业务工作，严格执行工程建设的方针、政策，尤其是有关勘察设计、建筑施工安装的强制性标准和规范，并遵守以下规定： </w:t>
      </w:r>
    </w:p>
    <w:p w14:paraId="0577E3FB">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(一)不准以任何理由向甲方和相关单位及其工作人员索要、接受或赠送礼金、有价证券、贵重物品及回扣、好处费、感谢费等。</w:t>
      </w:r>
    </w:p>
    <w:p w14:paraId="2E2605BA">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(二)不准以任何理由为甲方和相关单位报销应由对方或个人交付的费用。</w:t>
      </w:r>
    </w:p>
    <w:p w14:paraId="747D4CBF">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(三)不准接受或暗示为甲方、相关单位或个人装修住房、婚丧嫁娶、配偶子女的工作安排以及出国(境)、旅游等提供方便。 </w:t>
      </w:r>
    </w:p>
    <w:p w14:paraId="1843583F">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(四)不准违反合同约定而使用甲方、相关单位提供的通信、交通工具和高档办公用品。 </w:t>
      </w:r>
    </w:p>
    <w:p w14:paraId="4E96A8DD">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(五)不准以任何理由为甲方、相关单位或个人组织有可能影响公正执行公务的宴请、健身、娱乐等活动。 </w:t>
      </w:r>
    </w:p>
    <w:p w14:paraId="2A75A138">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第四条 违约责任 </w:t>
      </w:r>
    </w:p>
    <w:p w14:paraId="79365EB9">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一)甲方工作人员有违反本责任书第一、二条责任行为的，按照管理权限，依据有关法律法规和规定给予党纪、政纪处分或组织处理；涉嫌犯罪的，移交司法机关追究刑事责任；给乙方单位造成经济损失的，应予以赔偿。 </w:t>
      </w:r>
    </w:p>
    <w:p w14:paraId="4EB0CEC4">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二)乙方工作人员有违反本责任书第一、三条责任行为的，按照管理权限，依据有关法律法规和规定给予党纪政纪处分或组织处理；涉嫌犯罪的，移交司法机关追究刑事责任；给甲方单位造成经济损失的，应予以赔偿。 </w:t>
      </w:r>
    </w:p>
    <w:p w14:paraId="7E2ED7C9">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第五条本责任书作为工程施工合同的附表，与工程施工合同具有同等法律效力。经双方签署后立即生效。 </w:t>
      </w:r>
    </w:p>
    <w:p w14:paraId="5544C6CE">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第六条本责任书的有效期为双方签署之日起至该工程项目竣工验收合格时止。 </w:t>
      </w:r>
    </w:p>
    <w:p w14:paraId="0289C683">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第七条本责任书作为</w:t>
      </w:r>
      <w:r>
        <w:rPr>
          <w:rFonts w:hint="eastAsia" w:ascii="宋体" w:hAnsi="宋体" w:eastAsia="宋体" w:cs="宋体"/>
          <w:color w:val="000000"/>
          <w:szCs w:val="21"/>
          <w:u w:val="single"/>
          <w:lang w:val="en-US" w:eastAsia="zh-CN"/>
        </w:rPr>
        <w:t xml:space="preserve">              （项目名称）</w:t>
      </w:r>
      <w:r>
        <w:rPr>
          <w:rFonts w:hint="eastAsia" w:ascii="宋体" w:hAnsi="宋体" w:eastAsia="宋体" w:cs="宋体"/>
          <w:color w:val="000000"/>
          <w:szCs w:val="21"/>
          <w:lang w:val="en-US" w:eastAsia="zh-CN"/>
        </w:rPr>
        <w:t>合同的附件，送交甲乙双方的监督单位各一份。与工程施工合同具有同等的法律效力，经合同双方签署后立即生效。</w:t>
      </w:r>
    </w:p>
    <w:p w14:paraId="12CEEA62">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p>
    <w:tbl>
      <w:tblPr>
        <w:tblStyle w:val="8"/>
        <w:tblW w:w="0" w:type="auto"/>
        <w:tblInd w:w="0" w:type="dxa"/>
        <w:tblLayout w:type="fixed"/>
        <w:tblCellMar>
          <w:top w:w="0" w:type="dxa"/>
          <w:left w:w="108" w:type="dxa"/>
          <w:bottom w:w="0" w:type="dxa"/>
          <w:right w:w="108" w:type="dxa"/>
        </w:tblCellMar>
      </w:tblPr>
      <w:tblGrid>
        <w:gridCol w:w="4421"/>
        <w:gridCol w:w="4463"/>
      </w:tblGrid>
      <w:tr w14:paraId="4CE569E3">
        <w:tblPrEx>
          <w:tblCellMar>
            <w:top w:w="0" w:type="dxa"/>
            <w:left w:w="108" w:type="dxa"/>
            <w:bottom w:w="0" w:type="dxa"/>
            <w:right w:w="108" w:type="dxa"/>
          </w:tblCellMar>
        </w:tblPrEx>
        <w:trPr>
          <w:trHeight w:val="573" w:hRule="atLeast"/>
        </w:trPr>
        <w:tc>
          <w:tcPr>
            <w:tcW w:w="4421" w:type="dxa"/>
            <w:noWrap w:val="0"/>
            <w:vAlign w:val="center"/>
          </w:tcPr>
          <w:p w14:paraId="6DF7B16C">
            <w:pPr>
              <w:pageBreakBefore w:val="0"/>
              <w:widowControl w:val="0"/>
              <w:tabs>
                <w:tab w:val="left" w:pos="5760"/>
              </w:tabs>
              <w:kinsoku/>
              <w:wordWrap/>
              <w:overflowPunct/>
              <w:topLinePunct w:val="0"/>
              <w:autoSpaceDE/>
              <w:autoSpaceDN/>
              <w:bidi w:val="0"/>
              <w:adjustRightInd/>
              <w:snapToGrid/>
              <w:spacing w:line="324" w:lineRule="auto"/>
              <w:textAlignment w:val="auto"/>
              <w:rPr>
                <w:rFonts w:hint="eastAsia" w:ascii="宋体" w:hAnsi="宋体"/>
                <w:sz w:val="21"/>
                <w:szCs w:val="21"/>
                <w:highlight w:val="none"/>
              </w:rPr>
            </w:pPr>
          </w:p>
          <w:p w14:paraId="444348C3">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cs="Arial"/>
                <w:sz w:val="21"/>
                <w:szCs w:val="21"/>
                <w:highlight w:val="none"/>
              </w:rPr>
            </w:pPr>
            <w:r>
              <w:rPr>
                <w:rFonts w:hint="eastAsia" w:ascii="宋体" w:hAnsi="宋体"/>
                <w:sz w:val="21"/>
                <w:szCs w:val="21"/>
                <w:highlight w:val="none"/>
              </w:rPr>
              <w:t>发  包  人：</w:t>
            </w:r>
            <w:r>
              <w:rPr>
                <w:rFonts w:ascii="宋体" w:hAnsi="宋体"/>
                <w:sz w:val="21"/>
                <w:szCs w:val="21"/>
                <w:highlight w:val="none"/>
                <w:u w:val="single"/>
              </w:rPr>
              <w:t xml:space="preserve">  </w:t>
            </w:r>
            <w:r>
              <w:rPr>
                <w:rFonts w:hint="eastAsia" w:ascii="宋体" w:hAnsi="宋体"/>
                <w:sz w:val="21"/>
                <w:szCs w:val="21"/>
                <w:highlight w:val="none"/>
                <w:u w:val="single"/>
              </w:rPr>
              <w:t xml:space="preserve">           </w:t>
            </w:r>
            <w:r>
              <w:rPr>
                <w:rFonts w:ascii="宋体" w:hAnsi="宋体"/>
                <w:sz w:val="21"/>
                <w:szCs w:val="21"/>
                <w:highlight w:val="none"/>
                <w:u w:val="single"/>
              </w:rPr>
              <w:t xml:space="preserve"> </w:t>
            </w:r>
            <w:r>
              <w:rPr>
                <w:rFonts w:hint="eastAsia" w:ascii="宋体" w:hAnsi="宋体"/>
                <w:sz w:val="21"/>
                <w:szCs w:val="21"/>
                <w:highlight w:val="none"/>
              </w:rPr>
              <w:t>(盖单位章)</w:t>
            </w:r>
          </w:p>
        </w:tc>
        <w:tc>
          <w:tcPr>
            <w:tcW w:w="4463" w:type="dxa"/>
            <w:noWrap w:val="0"/>
            <w:vAlign w:val="center"/>
          </w:tcPr>
          <w:p w14:paraId="01ACF58B">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hint="eastAsia" w:ascii="宋体" w:hAnsi="宋体"/>
                <w:sz w:val="21"/>
                <w:szCs w:val="21"/>
                <w:highlight w:val="none"/>
              </w:rPr>
            </w:pPr>
          </w:p>
          <w:p w14:paraId="6959FA5F">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cs="Arial"/>
                <w:sz w:val="21"/>
                <w:szCs w:val="21"/>
                <w:highlight w:val="none"/>
              </w:rPr>
            </w:pPr>
            <w:r>
              <w:rPr>
                <w:rFonts w:hint="eastAsia" w:ascii="宋体" w:hAnsi="宋体"/>
                <w:sz w:val="21"/>
                <w:szCs w:val="21"/>
                <w:highlight w:val="none"/>
              </w:rPr>
              <w:t>承  包  人：</w:t>
            </w:r>
            <w:r>
              <w:rPr>
                <w:rFonts w:ascii="宋体" w:hAnsi="宋体"/>
                <w:sz w:val="21"/>
                <w:szCs w:val="21"/>
                <w:highlight w:val="none"/>
                <w:u w:val="single"/>
              </w:rPr>
              <w:t xml:space="preserve">  </w:t>
            </w:r>
            <w:r>
              <w:rPr>
                <w:rFonts w:hint="eastAsia" w:ascii="宋体" w:hAnsi="宋体"/>
                <w:sz w:val="21"/>
                <w:szCs w:val="21"/>
                <w:highlight w:val="none"/>
                <w:u w:val="single"/>
              </w:rPr>
              <w:t xml:space="preserve">           </w:t>
            </w:r>
            <w:r>
              <w:rPr>
                <w:rFonts w:hint="eastAsia" w:ascii="宋体" w:hAnsi="宋体"/>
                <w:sz w:val="21"/>
                <w:szCs w:val="21"/>
                <w:highlight w:val="none"/>
              </w:rPr>
              <w:t>(盖单位章)</w:t>
            </w:r>
          </w:p>
        </w:tc>
      </w:tr>
      <w:tr w14:paraId="5A36CD36">
        <w:tblPrEx>
          <w:tblCellMar>
            <w:top w:w="0" w:type="dxa"/>
            <w:left w:w="108" w:type="dxa"/>
            <w:bottom w:w="0" w:type="dxa"/>
            <w:right w:w="108" w:type="dxa"/>
          </w:tblCellMar>
        </w:tblPrEx>
        <w:trPr>
          <w:trHeight w:val="573" w:hRule="atLeast"/>
        </w:trPr>
        <w:tc>
          <w:tcPr>
            <w:tcW w:w="4421" w:type="dxa"/>
            <w:noWrap w:val="0"/>
            <w:vAlign w:val="center"/>
          </w:tcPr>
          <w:p w14:paraId="381735F8">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jc w:val="left"/>
              <w:textAlignment w:val="auto"/>
              <w:rPr>
                <w:rFonts w:ascii="宋体" w:hAnsi="宋体"/>
                <w:sz w:val="21"/>
                <w:szCs w:val="21"/>
                <w:highlight w:val="none"/>
              </w:rPr>
            </w:pPr>
            <w:r>
              <w:rPr>
                <w:rFonts w:hint="eastAsia" w:ascii="宋体" w:hAnsi="宋体"/>
                <w:sz w:val="21"/>
                <w:szCs w:val="21"/>
                <w:highlight w:val="none"/>
              </w:rPr>
              <w:t>法定代表人或其委托代理人：</w:t>
            </w:r>
            <w:r>
              <w:rPr>
                <w:rFonts w:hint="eastAsia" w:ascii="宋体" w:hAnsi="宋体"/>
                <w:sz w:val="21"/>
                <w:szCs w:val="21"/>
                <w:highlight w:val="none"/>
                <w:u w:val="single"/>
              </w:rPr>
              <w:t xml:space="preserve"> （签字）                            </w:t>
            </w:r>
          </w:p>
        </w:tc>
        <w:tc>
          <w:tcPr>
            <w:tcW w:w="4463" w:type="dxa"/>
            <w:noWrap w:val="0"/>
            <w:vAlign w:val="center"/>
          </w:tcPr>
          <w:p w14:paraId="667F1328">
            <w:pPr>
              <w:pageBreakBefore w:val="0"/>
              <w:widowControl w:val="0"/>
              <w:tabs>
                <w:tab w:val="left" w:pos="5760"/>
              </w:tabs>
              <w:kinsoku/>
              <w:wordWrap/>
              <w:overflowPunct/>
              <w:topLinePunct w:val="0"/>
              <w:autoSpaceDE/>
              <w:autoSpaceDN/>
              <w:bidi w:val="0"/>
              <w:adjustRightInd/>
              <w:snapToGrid/>
              <w:spacing w:line="324" w:lineRule="auto"/>
              <w:textAlignment w:val="auto"/>
              <w:rPr>
                <w:rFonts w:ascii="宋体" w:hAnsi="宋体"/>
                <w:sz w:val="21"/>
                <w:szCs w:val="21"/>
                <w:highlight w:val="none"/>
              </w:rPr>
            </w:pPr>
            <w:r>
              <w:rPr>
                <w:rFonts w:hint="eastAsia" w:ascii="宋体" w:hAnsi="宋体"/>
                <w:sz w:val="21"/>
                <w:szCs w:val="21"/>
                <w:highlight w:val="none"/>
              </w:rPr>
              <w:t>法定代表人或其委托代理人：</w:t>
            </w:r>
            <w:r>
              <w:rPr>
                <w:rFonts w:hint="eastAsia" w:ascii="宋体" w:hAnsi="宋体"/>
                <w:sz w:val="21"/>
                <w:szCs w:val="21"/>
                <w:highlight w:val="none"/>
                <w:u w:val="single"/>
              </w:rPr>
              <w:t xml:space="preserve"> （签字）</w:t>
            </w:r>
          </w:p>
        </w:tc>
      </w:tr>
      <w:tr w14:paraId="4E6BA9A1">
        <w:tblPrEx>
          <w:tblCellMar>
            <w:top w:w="0" w:type="dxa"/>
            <w:left w:w="108" w:type="dxa"/>
            <w:bottom w:w="0" w:type="dxa"/>
            <w:right w:w="108" w:type="dxa"/>
          </w:tblCellMar>
        </w:tblPrEx>
        <w:trPr>
          <w:trHeight w:val="319" w:hRule="atLeast"/>
        </w:trPr>
        <w:tc>
          <w:tcPr>
            <w:tcW w:w="4421" w:type="dxa"/>
            <w:noWrap w:val="0"/>
            <w:vAlign w:val="center"/>
          </w:tcPr>
          <w:p w14:paraId="14830796">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rPr>
            </w:pPr>
          </w:p>
        </w:tc>
        <w:tc>
          <w:tcPr>
            <w:tcW w:w="4463" w:type="dxa"/>
            <w:noWrap w:val="0"/>
            <w:vAlign w:val="center"/>
          </w:tcPr>
          <w:p w14:paraId="71D63EDE">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rPr>
            </w:pPr>
          </w:p>
        </w:tc>
      </w:tr>
      <w:tr w14:paraId="7E9B54B8">
        <w:tblPrEx>
          <w:tblCellMar>
            <w:top w:w="0" w:type="dxa"/>
            <w:left w:w="108" w:type="dxa"/>
            <w:bottom w:w="0" w:type="dxa"/>
            <w:right w:w="108" w:type="dxa"/>
          </w:tblCellMar>
        </w:tblPrEx>
        <w:trPr>
          <w:trHeight w:val="573" w:hRule="atLeast"/>
        </w:trPr>
        <w:tc>
          <w:tcPr>
            <w:tcW w:w="4421" w:type="dxa"/>
            <w:noWrap w:val="0"/>
            <w:vAlign w:val="center"/>
          </w:tcPr>
          <w:p w14:paraId="3EE6C3E5">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rPr>
            </w:pPr>
            <w:r>
              <w:rPr>
                <w:rFonts w:hint="eastAsia" w:ascii="宋体" w:hAnsi="宋体"/>
                <w:sz w:val="21"/>
                <w:szCs w:val="21"/>
                <w:highlight w:val="none"/>
                <w:u w:val="single"/>
              </w:rPr>
              <w:t xml:space="preserve">        </w:t>
            </w:r>
            <w:r>
              <w:rPr>
                <w:rFonts w:ascii="宋体" w:hAnsi="宋体"/>
                <w:sz w:val="21"/>
                <w:szCs w:val="21"/>
                <w:highlight w:val="none"/>
              </w:rPr>
              <w:t>年</w:t>
            </w:r>
            <w:r>
              <w:rPr>
                <w:rFonts w:hint="eastAsia" w:ascii="宋体" w:hAnsi="宋体"/>
                <w:sz w:val="21"/>
                <w:szCs w:val="21"/>
                <w:highlight w:val="none"/>
                <w:u w:val="single"/>
              </w:rPr>
              <w:t xml:space="preserve">     </w:t>
            </w:r>
            <w:r>
              <w:rPr>
                <w:rFonts w:ascii="宋体" w:hAnsi="宋体"/>
                <w:sz w:val="21"/>
                <w:szCs w:val="21"/>
                <w:highlight w:val="none"/>
              </w:rPr>
              <w:t>月</w:t>
            </w:r>
            <w:r>
              <w:rPr>
                <w:rFonts w:hint="eastAsia" w:ascii="宋体" w:hAnsi="宋体"/>
                <w:sz w:val="21"/>
                <w:szCs w:val="21"/>
                <w:highlight w:val="none"/>
                <w:u w:val="single"/>
              </w:rPr>
              <w:t xml:space="preserve">     </w:t>
            </w:r>
            <w:r>
              <w:rPr>
                <w:rFonts w:ascii="宋体" w:hAnsi="宋体"/>
                <w:sz w:val="21"/>
                <w:szCs w:val="21"/>
                <w:highlight w:val="none"/>
              </w:rPr>
              <w:t>日</w:t>
            </w:r>
          </w:p>
        </w:tc>
        <w:tc>
          <w:tcPr>
            <w:tcW w:w="4463" w:type="dxa"/>
            <w:noWrap w:val="0"/>
            <w:vAlign w:val="center"/>
          </w:tcPr>
          <w:p w14:paraId="05AF5AD6">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rPr>
            </w:pPr>
            <w:r>
              <w:rPr>
                <w:rFonts w:hint="eastAsia" w:ascii="宋体" w:hAnsi="宋体"/>
                <w:sz w:val="21"/>
                <w:szCs w:val="21"/>
                <w:highlight w:val="none"/>
                <w:u w:val="single"/>
              </w:rPr>
              <w:t xml:space="preserve">        </w:t>
            </w:r>
            <w:r>
              <w:rPr>
                <w:rFonts w:ascii="宋体" w:hAnsi="宋体"/>
                <w:sz w:val="21"/>
                <w:szCs w:val="21"/>
                <w:highlight w:val="none"/>
              </w:rPr>
              <w:t>年</w:t>
            </w:r>
            <w:r>
              <w:rPr>
                <w:rFonts w:hint="eastAsia" w:ascii="宋体" w:hAnsi="宋体"/>
                <w:sz w:val="21"/>
                <w:szCs w:val="21"/>
                <w:highlight w:val="none"/>
                <w:u w:val="single"/>
              </w:rPr>
              <w:t xml:space="preserve">     </w:t>
            </w:r>
            <w:r>
              <w:rPr>
                <w:rFonts w:ascii="宋体" w:hAnsi="宋体"/>
                <w:sz w:val="21"/>
                <w:szCs w:val="21"/>
                <w:highlight w:val="none"/>
              </w:rPr>
              <w:t>月</w:t>
            </w:r>
            <w:r>
              <w:rPr>
                <w:rFonts w:hint="eastAsia" w:ascii="宋体" w:hAnsi="宋体"/>
                <w:sz w:val="21"/>
                <w:szCs w:val="21"/>
                <w:highlight w:val="none"/>
                <w:u w:val="single"/>
              </w:rPr>
              <w:t xml:space="preserve">     </w:t>
            </w:r>
            <w:r>
              <w:rPr>
                <w:rFonts w:ascii="宋体" w:hAnsi="宋体"/>
                <w:sz w:val="21"/>
                <w:szCs w:val="21"/>
                <w:highlight w:val="none"/>
              </w:rPr>
              <w:t>日</w:t>
            </w:r>
          </w:p>
        </w:tc>
      </w:tr>
      <w:tr w14:paraId="53DA9C08">
        <w:tblPrEx>
          <w:tblCellMar>
            <w:top w:w="0" w:type="dxa"/>
            <w:left w:w="108" w:type="dxa"/>
            <w:bottom w:w="0" w:type="dxa"/>
            <w:right w:w="108" w:type="dxa"/>
          </w:tblCellMar>
        </w:tblPrEx>
        <w:trPr>
          <w:trHeight w:val="297" w:hRule="atLeast"/>
        </w:trPr>
        <w:tc>
          <w:tcPr>
            <w:tcW w:w="4421" w:type="dxa"/>
            <w:noWrap w:val="0"/>
            <w:vAlign w:val="center"/>
          </w:tcPr>
          <w:p w14:paraId="6D8FF715">
            <w:pPr>
              <w:pageBreakBefore w:val="0"/>
              <w:widowControl w:val="0"/>
              <w:tabs>
                <w:tab w:val="left" w:pos="5760"/>
              </w:tabs>
              <w:kinsoku/>
              <w:wordWrap/>
              <w:overflowPunct/>
              <w:topLinePunct w:val="0"/>
              <w:autoSpaceDE/>
              <w:autoSpaceDN/>
              <w:bidi w:val="0"/>
              <w:adjustRightInd/>
              <w:snapToGrid/>
              <w:spacing w:line="324" w:lineRule="auto"/>
              <w:textAlignment w:val="auto"/>
              <w:rPr>
                <w:rFonts w:ascii="宋体" w:hAnsi="宋体"/>
                <w:sz w:val="21"/>
                <w:szCs w:val="21"/>
                <w:highlight w:val="none"/>
                <w:u w:val="single"/>
              </w:rPr>
            </w:pPr>
          </w:p>
        </w:tc>
        <w:tc>
          <w:tcPr>
            <w:tcW w:w="4463" w:type="dxa"/>
            <w:noWrap w:val="0"/>
            <w:vAlign w:val="center"/>
          </w:tcPr>
          <w:p w14:paraId="28E12D6E">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u w:val="single"/>
              </w:rPr>
            </w:pPr>
          </w:p>
        </w:tc>
      </w:tr>
      <w:tr w14:paraId="3EEFBC29">
        <w:tblPrEx>
          <w:tblCellMar>
            <w:top w:w="0" w:type="dxa"/>
            <w:left w:w="108" w:type="dxa"/>
            <w:bottom w:w="0" w:type="dxa"/>
            <w:right w:w="108" w:type="dxa"/>
          </w:tblCellMar>
        </w:tblPrEx>
        <w:trPr>
          <w:trHeight w:val="573" w:hRule="atLeast"/>
        </w:trPr>
        <w:tc>
          <w:tcPr>
            <w:tcW w:w="4421" w:type="dxa"/>
            <w:noWrap w:val="0"/>
            <w:vAlign w:val="center"/>
          </w:tcPr>
          <w:p w14:paraId="1A29B3BB">
            <w:pPr>
              <w:pageBreakBefore w:val="0"/>
              <w:widowControl w:val="0"/>
              <w:tabs>
                <w:tab w:val="left" w:pos="5760"/>
              </w:tabs>
              <w:kinsoku/>
              <w:wordWrap/>
              <w:overflowPunct/>
              <w:topLinePunct w:val="0"/>
              <w:autoSpaceDE/>
              <w:autoSpaceDN/>
              <w:bidi w:val="0"/>
              <w:adjustRightInd/>
              <w:snapToGrid/>
              <w:spacing w:line="324" w:lineRule="auto"/>
              <w:textAlignment w:val="auto"/>
              <w:rPr>
                <w:rFonts w:ascii="宋体" w:hAnsi="宋体"/>
                <w:sz w:val="21"/>
                <w:szCs w:val="21"/>
                <w:highlight w:val="none"/>
              </w:rPr>
            </w:pPr>
            <w:r>
              <w:rPr>
                <w:rFonts w:hint="eastAsia" w:ascii="宋体" w:hAnsi="宋体"/>
                <w:sz w:val="21"/>
                <w:szCs w:val="21"/>
                <w:highlight w:val="none"/>
              </w:rPr>
              <w:t>发包人监督单位：</w:t>
            </w:r>
            <w:r>
              <w:rPr>
                <w:rFonts w:hint="eastAsia" w:ascii="宋体" w:hAnsi="宋体"/>
                <w:sz w:val="21"/>
                <w:szCs w:val="21"/>
                <w:highlight w:val="none"/>
                <w:u w:val="single"/>
              </w:rPr>
              <w:t>（全称） （盖单位章）</w:t>
            </w:r>
          </w:p>
        </w:tc>
        <w:tc>
          <w:tcPr>
            <w:tcW w:w="4463" w:type="dxa"/>
            <w:noWrap w:val="0"/>
            <w:vAlign w:val="center"/>
          </w:tcPr>
          <w:p w14:paraId="424C9539">
            <w:pPr>
              <w:pageBreakBefore w:val="0"/>
              <w:widowControl w:val="0"/>
              <w:tabs>
                <w:tab w:val="left" w:pos="5760"/>
              </w:tabs>
              <w:kinsoku/>
              <w:wordWrap/>
              <w:overflowPunct/>
              <w:topLinePunct w:val="0"/>
              <w:autoSpaceDE/>
              <w:autoSpaceDN/>
              <w:bidi w:val="0"/>
              <w:adjustRightInd/>
              <w:snapToGrid/>
              <w:spacing w:line="324" w:lineRule="auto"/>
              <w:textAlignment w:val="auto"/>
              <w:rPr>
                <w:rFonts w:ascii="宋体" w:hAnsi="宋体"/>
                <w:sz w:val="21"/>
                <w:szCs w:val="21"/>
                <w:highlight w:val="none"/>
              </w:rPr>
            </w:pPr>
            <w:r>
              <w:rPr>
                <w:rFonts w:hint="eastAsia" w:ascii="宋体" w:hAnsi="宋体"/>
                <w:sz w:val="21"/>
                <w:szCs w:val="21"/>
                <w:highlight w:val="none"/>
              </w:rPr>
              <w:t>承包人监督单位：</w:t>
            </w:r>
            <w:r>
              <w:rPr>
                <w:rFonts w:hint="eastAsia" w:ascii="宋体" w:hAnsi="宋体"/>
                <w:sz w:val="21"/>
                <w:szCs w:val="21"/>
                <w:highlight w:val="none"/>
                <w:u w:val="single"/>
              </w:rPr>
              <w:t>（全称） （盖单位章）</w:t>
            </w:r>
          </w:p>
        </w:tc>
      </w:tr>
    </w:tbl>
    <w:p w14:paraId="7E904CB6">
      <w:pPr>
        <w:pageBreakBefore w:val="0"/>
        <w:widowControl w:val="0"/>
        <w:kinsoku/>
        <w:wordWrap/>
        <w:overflowPunct/>
        <w:topLinePunct w:val="0"/>
        <w:bidi w:val="0"/>
        <w:snapToGrid/>
        <w:spacing w:line="336" w:lineRule="auto"/>
        <w:textAlignment w:val="auto"/>
        <w:rPr>
          <w:rFonts w:hint="eastAsia" w:ascii="宋体" w:hAnsi="宋体"/>
          <w:b/>
          <w:sz w:val="28"/>
          <w:szCs w:val="28"/>
          <w:highlight w:val="none"/>
        </w:rPr>
      </w:pPr>
    </w:p>
    <w:p w14:paraId="17F88368">
      <w:pPr>
        <w:pStyle w:val="3"/>
        <w:pageBreakBefore w:val="0"/>
        <w:widowControl w:val="0"/>
        <w:kinsoku/>
        <w:wordWrap/>
        <w:overflowPunct/>
        <w:topLinePunct w:val="0"/>
        <w:bidi w:val="0"/>
        <w:snapToGrid/>
        <w:spacing w:line="336" w:lineRule="auto"/>
        <w:textAlignment w:val="auto"/>
        <w:rPr>
          <w:rFonts w:hint="eastAsia" w:ascii="宋体" w:hAnsi="宋体"/>
          <w:b/>
          <w:sz w:val="28"/>
          <w:szCs w:val="28"/>
          <w:highlight w:val="none"/>
        </w:rPr>
      </w:pPr>
    </w:p>
    <w:p w14:paraId="1D1FABFB">
      <w:pPr>
        <w:pStyle w:val="11"/>
        <w:pageBreakBefore w:val="0"/>
        <w:widowControl w:val="0"/>
        <w:kinsoku/>
        <w:wordWrap/>
        <w:overflowPunct/>
        <w:topLinePunct w:val="0"/>
        <w:bidi w:val="0"/>
        <w:snapToGrid/>
        <w:spacing w:line="336" w:lineRule="auto"/>
        <w:textAlignment w:val="auto"/>
        <w:outlineLvl w:val="0"/>
        <w:rPr>
          <w:rFonts w:hint="eastAsia" w:ascii="宋体" w:hAnsi="宋体" w:eastAsia="宋体" w:cs="宋体"/>
          <w:b w:val="0"/>
          <w:bCs w:val="0"/>
          <w:color w:val="000000"/>
          <w:lang w:val="en-US" w:eastAsia="zh-CN"/>
        </w:rPr>
      </w:pPr>
      <w:bookmarkStart w:id="42" w:name="_Toc17769"/>
      <w:r>
        <w:rPr>
          <w:rFonts w:hint="eastAsia" w:ascii="宋体" w:hAnsi="宋体" w:eastAsia="宋体" w:cs="宋体"/>
          <w:b w:val="0"/>
          <w:bCs w:val="0"/>
          <w:color w:val="000000"/>
          <w:lang w:val="en-US" w:eastAsia="zh-CN"/>
        </w:rPr>
        <w:t>附件三：</w:t>
      </w:r>
    </w:p>
    <w:bookmarkEnd w:id="42"/>
    <w:p w14:paraId="6A3DD8EA">
      <w:pPr>
        <w:keepNext w:val="0"/>
        <w:keepLines w:val="0"/>
        <w:pageBreakBefore w:val="0"/>
        <w:widowControl w:val="0"/>
        <w:kinsoku/>
        <w:wordWrap/>
        <w:overflowPunct/>
        <w:topLinePunct w:val="0"/>
        <w:bidi w:val="0"/>
        <w:snapToGrid/>
        <w:spacing w:line="324" w:lineRule="auto"/>
        <w:jc w:val="center"/>
        <w:textAlignment w:val="auto"/>
        <w:rPr>
          <w:rFonts w:hint="eastAsia" w:ascii="宋体" w:hAnsi="宋体" w:eastAsia="宋体" w:cs="宋体"/>
          <w:b/>
          <w:bCs/>
          <w:color w:val="000000"/>
          <w:kern w:val="2"/>
          <w:sz w:val="28"/>
          <w:szCs w:val="21"/>
          <w:lang w:val="en-US" w:eastAsia="zh-CN" w:bidi="ar-SA"/>
        </w:rPr>
      </w:pPr>
      <w:r>
        <w:rPr>
          <w:rFonts w:hint="eastAsia" w:ascii="宋体" w:hAnsi="宋体" w:eastAsia="宋体" w:cs="宋体"/>
          <w:b/>
          <w:bCs/>
          <w:color w:val="000000"/>
          <w:kern w:val="2"/>
          <w:sz w:val="28"/>
          <w:szCs w:val="21"/>
          <w:lang w:val="en-US" w:eastAsia="zh-CN" w:bidi="ar-SA"/>
        </w:rPr>
        <w:t>安全文明生产协议书</w:t>
      </w:r>
    </w:p>
    <w:p w14:paraId="07E658B5">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为在</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（项目名称）施工合同的实施过程中创造安全、高效的施工环境，切实搞好本项目的安全管理工作，本项目发包人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（发包人名称，以下简称“发包人”）与承包人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（承包人名称，以下简称“承包人”）特此签订安全生产</w:t>
      </w:r>
      <w:r>
        <w:rPr>
          <w:rFonts w:hint="eastAsia" w:ascii="宋体" w:hAnsi="宋体" w:eastAsia="宋体" w:cs="宋体"/>
          <w:sz w:val="21"/>
          <w:szCs w:val="21"/>
          <w:highlight w:val="none"/>
          <w:lang w:val="en-US" w:eastAsia="zh-CN"/>
        </w:rPr>
        <w:t>协议书</w:t>
      </w:r>
      <w:r>
        <w:rPr>
          <w:rFonts w:hint="eastAsia" w:ascii="宋体" w:hAnsi="宋体" w:eastAsia="宋体" w:cs="宋体"/>
          <w:sz w:val="21"/>
          <w:szCs w:val="21"/>
          <w:highlight w:val="none"/>
        </w:rPr>
        <w:t>：</w:t>
      </w:r>
    </w:p>
    <w:p w14:paraId="51C8701D">
      <w:pPr>
        <w:keepNext w:val="0"/>
        <w:keepLines w:val="0"/>
        <w:pageBreakBefore w:val="0"/>
        <w:widowControl w:val="0"/>
        <w:kinsoku/>
        <w:wordWrap/>
        <w:overflowPunct/>
        <w:topLinePunct w:val="0"/>
        <w:bidi w:val="0"/>
        <w:snapToGrid/>
        <w:spacing w:line="324" w:lineRule="auto"/>
        <w:ind w:firstLine="420" w:firstLineChars="200"/>
        <w:textAlignment w:val="auto"/>
        <w:outlineLvl w:val="0"/>
        <w:rPr>
          <w:rFonts w:hint="eastAsia" w:ascii="宋体" w:hAnsi="宋体" w:eastAsia="宋体" w:cs="宋体"/>
          <w:sz w:val="21"/>
          <w:szCs w:val="21"/>
          <w:highlight w:val="none"/>
        </w:rPr>
      </w:pPr>
      <w:bookmarkStart w:id="43" w:name="_Toc4333"/>
      <w:r>
        <w:rPr>
          <w:rFonts w:hint="eastAsia" w:ascii="宋体" w:hAnsi="宋体" w:eastAsia="宋体" w:cs="宋体"/>
          <w:sz w:val="21"/>
          <w:szCs w:val="21"/>
          <w:highlight w:val="none"/>
        </w:rPr>
        <w:t>1.发包人职责</w:t>
      </w:r>
      <w:bookmarkEnd w:id="43"/>
    </w:p>
    <w:p w14:paraId="388F3946">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（1）严格遵守国家有关安全生产的法律法规，认真执行工程承包合同中的有关安全要求。</w:t>
      </w:r>
    </w:p>
    <w:p w14:paraId="5A9F68F5">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（2）按照“安全第一、预防为主”和坚持“管生产必须管安全”的原则进行安全生产管理，做到生产与安全工作同时计划、布置、检查、总结和评比。</w:t>
      </w:r>
    </w:p>
    <w:p w14:paraId="06C08B0F">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（3）重要的安全设施必须坚持与主体工程“三同时”的原则，即：同时设计、审批，同时施工，同时验收，投入使用。</w:t>
      </w:r>
    </w:p>
    <w:p w14:paraId="06079F68">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（4）定期召开安全生产调度会，及时传达中央及地方有关安全生产的精神。</w:t>
      </w:r>
    </w:p>
    <w:p w14:paraId="2577F974">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（5）组织对承包人施工现场安全生产检查，监督承包人及时处理发现的各种安全隐患。</w:t>
      </w:r>
    </w:p>
    <w:p w14:paraId="08BCD87B">
      <w:pPr>
        <w:keepNext w:val="0"/>
        <w:keepLines w:val="0"/>
        <w:pageBreakBefore w:val="0"/>
        <w:widowControl w:val="0"/>
        <w:kinsoku/>
        <w:wordWrap/>
        <w:overflowPunct/>
        <w:topLinePunct w:val="0"/>
        <w:bidi w:val="0"/>
        <w:snapToGrid/>
        <w:spacing w:line="324" w:lineRule="auto"/>
        <w:ind w:firstLine="420" w:firstLineChars="200"/>
        <w:textAlignment w:val="auto"/>
        <w:outlineLvl w:val="0"/>
        <w:rPr>
          <w:rFonts w:hint="eastAsia" w:ascii="宋体" w:hAnsi="宋体" w:eastAsia="宋体" w:cs="宋体"/>
          <w:sz w:val="21"/>
          <w:szCs w:val="21"/>
          <w:highlight w:val="none"/>
        </w:rPr>
      </w:pPr>
      <w:bookmarkStart w:id="44" w:name="_Toc9324"/>
      <w:r>
        <w:rPr>
          <w:rFonts w:hint="eastAsia" w:ascii="宋体" w:hAnsi="宋体" w:eastAsia="宋体" w:cs="宋体"/>
          <w:sz w:val="21"/>
          <w:szCs w:val="21"/>
          <w:highlight w:val="none"/>
        </w:rPr>
        <w:t>2.承包人职责</w:t>
      </w:r>
      <w:bookmarkEnd w:id="44"/>
    </w:p>
    <w:p w14:paraId="0916724D">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（1）严格遵守《中华人民共和国安全生产法》、《建设工程安全生产管理条例》等国家有关安全生产的法律法规等有关安全生产的规定。认真执行工程承包合同中的有关安全要求。</w:t>
      </w:r>
    </w:p>
    <w:p w14:paraId="13891829">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508D25FC">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14:paraId="19628F65">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（4）承包人在任何时候都应采取各种合理的预防措施，防止其员工发生任何违法、违禁、暴力或妨碍治安的行为。</w:t>
      </w:r>
    </w:p>
    <w:p w14:paraId="2F3144E3">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C2DF010">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3FDA3EAE">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（7）操作人员上岗，必须按规定穿戴防护用品。施工负责人和安全检查员应随时检查劳动防护用品的穿戴情况，不按规定穿戴防护用品的人员不得上岗。</w:t>
      </w:r>
    </w:p>
    <w:p w14:paraId="78265FB7">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（8）所有施工机具设备和高空作业的设备均应定期检查，并有安全员的签字记录，保证其经常处于完好状态；不合格的机具、设备和劳动保护用品严禁使用：</w:t>
      </w:r>
    </w:p>
    <w:p w14:paraId="60BEF42F">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（9）施工中采用新技术、新工艺、新设备、新材料时，必须制定相应的安全技术措施，施工现场必须具有相关的安全标志牌。</w:t>
      </w:r>
    </w:p>
    <w:p w14:paraId="0ABDB34E">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3DCA8D4B">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3.违约责任</w:t>
      </w:r>
    </w:p>
    <w:p w14:paraId="091F5EB8">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如因发包人或承包人违约造成安全事故，将依法追究责任。</w:t>
      </w:r>
    </w:p>
    <w:p w14:paraId="7CB696A1">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4.本</w:t>
      </w:r>
      <w:r>
        <w:rPr>
          <w:rFonts w:hint="eastAsia" w:ascii="宋体" w:hAnsi="宋体" w:eastAsia="宋体" w:cs="宋体"/>
          <w:sz w:val="21"/>
          <w:szCs w:val="21"/>
          <w:highlight w:val="none"/>
          <w:lang w:val="en-US" w:eastAsia="zh-CN"/>
        </w:rPr>
        <w:t>协议书</w:t>
      </w:r>
      <w:r>
        <w:rPr>
          <w:rFonts w:hint="eastAsia" w:ascii="宋体" w:hAnsi="宋体" w:eastAsia="宋体" w:cs="宋体"/>
          <w:sz w:val="21"/>
          <w:szCs w:val="21"/>
          <w:highlight w:val="none"/>
        </w:rPr>
        <w:t>由双方法定代表人或其授权的代理人签署并加盖单位章后生效，全部工程竣工验收后失效。</w:t>
      </w:r>
    </w:p>
    <w:p w14:paraId="52F71506">
      <w:pPr>
        <w:keepNext w:val="0"/>
        <w:keepLines w:val="0"/>
        <w:pageBreakBefore w:val="0"/>
        <w:widowControl w:val="0"/>
        <w:kinsoku/>
        <w:wordWrap/>
        <w:overflowPunct/>
        <w:topLinePunct w:val="0"/>
        <w:autoSpaceDE w:val="0"/>
        <w:autoSpaceDN w:val="0"/>
        <w:bidi w:val="0"/>
        <w:adjustRightInd w:val="0"/>
        <w:snapToGrid/>
        <w:spacing w:line="324" w:lineRule="auto"/>
        <w:ind w:left="210" w:leftChars="100" w:firstLine="210" w:firstLineChars="1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5.本合同正本—式二份，副本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份，合同双方各执正本—份，副本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份，当正本与副本的内容不一致时，以正本为准。</w:t>
      </w:r>
    </w:p>
    <w:p w14:paraId="0AC98890">
      <w:pPr>
        <w:pStyle w:val="3"/>
        <w:rPr>
          <w:rFonts w:hint="eastAsia"/>
        </w:rPr>
      </w:pPr>
    </w:p>
    <w:tbl>
      <w:tblPr>
        <w:tblStyle w:val="8"/>
        <w:tblW w:w="13347" w:type="dxa"/>
        <w:tblInd w:w="0" w:type="dxa"/>
        <w:tblLayout w:type="fixed"/>
        <w:tblCellMar>
          <w:top w:w="0" w:type="dxa"/>
          <w:left w:w="108" w:type="dxa"/>
          <w:bottom w:w="0" w:type="dxa"/>
          <w:right w:w="108" w:type="dxa"/>
        </w:tblCellMar>
      </w:tblPr>
      <w:tblGrid>
        <w:gridCol w:w="4421"/>
        <w:gridCol w:w="4463"/>
        <w:gridCol w:w="4463"/>
      </w:tblGrid>
      <w:tr w14:paraId="0353FC5C">
        <w:tblPrEx>
          <w:tblCellMar>
            <w:top w:w="0" w:type="dxa"/>
            <w:left w:w="108" w:type="dxa"/>
            <w:bottom w:w="0" w:type="dxa"/>
            <w:right w:w="108" w:type="dxa"/>
          </w:tblCellMar>
        </w:tblPrEx>
        <w:trPr>
          <w:trHeight w:val="573" w:hRule="atLeast"/>
        </w:trPr>
        <w:tc>
          <w:tcPr>
            <w:tcW w:w="4421" w:type="dxa"/>
            <w:noWrap w:val="0"/>
            <w:vAlign w:val="center"/>
          </w:tcPr>
          <w:p w14:paraId="33365038">
            <w:pPr>
              <w:keepNext w:val="0"/>
              <w:keepLines w:val="0"/>
              <w:pageBreakBefore w:val="0"/>
              <w:widowControl w:val="0"/>
              <w:tabs>
                <w:tab w:val="left" w:pos="5760"/>
              </w:tabs>
              <w:kinsoku/>
              <w:wordWrap/>
              <w:overflowPunct/>
              <w:topLinePunct w:val="0"/>
              <w:bidi w:val="0"/>
              <w:snapToGrid/>
              <w:spacing w:line="324" w:lineRule="auto"/>
              <w:ind w:left="735" w:leftChars="100" w:hanging="525" w:hangingChars="2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c>
          <w:tcPr>
            <w:tcW w:w="4463" w:type="dxa"/>
            <w:noWrap w:val="0"/>
            <w:vAlign w:val="center"/>
          </w:tcPr>
          <w:p w14:paraId="3CF3CF7C">
            <w:pPr>
              <w:keepNext w:val="0"/>
              <w:keepLines w:val="0"/>
              <w:pageBreakBefore w:val="0"/>
              <w:widowControl w:val="0"/>
              <w:tabs>
                <w:tab w:val="left" w:pos="5760"/>
              </w:tabs>
              <w:kinsoku/>
              <w:wordWrap/>
              <w:overflowPunct/>
              <w:topLinePunct w:val="0"/>
              <w:bidi w:val="0"/>
              <w:snapToGrid/>
              <w:spacing w:line="324" w:lineRule="auto"/>
              <w:ind w:firstLine="630" w:firstLineChars="3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c>
          <w:tcPr>
            <w:tcW w:w="4463" w:type="dxa"/>
            <w:noWrap w:val="0"/>
            <w:vAlign w:val="center"/>
          </w:tcPr>
          <w:p w14:paraId="3453E44F">
            <w:pPr>
              <w:keepNext w:val="0"/>
              <w:keepLines w:val="0"/>
              <w:pageBreakBefore w:val="0"/>
              <w:widowControl w:val="0"/>
              <w:tabs>
                <w:tab w:val="left" w:pos="5760"/>
              </w:tabs>
              <w:kinsoku/>
              <w:wordWrap/>
              <w:overflowPunct/>
              <w:topLinePunct w:val="0"/>
              <w:bidi w:val="0"/>
              <w:snapToGrid/>
              <w:spacing w:line="324" w:lineRule="auto"/>
              <w:ind w:left="764" w:leftChars="114" w:hanging="525" w:hangingChars="250"/>
              <w:textAlignment w:val="auto"/>
              <w:rPr>
                <w:rFonts w:hint="eastAsia" w:ascii="宋体" w:hAnsi="宋体" w:eastAsia="宋体" w:cs="宋体"/>
                <w:sz w:val="21"/>
                <w:szCs w:val="21"/>
                <w:highlight w:val="none"/>
              </w:rPr>
            </w:pPr>
          </w:p>
        </w:tc>
      </w:tr>
      <w:tr w14:paraId="03A3F65A">
        <w:tblPrEx>
          <w:tblCellMar>
            <w:top w:w="0" w:type="dxa"/>
            <w:left w:w="108" w:type="dxa"/>
            <w:bottom w:w="0" w:type="dxa"/>
            <w:right w:w="108" w:type="dxa"/>
          </w:tblCellMar>
        </w:tblPrEx>
        <w:trPr>
          <w:trHeight w:val="573" w:hRule="atLeast"/>
        </w:trPr>
        <w:tc>
          <w:tcPr>
            <w:tcW w:w="4421" w:type="dxa"/>
            <w:noWrap w:val="0"/>
            <w:vAlign w:val="center"/>
          </w:tcPr>
          <w:p w14:paraId="6634981D">
            <w:pPr>
              <w:keepNext w:val="0"/>
              <w:keepLines w:val="0"/>
              <w:pageBreakBefore w:val="0"/>
              <w:widowControl w:val="0"/>
              <w:tabs>
                <w:tab w:val="left" w:pos="5760"/>
              </w:tabs>
              <w:kinsoku/>
              <w:wordWrap/>
              <w:overflowPunct/>
              <w:topLinePunct w:val="0"/>
              <w:bidi w:val="0"/>
              <w:snapToGrid/>
              <w:spacing w:line="324" w:lineRule="auto"/>
              <w:ind w:left="735" w:leftChars="100" w:hanging="525" w:hangingChars="25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                            </w:t>
            </w:r>
          </w:p>
        </w:tc>
        <w:tc>
          <w:tcPr>
            <w:tcW w:w="4463" w:type="dxa"/>
            <w:noWrap w:val="0"/>
            <w:vAlign w:val="center"/>
          </w:tcPr>
          <w:p w14:paraId="066D3DDE">
            <w:pPr>
              <w:keepNext w:val="0"/>
              <w:keepLines w:val="0"/>
              <w:pageBreakBefore w:val="0"/>
              <w:widowControl w:val="0"/>
              <w:tabs>
                <w:tab w:val="left" w:pos="5760"/>
              </w:tabs>
              <w:kinsoku/>
              <w:wordWrap/>
              <w:overflowPunct/>
              <w:topLinePunct w:val="0"/>
              <w:bidi w:val="0"/>
              <w:snapToGrid/>
              <w:spacing w:line="324" w:lineRule="auto"/>
              <w:ind w:firstLine="630" w:firstLineChars="3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w:t>
            </w:r>
          </w:p>
        </w:tc>
        <w:tc>
          <w:tcPr>
            <w:tcW w:w="4463" w:type="dxa"/>
            <w:noWrap w:val="0"/>
            <w:vAlign w:val="center"/>
          </w:tcPr>
          <w:p w14:paraId="0F9583C0">
            <w:pPr>
              <w:keepNext w:val="0"/>
              <w:keepLines w:val="0"/>
              <w:pageBreakBefore w:val="0"/>
              <w:widowControl w:val="0"/>
              <w:tabs>
                <w:tab w:val="left" w:pos="5760"/>
              </w:tabs>
              <w:kinsoku/>
              <w:wordWrap/>
              <w:overflowPunct/>
              <w:topLinePunct w:val="0"/>
              <w:bidi w:val="0"/>
              <w:snapToGrid/>
              <w:spacing w:line="324" w:lineRule="auto"/>
              <w:ind w:firstLine="210" w:firstLineChars="100"/>
              <w:textAlignment w:val="auto"/>
              <w:rPr>
                <w:rFonts w:hint="eastAsia" w:ascii="宋体" w:hAnsi="宋体" w:eastAsia="宋体" w:cs="宋体"/>
                <w:sz w:val="21"/>
                <w:szCs w:val="21"/>
                <w:highlight w:val="none"/>
              </w:rPr>
            </w:pPr>
          </w:p>
        </w:tc>
      </w:tr>
      <w:tr w14:paraId="69A77303">
        <w:tblPrEx>
          <w:tblCellMar>
            <w:top w:w="0" w:type="dxa"/>
            <w:left w:w="108" w:type="dxa"/>
            <w:bottom w:w="0" w:type="dxa"/>
            <w:right w:w="108" w:type="dxa"/>
          </w:tblCellMar>
        </w:tblPrEx>
        <w:trPr>
          <w:trHeight w:val="677" w:hRule="atLeast"/>
        </w:trPr>
        <w:tc>
          <w:tcPr>
            <w:tcW w:w="4421" w:type="dxa"/>
            <w:noWrap w:val="0"/>
            <w:vAlign w:val="center"/>
          </w:tcPr>
          <w:p w14:paraId="3C5334D3">
            <w:pPr>
              <w:keepNext w:val="0"/>
              <w:keepLines w:val="0"/>
              <w:pageBreakBefore w:val="0"/>
              <w:widowControl w:val="0"/>
              <w:tabs>
                <w:tab w:val="left" w:pos="5760"/>
              </w:tabs>
              <w:kinsoku/>
              <w:wordWrap/>
              <w:overflowPunct/>
              <w:topLinePunct w:val="0"/>
              <w:bidi w:val="0"/>
              <w:snapToGrid/>
              <w:spacing w:line="324" w:lineRule="auto"/>
              <w:ind w:left="735" w:leftChars="100" w:hanging="525" w:hangingChars="2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c>
          <w:tcPr>
            <w:tcW w:w="4463" w:type="dxa"/>
            <w:noWrap w:val="0"/>
            <w:vAlign w:val="center"/>
          </w:tcPr>
          <w:p w14:paraId="16A5C4AF">
            <w:pPr>
              <w:keepNext w:val="0"/>
              <w:keepLines w:val="0"/>
              <w:pageBreakBefore w:val="0"/>
              <w:widowControl w:val="0"/>
              <w:tabs>
                <w:tab w:val="left" w:pos="5760"/>
              </w:tabs>
              <w:kinsoku/>
              <w:wordWrap/>
              <w:overflowPunct/>
              <w:topLinePunct w:val="0"/>
              <w:bidi w:val="0"/>
              <w:snapToGrid/>
              <w:spacing w:line="324" w:lineRule="auto"/>
              <w:ind w:firstLine="840" w:firstLineChars="4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c>
          <w:tcPr>
            <w:tcW w:w="4463" w:type="dxa"/>
            <w:noWrap w:val="0"/>
            <w:vAlign w:val="center"/>
          </w:tcPr>
          <w:p w14:paraId="0BBD54D3">
            <w:pPr>
              <w:keepNext w:val="0"/>
              <w:keepLines w:val="0"/>
              <w:pageBreakBefore w:val="0"/>
              <w:widowControl w:val="0"/>
              <w:tabs>
                <w:tab w:val="left" w:pos="5760"/>
              </w:tabs>
              <w:kinsoku/>
              <w:wordWrap/>
              <w:overflowPunct/>
              <w:topLinePunct w:val="0"/>
              <w:bidi w:val="0"/>
              <w:snapToGrid/>
              <w:spacing w:line="324" w:lineRule="auto"/>
              <w:ind w:left="794" w:leftChars="228" w:hanging="315" w:hangingChars="150"/>
              <w:textAlignment w:val="auto"/>
              <w:rPr>
                <w:rFonts w:hint="eastAsia" w:ascii="宋体" w:hAnsi="宋体" w:eastAsia="宋体" w:cs="宋体"/>
                <w:sz w:val="21"/>
                <w:szCs w:val="21"/>
                <w:highlight w:val="none"/>
                <w:u w:val="single"/>
              </w:rPr>
            </w:pPr>
          </w:p>
        </w:tc>
      </w:tr>
    </w:tbl>
    <w:p w14:paraId="6FD814C6"/>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6"/>
      <w:numFmt w:val="bullet"/>
      <w:lvlText w:val="△"/>
      <w:lvlJc w:val="left"/>
      <w:pPr>
        <w:tabs>
          <w:tab w:val="left" w:pos="780"/>
        </w:tabs>
        <w:ind w:left="780" w:hanging="360"/>
      </w:pPr>
      <w:rPr>
        <w:rFonts w:hint="eastAsia" w:ascii="宋体" w:hAnsi="宋体" w:eastAsia="宋体"/>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1B3425E4"/>
    <w:multiLevelType w:val="singleLevel"/>
    <w:tmpl w:val="1B3425E4"/>
    <w:lvl w:ilvl="0" w:tentative="0">
      <w:start w:val="1"/>
      <w:numFmt w:val="decimal"/>
      <w:suff w:val="nothing"/>
      <w:lvlText w:val="（%1）"/>
      <w:lvlJc w:val="left"/>
    </w:lvl>
  </w:abstractNum>
  <w:abstractNum w:abstractNumId="2">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5"/>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E0C43"/>
    <w:rsid w:val="07DC3F41"/>
    <w:rsid w:val="08603234"/>
    <w:rsid w:val="08AC7D02"/>
    <w:rsid w:val="0CE8513B"/>
    <w:rsid w:val="13070F9E"/>
    <w:rsid w:val="141425F8"/>
    <w:rsid w:val="1BF944CA"/>
    <w:rsid w:val="1EFF3AD1"/>
    <w:rsid w:val="236847E9"/>
    <w:rsid w:val="244F0582"/>
    <w:rsid w:val="25837414"/>
    <w:rsid w:val="25C167FE"/>
    <w:rsid w:val="25F045D2"/>
    <w:rsid w:val="27826579"/>
    <w:rsid w:val="28D252DE"/>
    <w:rsid w:val="29EC2A70"/>
    <w:rsid w:val="2A5319FD"/>
    <w:rsid w:val="2C737178"/>
    <w:rsid w:val="2E3B2871"/>
    <w:rsid w:val="384E1915"/>
    <w:rsid w:val="39461AFC"/>
    <w:rsid w:val="3A633507"/>
    <w:rsid w:val="3D4A2601"/>
    <w:rsid w:val="420C5B89"/>
    <w:rsid w:val="42D66B91"/>
    <w:rsid w:val="48192C0A"/>
    <w:rsid w:val="4B1550A5"/>
    <w:rsid w:val="4F612DF4"/>
    <w:rsid w:val="58C24029"/>
    <w:rsid w:val="5FF904FF"/>
    <w:rsid w:val="63470954"/>
    <w:rsid w:val="642503DD"/>
    <w:rsid w:val="6811140F"/>
    <w:rsid w:val="6DB450BF"/>
    <w:rsid w:val="6F6C0297"/>
    <w:rsid w:val="73D52935"/>
    <w:rsid w:val="74892BA2"/>
    <w:rsid w:val="74967143"/>
    <w:rsid w:val="77AC384A"/>
    <w:rsid w:val="78FA0F06"/>
    <w:rsid w:val="7B8B7243"/>
    <w:rsid w:val="7BDC361F"/>
    <w:rsid w:val="7EEC6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unhideWhenUsed/>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ascii="Calibri" w:hAnsi="Calibri"/>
    </w:rPr>
  </w:style>
  <w:style w:type="paragraph" w:styleId="3">
    <w:name w:val="Body Text"/>
    <w:basedOn w:val="1"/>
    <w:next w:val="1"/>
    <w:qFormat/>
    <w:uiPriority w:val="0"/>
    <w:pPr>
      <w:spacing w:after="120"/>
    </w:p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Title"/>
    <w:basedOn w:val="1"/>
    <w:next w:val="1"/>
    <w:qFormat/>
    <w:uiPriority w:val="0"/>
    <w:pPr>
      <w:spacing w:before="240" w:after="60"/>
      <w:jc w:val="center"/>
      <w:outlineLvl w:val="0"/>
    </w:pPr>
    <w:rPr>
      <w:rFonts w:ascii="等线 Light" w:hAnsi="等线 Light" w:cs="Times New Roman"/>
      <w:b/>
      <w:bCs/>
      <w:sz w:val="32"/>
      <w:szCs w:val="32"/>
    </w:rPr>
  </w:style>
  <w:style w:type="paragraph" w:customStyle="1" w:styleId="10">
    <w:name w:val="null3"/>
    <w:qFormat/>
    <w:uiPriority w:val="0"/>
    <w:rPr>
      <w:rFonts w:hint="eastAsia" w:ascii="Calibri" w:hAnsi="Calibri" w:eastAsia="宋体" w:cs="Times New Roman"/>
      <w:lang w:val="en-US" w:eastAsia="zh-Hans"/>
    </w:rPr>
  </w:style>
  <w:style w:type="paragraph" w:customStyle="1" w:styleId="11">
    <w:name w:val="样式 标题 3 + (中文) 黑体 小四 非加粗 段前: 7.8 磅 段后: 0 磅 行距: 固定值 20 磅"/>
    <w:basedOn w:val="4"/>
    <w:qFormat/>
    <w:uiPriority w:val="0"/>
    <w:pPr>
      <w:spacing w:before="0" w:after="0" w:line="400" w:lineRule="exact"/>
      <w:jc w:val="left"/>
    </w:pPr>
    <w:rPr>
      <w:rFonts w:ascii="宋体" w:hAnsi="宋体" w:eastAsia="黑体" w:cs="宋体"/>
      <w:b w:val="0"/>
      <w:bCs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64</Pages>
  <Words>29332</Words>
  <Characters>31488</Characters>
  <Lines>0</Lines>
  <Paragraphs>0</Paragraphs>
  <TotalTime>0</TotalTime>
  <ScaleCrop>false</ScaleCrop>
  <LinksUpToDate>false</LinksUpToDate>
  <CharactersWithSpaces>32392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2025-10-23T10:00:00Z</dcterms:created>
  <dc:creator>PC</dc:creator>
  <cp:lastModifiedBy>常萌</cp:lastModifiedBy>
  <dcterms:modified xsi:type="dcterms:W3CDTF">2026-06-02T09:55:27Z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eyJoZGlkIjoiNjE1YjJiOTg2OTBhZGVjM2FkMWIzNThmNGUyM2E3NDEiLCJ1c2VySWQiOiIxNDQ2MjAzMzU5In0=</vt:lpwstr>
  </property>
  <property fmtid="{D5CDD505-2E9C-101B-9397-08002B2CF9AE}" pid="4" name="ICV">
    <vt:lpwstr>C52C4091B5364E4D837D0CD2FACA15AB_12</vt:lpwstr>
  </property>
</Properties>
</file>