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版本号：【KRDL】K2-260605720260707001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“一带一路“数字经济孪生全产业链国际商务决策实验设备采购项目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【KRDL】K2-2606057</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“一带一路“数字经济孪生全产业链国际商务决策实验设备采购项目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【KRDL】K2-2606057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“一带一路“数字经济孪生全产业链国际商务决策实验设备采购项目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本项目旨在通过引入数字孪生技术，打造一个高度沉浸、全景式映射的数智商业社会环境，突破物理空间与实体资源的限制，让学生在“身临其境”中直观洞察从宏观经济运转到微观企业岗位操作的商业全貌。</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1、营业执照：投标人为向招标人提供货物的法人或其他组织</w:t>
      </w:r>
    </w:p>
    <w:p>
      <w:pPr>
        <w:pStyle w:val="null3"/>
      </w:pPr>
      <w:r>
        <w:rPr>
          <w:rFonts w:ascii="仿宋_GB2312" w:hAnsi="仿宋_GB2312" w:cs="仿宋_GB2312" w:eastAsia="仿宋_GB2312"/>
        </w:rPr>
        <w:t>2、信用主体查询：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西安市长安区郭杜教育科技产业开发区文苑南路6号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白涛、刘昆、姚瑶、王昭、代光艳、王森、靳祥德、成荔、彭明杨、王莉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029-89581311、15902910121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 如遇下列情况之一者，合同履约保证金不予退还，作为对采购人的赔偿： （1）合同签订后不能按合同时限要求供货或安装调试； （2）所供货物不合格、与合同不符； （3）不能按合同履约； （4）货物验收不合格。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中标人参照国家计委颁发的《招标代理服务收费管理暂行办法》（计价格[2002]1980号）和发改委办公厅颁发的《关于招标代理服务收费有关问题的通知》（发改办价格[2003] 857号）的有关规定下浮15%，向招标代理机构一次付清招标代理服务费。备注：在对招标代理服务费或者投标保证金转账时需备注项目名称+招标代理服务费或投标保证金。</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遵照招标文件、国家有关规定及合同约定执行。</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遵照招标文件、国家有关规定及合同约定执行。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联系人：白涛、刘昆</w:t>
      </w:r>
    </w:p>
    <w:p>
      <w:pPr>
        <w:pStyle w:val="null3"/>
      </w:pPr>
      <w:r>
        <w:rPr>
          <w:rFonts w:ascii="仿宋_GB2312" w:hAnsi="仿宋_GB2312" w:cs="仿宋_GB2312" w:eastAsia="仿宋_GB2312"/>
        </w:rPr>
        <w:t>联系电话：15902910121</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本项目旨在通过引入数字孪生技术，打造一个高度沉浸、全景式映射的数智商业社会环境，突破物理空间与实体资源的限制，让学生在“身临其境”中直观洞察从宏观经济运转到微观企业岗位操作的商业全貌。</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776,000.00</w:t>
      </w:r>
    </w:p>
    <w:p>
      <w:pPr>
        <w:pStyle w:val="null3"/>
      </w:pPr>
      <w:r>
        <w:rPr>
          <w:rFonts w:ascii="仿宋_GB2312" w:hAnsi="仿宋_GB2312" w:cs="仿宋_GB2312" w:eastAsia="仿宋_GB2312"/>
        </w:rPr>
        <w:t>采购包最高限价（元）: 776,000.00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“一带一路”数字经济孪生全产业链国际商务决策实验设备采购项目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776,000.00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标的名称：“一带一路”数字经济孪生全产业链国际商务决策实验设备采购项目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rPr>
              <w:t>一、采购清单</w:t>
            </w:r>
          </w:p>
          <w:tbl>
            <w:tblPr>
              <w:tblBorders>
                <w:top w:val="none" w:color="000000" w:sz="4"/>
                <w:left w:val="none" w:color="000000" w:sz="4"/>
                <w:bottom w:val="none" w:color="000000" w:sz="4"/>
                <w:right w:val="none" w:color="000000" w:sz="4"/>
                <w:insideH w:val="none"/>
                <w:insideV w:val="none"/>
              </w:tblBorders>
            </w:tblPr>
            <w:tblGrid>
              <w:gridCol w:w="299"/>
              <w:gridCol w:w="1397"/>
              <w:gridCol w:w="424"/>
              <w:gridCol w:w="424"/>
            </w:tblGrid>
            <w:tr>
              <w:tc>
                <w:tcPr>
                  <w:tcW w:type="dxa" w:w="2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3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tc>
              <w:tc>
                <w:tcPr>
                  <w:tcW w:type="dxa" w:w="4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备注</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“一带一路”数字经济孪生全产业链国际商务决策平台</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核心产品</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“一带一路”数字经济孪生全产业链国际商务决策设备</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便携式脑电实验单元</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r>
              <w:tc>
                <w:tcPr>
                  <w:tcW w:type="dxa" w:w="2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3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数据处理工作站</w:t>
                  </w:r>
                </w:p>
              </w:tc>
              <w:tc>
                <w:tcPr>
                  <w:tcW w:type="dxa" w:w="4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r>
          </w:tbl>
          <w:p>
            <w:pPr>
              <w:pStyle w:val="null3"/>
              <w:ind w:firstLine="480"/>
            </w:pPr>
            <w:r>
              <w:rPr>
                <w:rFonts w:ascii="仿宋_GB2312" w:hAnsi="仿宋_GB2312" w:cs="仿宋_GB2312" w:eastAsia="仿宋_GB2312"/>
                <w:sz w:val="24"/>
              </w:rPr>
              <w:t>二、技术参数</w:t>
            </w:r>
          </w:p>
          <w:tbl>
            <w:tblPr>
              <w:tblBorders>
                <w:top w:val="none" w:color="000000" w:sz="4"/>
                <w:left w:val="none" w:color="000000" w:sz="4"/>
                <w:bottom w:val="none" w:color="000000" w:sz="4"/>
                <w:right w:val="none" w:color="000000" w:sz="4"/>
                <w:insideH w:val="none"/>
                <w:insideV w:val="none"/>
              </w:tblBorders>
            </w:tblPr>
            <w:tblGrid>
              <w:gridCol w:w="210"/>
              <w:gridCol w:w="590"/>
              <w:gridCol w:w="1748"/>
            </w:tblGrid>
            <w:tr>
              <w:tc>
                <w:tcPr>
                  <w:tcW w:type="dxa" w:w="2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货物名称</w:t>
                  </w:r>
                </w:p>
              </w:tc>
              <w:tc>
                <w:tcPr>
                  <w:tcW w:type="dxa" w:w="17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技术参数</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“一带一路”数字经济孪生全产业链国际商务决策平台</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一、平台功能指标</w:t>
                  </w:r>
                </w:p>
                <w:p>
                  <w:pPr>
                    <w:pStyle w:val="null3"/>
                    <w:jc w:val="both"/>
                  </w:pPr>
                  <w:r>
                    <w:rPr>
                      <w:rFonts w:ascii="仿宋_GB2312" w:hAnsi="仿宋_GB2312" w:cs="仿宋_GB2312" w:eastAsia="仿宋_GB2312"/>
                      <w:sz w:val="24"/>
                    </w:rPr>
                    <w:t>1.数字社会全景孪生系统</w:t>
                  </w:r>
                </w:p>
                <w:p>
                  <w:pPr>
                    <w:pStyle w:val="null3"/>
                    <w:jc w:val="both"/>
                  </w:pPr>
                  <w:r>
                    <w:rPr>
                      <w:rFonts w:ascii="仿宋_GB2312" w:hAnsi="仿宋_GB2312" w:cs="仿宋_GB2312" w:eastAsia="仿宋_GB2312"/>
                      <w:sz w:val="24"/>
                    </w:rPr>
                    <w:t>1.1要求平台充分运用数字孪生技术的优势，以宏观角度洞察整个商业社会的各项数据指标情况，在驾驶舱下探索商业社会的数据特征。</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1.2数字社会全景孪生系统由宏观到微观包括社会层、区域层、企业层、部门层不少于4个层次。社会层从产业经济、能源碳排放、交通出行、环境人口和教育医疗等维度呈现城市数据；区域层集中呈现各核心企业间的商业关系和经营协同关系；企业层呈现企业经营的各项数据指标；部门层从企业的部门数据出发，呈现部门角度的关键数据指标。</w:t>
                  </w:r>
                </w:p>
                <w:p>
                  <w:pPr>
                    <w:pStyle w:val="null3"/>
                    <w:jc w:val="both"/>
                  </w:pPr>
                  <w:r>
                    <w:rPr>
                      <w:rFonts w:ascii="仿宋_GB2312" w:hAnsi="仿宋_GB2312" w:cs="仿宋_GB2312" w:eastAsia="仿宋_GB2312"/>
                      <w:sz w:val="24"/>
                    </w:rPr>
                    <w:t>2.社会层提供社会数据驾驶舱</w:t>
                  </w:r>
                </w:p>
                <w:p>
                  <w:pPr>
                    <w:pStyle w:val="null3"/>
                    <w:jc w:val="both"/>
                  </w:pPr>
                  <w:r>
                    <w:rPr>
                      <w:rFonts w:ascii="仿宋_GB2312" w:hAnsi="仿宋_GB2312" w:cs="仿宋_GB2312" w:eastAsia="仿宋_GB2312"/>
                      <w:sz w:val="24"/>
                    </w:rPr>
                    <w:t>数字孪生场景支持网页端直接运行，支持鼠标控制三维场景旋转、拖拽、缩放及多层级场景一键切换与镜头聚焦。</w:t>
                  </w:r>
                </w:p>
                <w:p>
                  <w:pPr>
                    <w:pStyle w:val="null3"/>
                    <w:jc w:val="both"/>
                  </w:pPr>
                  <w:r>
                    <w:rPr>
                      <w:rFonts w:ascii="仿宋_GB2312" w:hAnsi="仿宋_GB2312" w:cs="仿宋_GB2312" w:eastAsia="仿宋_GB2312"/>
                      <w:sz w:val="24"/>
                    </w:rPr>
                    <w:t>2.1产业经济维度：支持经济总量、工业增加值、外贸总量、企业数量、社会存贷款总量、税收与债务不少于6大类；</w:t>
                  </w:r>
                </w:p>
                <w:p>
                  <w:pPr>
                    <w:pStyle w:val="null3"/>
                    <w:jc w:val="both"/>
                  </w:pPr>
                  <w:r>
                    <w:rPr>
                      <w:rFonts w:ascii="仿宋_GB2312" w:hAnsi="仿宋_GB2312" w:cs="仿宋_GB2312" w:eastAsia="仿宋_GB2312"/>
                      <w:sz w:val="24"/>
                    </w:rPr>
                    <w:t>2.2交通出行维度：支持交通里程、公共交通、出行数据、智能交通、物流运输不少于5大类；</w:t>
                  </w:r>
                </w:p>
                <w:p>
                  <w:pPr>
                    <w:pStyle w:val="null3"/>
                    <w:jc w:val="both"/>
                  </w:pPr>
                  <w:r>
                    <w:rPr>
                      <w:rFonts w:ascii="仿宋_GB2312" w:hAnsi="仿宋_GB2312" w:cs="仿宋_GB2312" w:eastAsia="仿宋_GB2312"/>
                      <w:sz w:val="24"/>
                    </w:rPr>
                    <w:t>2.3环境人口维度：支持总人口、人口结构、消费、城市空气质量、生态环境、物价指数6大类，包含不少于15个数据子项展示；</w:t>
                  </w:r>
                </w:p>
                <w:p>
                  <w:pPr>
                    <w:pStyle w:val="null3"/>
                    <w:jc w:val="both"/>
                  </w:pPr>
                  <w:r>
                    <w:rPr>
                      <w:rFonts w:ascii="仿宋_GB2312" w:hAnsi="仿宋_GB2312" w:cs="仿宋_GB2312" w:eastAsia="仿宋_GB2312"/>
                      <w:sz w:val="24"/>
                    </w:rPr>
                    <w:t>2.4教育医疗维度：支持教育概况、院校分布与数量、医疗概况、医疗保险和生育保险主要指标不少于4大类；</w:t>
                  </w:r>
                </w:p>
                <w:p>
                  <w:pPr>
                    <w:pStyle w:val="null3"/>
                    <w:jc w:val="both"/>
                  </w:pPr>
                  <w:r>
                    <w:rPr>
                      <w:rFonts w:ascii="仿宋_GB2312" w:hAnsi="仿宋_GB2312" w:cs="仿宋_GB2312" w:eastAsia="仿宋_GB2312"/>
                      <w:sz w:val="24"/>
                    </w:rPr>
                    <w:t>2.5能源碳排放维度：支持能源总消耗、新能源、其他资源、碳排放不少于4大类。</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3.数据分析看板系统</w:t>
                  </w:r>
                </w:p>
                <w:p>
                  <w:pPr>
                    <w:pStyle w:val="null3"/>
                    <w:jc w:val="both"/>
                  </w:pPr>
                  <w:r>
                    <w:rPr>
                      <w:rFonts w:ascii="仿宋_GB2312" w:hAnsi="仿宋_GB2312" w:cs="仿宋_GB2312" w:eastAsia="仿宋_GB2312"/>
                      <w:sz w:val="24"/>
                    </w:rPr>
                    <w:t>平台中配置不少于</w:t>
                  </w:r>
                  <w:r>
                    <w:rPr>
                      <w:rFonts w:ascii="仿宋_GB2312" w:hAnsi="仿宋_GB2312" w:cs="仿宋_GB2312" w:eastAsia="仿宋_GB2312"/>
                      <w:sz w:val="24"/>
                    </w:rPr>
                    <w:t>9种经营数据看板，实时反映各组织的经营数据，包括企业管理、财务、采购供应、营销销售、生产制造、人力、政务、金融及综合服务看板。系统内置各项经营管理指标，数据均根据各组织经营实时计算得出（指标维度涵盖计划预算、采购、销售、生产、人力、仓储、财务、物流、政务、金融及综合服务等）。看板系统无需编写代码，支持拖拽设计，各组织可按需配置专属看板。</w:t>
                  </w:r>
                </w:p>
                <w:p>
                  <w:pPr>
                    <w:pStyle w:val="null3"/>
                    <w:jc w:val="both"/>
                  </w:pPr>
                  <w:r>
                    <w:rPr>
                      <w:rFonts w:ascii="仿宋_GB2312" w:hAnsi="仿宋_GB2312" w:cs="仿宋_GB2312" w:eastAsia="仿宋_GB2312"/>
                      <w:sz w:val="24"/>
                    </w:rPr>
                    <w:t>4.教学管理与课程运行系统</w:t>
                  </w:r>
                </w:p>
                <w:p>
                  <w:pPr>
                    <w:pStyle w:val="null3"/>
                    <w:jc w:val="both"/>
                  </w:pPr>
                  <w:r>
                    <w:rPr>
                      <w:rFonts w:ascii="仿宋_GB2312" w:hAnsi="仿宋_GB2312" w:cs="仿宋_GB2312" w:eastAsia="仿宋_GB2312"/>
                      <w:sz w:val="24"/>
                    </w:rPr>
                    <w:t>平台通过管理员及教师两个角色实现教学管理与课程运行功能。</w:t>
                  </w:r>
                </w:p>
                <w:p>
                  <w:pPr>
                    <w:pStyle w:val="null3"/>
                    <w:jc w:val="both"/>
                  </w:pPr>
                  <w:r>
                    <w:rPr>
                      <w:rFonts w:ascii="仿宋_GB2312" w:hAnsi="仿宋_GB2312" w:cs="仿宋_GB2312" w:eastAsia="仿宋_GB2312"/>
                      <w:sz w:val="24"/>
                    </w:rPr>
                    <w:t>4.1管理员功能</w:t>
                  </w:r>
                </w:p>
                <w:p>
                  <w:pPr>
                    <w:pStyle w:val="null3"/>
                    <w:jc w:val="both"/>
                  </w:pPr>
                  <w:r>
                    <w:rPr>
                      <w:rFonts w:ascii="仿宋_GB2312" w:hAnsi="仿宋_GB2312" w:cs="仿宋_GB2312" w:eastAsia="仿宋_GB2312"/>
                      <w:sz w:val="24"/>
                    </w:rPr>
                    <w:t>支持自定义维护院校组织架构；支持教师与学生的批量导入、信息维护与账号密码管理；支持案例导入与工作台权限配置；支持课程方案授权与预览；支持平台个性化配置。</w:t>
                  </w:r>
                </w:p>
                <w:p>
                  <w:pPr>
                    <w:pStyle w:val="null3"/>
                    <w:jc w:val="both"/>
                  </w:pPr>
                  <w:r>
                    <w:rPr>
                      <w:rFonts w:ascii="仿宋_GB2312" w:hAnsi="仿宋_GB2312" w:cs="仿宋_GB2312" w:eastAsia="仿宋_GB2312"/>
                      <w:sz w:val="24"/>
                    </w:rPr>
                    <w:t>4.2教师端功能</w:t>
                  </w:r>
                </w:p>
                <w:p>
                  <w:pPr>
                    <w:pStyle w:val="null3"/>
                    <w:jc w:val="both"/>
                  </w:pPr>
                  <w:r>
                    <w:rPr>
                      <w:rFonts w:ascii="仿宋_GB2312" w:hAnsi="仿宋_GB2312" w:cs="仿宋_GB2312" w:eastAsia="仿宋_GB2312"/>
                      <w:sz w:val="24"/>
                    </w:rPr>
                    <w:t>4.2.1创建教学班：支持选择课程或自定义课程创建，设置班级基础信息，支持直接授权或邀请码授权学生加入。</w:t>
                  </w:r>
                </w:p>
                <w:p>
                  <w:pPr>
                    <w:pStyle w:val="null3"/>
                    <w:jc w:val="both"/>
                  </w:pPr>
                  <w:r>
                    <w:rPr>
                      <w:rFonts w:ascii="仿宋_GB2312" w:hAnsi="仿宋_GB2312" w:cs="仿宋_GB2312" w:eastAsia="仿宋_GB2312"/>
                      <w:sz w:val="24"/>
                    </w:rPr>
                    <w:t>4.2.2支持教师批量推送经营业务及切换虚拟经营日期。</w:t>
                  </w:r>
                </w:p>
                <w:p>
                  <w:pPr>
                    <w:pStyle w:val="null3"/>
                    <w:jc w:val="both"/>
                  </w:pPr>
                  <w:r>
                    <w:rPr>
                      <w:rFonts w:ascii="仿宋_GB2312" w:hAnsi="仿宋_GB2312" w:cs="仿宋_GB2312" w:eastAsia="仿宋_GB2312"/>
                      <w:sz w:val="24"/>
                    </w:rPr>
                    <w:t>4.2.3教师管理：支持教学班增加多位主讲教师协同管理。</w:t>
                  </w:r>
                </w:p>
                <w:p>
                  <w:pPr>
                    <w:pStyle w:val="null3"/>
                    <w:jc w:val="both"/>
                  </w:pPr>
                  <w:r>
                    <w:rPr>
                      <w:rFonts w:ascii="仿宋_GB2312" w:hAnsi="仿宋_GB2312" w:cs="仿宋_GB2312" w:eastAsia="仿宋_GB2312"/>
                      <w:sz w:val="24"/>
                    </w:rPr>
                    <w:t>4.2.4公告管理：支持发布公告进行教学沟通。</w:t>
                  </w:r>
                </w:p>
                <w:p>
                  <w:pPr>
                    <w:pStyle w:val="null3"/>
                    <w:jc w:val="both"/>
                  </w:pPr>
                  <w:r>
                    <w:rPr>
                      <w:rFonts w:ascii="仿宋_GB2312" w:hAnsi="仿宋_GB2312" w:cs="仿宋_GB2312" w:eastAsia="仿宋_GB2312"/>
                      <w:sz w:val="24"/>
                    </w:rPr>
                    <w:t>4.2.5学生管理：支持查看、移除学生，重置密码及模板导入。</w:t>
                  </w:r>
                </w:p>
                <w:p>
                  <w:pPr>
                    <w:pStyle w:val="null3"/>
                    <w:jc w:val="both"/>
                  </w:pPr>
                  <w:r>
                    <w:rPr>
                      <w:rFonts w:ascii="仿宋_GB2312" w:hAnsi="仿宋_GB2312" w:cs="仿宋_GB2312" w:eastAsia="仿宋_GB2312"/>
                      <w:sz w:val="24"/>
                    </w:rPr>
                    <w:t>4.2.6参数配置：支持岗位轮岗模式配置，业务单据岗位操作权限控制开关、应用快捷入口及参考答案显示开关等参数设置。</w:t>
                  </w:r>
                </w:p>
                <w:p>
                  <w:pPr>
                    <w:pStyle w:val="null3"/>
                    <w:jc w:val="both"/>
                  </w:pPr>
                  <w:r>
                    <w:rPr>
                      <w:rFonts w:ascii="仿宋_GB2312" w:hAnsi="仿宋_GB2312" w:cs="仿宋_GB2312" w:eastAsia="仿宋_GB2312"/>
                      <w:sz w:val="24"/>
                    </w:rPr>
                    <w:t>4.2.7CEO竞选：支持CEO竞选的线上报名及截止、线上投票及截止操作，并支持实时查看报名与投票结果。</w:t>
                  </w:r>
                </w:p>
                <w:p>
                  <w:pPr>
                    <w:pStyle w:val="null3"/>
                    <w:jc w:val="both"/>
                  </w:pPr>
                  <w:r>
                    <w:rPr>
                      <w:rFonts w:ascii="仿宋_GB2312" w:hAnsi="仿宋_GB2312" w:cs="仿宋_GB2312" w:eastAsia="仿宋_GB2312"/>
                      <w:sz w:val="24"/>
                    </w:rPr>
                    <w:t>4.2.8岗位配置：支持按需配置企业数量及岗位合并操作。</w:t>
                  </w:r>
                </w:p>
                <w:p>
                  <w:pPr>
                    <w:pStyle w:val="null3"/>
                    <w:jc w:val="both"/>
                  </w:pPr>
                  <w:r>
                    <w:rPr>
                      <w:rFonts w:ascii="仿宋_GB2312" w:hAnsi="仿宋_GB2312" w:cs="仿宋_GB2312" w:eastAsia="仿宋_GB2312"/>
                      <w:sz w:val="24"/>
                    </w:rPr>
                    <w:t>4.2.9上岗管理：支持查看上岗状态、为学生上岗/强制下岗及批量下岗。</w:t>
                  </w:r>
                </w:p>
                <w:p>
                  <w:pPr>
                    <w:pStyle w:val="null3"/>
                    <w:jc w:val="both"/>
                  </w:pPr>
                  <w:r>
                    <w:rPr>
                      <w:rFonts w:ascii="仿宋_GB2312" w:hAnsi="仿宋_GB2312" w:cs="仿宋_GB2312" w:eastAsia="仿宋_GB2312"/>
                      <w:sz w:val="24"/>
                    </w:rPr>
                    <w:t>4.2.10进度查询：支持按组织实时查看各任务完成进度。</w:t>
                  </w:r>
                </w:p>
                <w:p>
                  <w:pPr>
                    <w:pStyle w:val="null3"/>
                    <w:jc w:val="both"/>
                  </w:pPr>
                  <w:r>
                    <w:rPr>
                      <w:rFonts w:ascii="仿宋_GB2312" w:hAnsi="仿宋_GB2312" w:cs="仿宋_GB2312" w:eastAsia="仿宋_GB2312"/>
                      <w:sz w:val="24"/>
                    </w:rPr>
                    <w:t>4.2.11图谱查询：支持教师端查看岗位图谱与任务图谱。</w:t>
                  </w:r>
                </w:p>
                <w:p>
                  <w:pPr>
                    <w:pStyle w:val="null3"/>
                    <w:jc w:val="both"/>
                  </w:pPr>
                  <w:r>
                    <w:rPr>
                      <w:rFonts w:ascii="仿宋_GB2312" w:hAnsi="仿宋_GB2312" w:cs="仿宋_GB2312" w:eastAsia="仿宋_GB2312"/>
                      <w:sz w:val="24"/>
                    </w:rPr>
                    <w:t>4.2.12考核与成绩管理：支持自定义考核方案及各项占比；支持课堂发起签到及考勤结果调整与统计；支持业务与决策阶段的自动考核计算、CEO绩效考核及教师主观评分；支持测试成绩、项目成果、个人成果、工作日志的查看与评分；支持总成绩查看、重算与批量导出。</w:t>
                  </w:r>
                </w:p>
                <w:p>
                  <w:pPr>
                    <w:pStyle w:val="null3"/>
                    <w:jc w:val="both"/>
                  </w:pPr>
                  <w:r>
                    <w:rPr>
                      <w:rFonts w:ascii="仿宋_GB2312" w:hAnsi="仿宋_GB2312" w:cs="仿宋_GB2312" w:eastAsia="仿宋_GB2312"/>
                      <w:sz w:val="24"/>
                    </w:rPr>
                    <w:t>4.2.13实训报告与会议纪要：支持查看打分、退回及批量导出学生实训总结；支持实时查询各企业经营会议内容。</w:t>
                  </w:r>
                </w:p>
                <w:p>
                  <w:pPr>
                    <w:pStyle w:val="null3"/>
                    <w:jc w:val="both"/>
                  </w:pPr>
                  <w:r>
                    <w:rPr>
                      <w:rFonts w:ascii="仿宋_GB2312" w:hAnsi="仿宋_GB2312" w:cs="仿宋_GB2312" w:eastAsia="仿宋_GB2312"/>
                      <w:sz w:val="24"/>
                    </w:rPr>
                    <w:t>▲4.2.14经营看板与业务监控：支持通过看板对比各组织经营状况；支持实时查询各企业各岗位业务单据完成情况；支持查看各组织银行存款与流水并调节金额；支持查询各企业库存期初、出入库及结存情况。</w:t>
                  </w:r>
                </w:p>
                <w:p>
                  <w:pPr>
                    <w:pStyle w:val="null3"/>
                    <w:jc w:val="both"/>
                  </w:pPr>
                  <w:r>
                    <w:rPr>
                      <w:rFonts w:ascii="仿宋_GB2312" w:hAnsi="仿宋_GB2312" w:cs="仿宋_GB2312" w:eastAsia="仿宋_GB2312"/>
                      <w:sz w:val="24"/>
                    </w:rPr>
                    <w:t>▲4.2.15虚拟市场：支持查看竞单排名与派单情况，支持新增虚拟订单、调节需求量及手动派单。</w:t>
                  </w:r>
                </w:p>
                <w:p>
                  <w:pPr>
                    <w:pStyle w:val="null3"/>
                    <w:jc w:val="both"/>
                  </w:pPr>
                  <w:r>
                    <w:rPr>
                      <w:rFonts w:ascii="仿宋_GB2312" w:hAnsi="仿宋_GB2312" w:cs="仿宋_GB2312" w:eastAsia="仿宋_GB2312"/>
                      <w:sz w:val="24"/>
                    </w:rPr>
                    <w:t>▲4.2.16突发事件：支持教师创建突发事件，对需求端、供应端、银行、物流、存货等市场环境数据进行干预与调节。</w:t>
                  </w:r>
                </w:p>
                <w:p>
                  <w:pPr>
                    <w:pStyle w:val="null3"/>
                    <w:jc w:val="both"/>
                  </w:pPr>
                  <w:r>
                    <w:rPr>
                      <w:rFonts w:ascii="仿宋_GB2312" w:hAnsi="仿宋_GB2312" w:cs="仿宋_GB2312" w:eastAsia="仿宋_GB2312"/>
                      <w:sz w:val="24"/>
                    </w:rPr>
                    <w:t>4.2.17教师端对当前虚拟日开工的产线进行数据调整。</w:t>
                  </w:r>
                </w:p>
                <w:p>
                  <w:pPr>
                    <w:pStyle w:val="null3"/>
                    <w:jc w:val="both"/>
                  </w:pPr>
                  <w:r>
                    <w:rPr>
                      <w:rFonts w:ascii="仿宋_GB2312" w:hAnsi="仿宋_GB2312" w:cs="仿宋_GB2312" w:eastAsia="仿宋_GB2312"/>
                      <w:sz w:val="24"/>
                    </w:rPr>
                    <w:t>4.2.18资源管理：支持上传案例辅助资源支持教学。</w:t>
                  </w:r>
                </w:p>
                <w:p>
                  <w:pPr>
                    <w:pStyle w:val="null3"/>
                    <w:jc w:val="both"/>
                  </w:pPr>
                  <w:r>
                    <w:rPr>
                      <w:rFonts w:ascii="仿宋_GB2312" w:hAnsi="仿宋_GB2312" w:cs="仿宋_GB2312" w:eastAsia="仿宋_GB2312"/>
                      <w:sz w:val="24"/>
                    </w:rPr>
                    <w:t>二、无人机功能指标</w:t>
                  </w:r>
                </w:p>
                <w:p>
                  <w:pPr>
                    <w:pStyle w:val="null3"/>
                    <w:jc w:val="both"/>
                  </w:pPr>
                  <w:r>
                    <w:rPr>
                      <w:rFonts w:ascii="仿宋_GB2312" w:hAnsi="仿宋_GB2312" w:cs="仿宋_GB2312" w:eastAsia="仿宋_GB2312"/>
                      <w:sz w:val="24"/>
                    </w:rPr>
                    <w:t>1.教学资源</w:t>
                  </w:r>
                </w:p>
                <w:p>
                  <w:pPr>
                    <w:pStyle w:val="null3"/>
                    <w:jc w:val="both"/>
                  </w:pPr>
                  <w:r>
                    <w:rPr>
                      <w:rFonts w:ascii="仿宋_GB2312" w:hAnsi="仿宋_GB2312" w:cs="仿宋_GB2312" w:eastAsia="仿宋_GB2312"/>
                      <w:sz w:val="24"/>
                    </w:rPr>
                    <w:t>1.1 教学知识点资源不少于90个，涵盖企业管理、数据平台、区块链、市场营销、供产销、财务、税务、固定资产、人力资源、物流、碳管理及电子银行等内容。</w:t>
                  </w:r>
                </w:p>
                <w:p>
                  <w:pPr>
                    <w:pStyle w:val="null3"/>
                    <w:jc w:val="both"/>
                  </w:pPr>
                  <w:r>
                    <w:rPr>
                      <w:rFonts w:ascii="仿宋_GB2312" w:hAnsi="仿宋_GB2312" w:cs="仿宋_GB2312" w:eastAsia="仿宋_GB2312"/>
                      <w:sz w:val="24"/>
                    </w:rPr>
                    <w:t>1.2 各类数字化系统的使用操作手册不少于40个。</w:t>
                  </w:r>
                </w:p>
                <w:p>
                  <w:pPr>
                    <w:pStyle w:val="null3"/>
                    <w:jc w:val="both"/>
                  </w:pPr>
                  <w:r>
                    <w:rPr>
                      <w:rFonts w:ascii="仿宋_GB2312" w:hAnsi="仿宋_GB2312" w:cs="仿宋_GB2312" w:eastAsia="仿宋_GB2312"/>
                      <w:sz w:val="24"/>
                    </w:rPr>
                    <w:t>1.3 案例数据资源不少于200个，包含各类型企业的实例数据及系统的案例基础与期初数据。</w:t>
                  </w:r>
                </w:p>
                <w:p>
                  <w:pPr>
                    <w:pStyle w:val="null3"/>
                    <w:jc w:val="both"/>
                  </w:pPr>
                  <w:r>
                    <w:rPr>
                      <w:rFonts w:ascii="仿宋_GB2312" w:hAnsi="仿宋_GB2312" w:cs="仿宋_GB2312" w:eastAsia="仿宋_GB2312"/>
                      <w:sz w:val="24"/>
                    </w:rPr>
                    <w:t>1.4 配套支持企业真实应用的电子单据不少于70类，平台提供电子单据的填写说明。</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全产业链孪生实践场景指标</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2.1</w:t>
                  </w:r>
                  <w:r>
                    <w:rPr>
                      <w:rFonts w:ascii="仿宋_GB2312" w:hAnsi="仿宋_GB2312" w:cs="仿宋_GB2312" w:eastAsia="仿宋_GB2312"/>
                      <w:sz w:val="24"/>
                    </w:rPr>
                    <w:t>以典型大型制造集团为核心的产业链，包括不少于</w:t>
                  </w:r>
                  <w:r>
                    <w:rPr>
                      <w:rFonts w:ascii="仿宋_GB2312" w:hAnsi="仿宋_GB2312" w:cs="仿宋_GB2312" w:eastAsia="仿宋_GB2312"/>
                      <w:sz w:val="24"/>
                    </w:rPr>
                    <w:t>10类组织：核心企业、产业链上下游企业、社会服务组织。</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产品不少于</w:t>
                  </w:r>
                  <w:r>
                    <w:rPr>
                      <w:rFonts w:ascii="仿宋_GB2312" w:hAnsi="仿宋_GB2312" w:cs="仿宋_GB2312" w:eastAsia="仿宋_GB2312"/>
                      <w:sz w:val="24"/>
                    </w:rPr>
                    <w:t>3类典型智能产品，市场不少于7个国内主要经济区域。</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虚拟现实系统</w:t>
                  </w:r>
                </w:p>
                <w:p>
                  <w:pPr>
                    <w:pStyle w:val="null3"/>
                    <w:jc w:val="both"/>
                  </w:pPr>
                  <w:r>
                    <w:rPr>
                      <w:rFonts w:ascii="仿宋_GB2312" w:hAnsi="仿宋_GB2312" w:cs="仿宋_GB2312" w:eastAsia="仿宋_GB2312"/>
                      <w:sz w:val="24"/>
                    </w:rPr>
                    <w:t>3.1</w:t>
                  </w:r>
                  <w:r>
                    <w:rPr>
                      <w:rFonts w:ascii="仿宋_GB2312" w:hAnsi="仿宋_GB2312" w:cs="仿宋_GB2312" w:eastAsia="仿宋_GB2312"/>
                      <w:sz w:val="24"/>
                    </w:rPr>
                    <w:t>构建商业社会环境，模拟企业运营，提供全局与岗位视角，</w:t>
                  </w:r>
                  <w:r>
                    <w:rPr>
                      <w:rFonts w:ascii="仿宋_GB2312" w:hAnsi="仿宋_GB2312" w:cs="仿宋_GB2312" w:eastAsia="仿宋_GB2312"/>
                      <w:sz w:val="24"/>
                    </w:rPr>
                    <w:t>VR与平台数据对接。</w:t>
                  </w:r>
                </w:p>
                <w:p>
                  <w:pPr>
                    <w:pStyle w:val="null3"/>
                    <w:jc w:val="both"/>
                  </w:pPr>
                  <w:r>
                    <w:rPr>
                      <w:rFonts w:ascii="仿宋_GB2312" w:hAnsi="仿宋_GB2312" w:cs="仿宋_GB2312" w:eastAsia="仿宋_GB2312"/>
                      <w:sz w:val="24"/>
                    </w:rPr>
                    <w:t>3.2</w:t>
                  </w:r>
                  <w:r>
                    <w:rPr>
                      <w:rFonts w:ascii="仿宋_GB2312" w:hAnsi="仿宋_GB2312" w:cs="仿宋_GB2312" w:eastAsia="仿宋_GB2312"/>
                      <w:sz w:val="24"/>
                    </w:rPr>
                    <w:t>支持</w:t>
                  </w:r>
                  <w:r>
                    <w:rPr>
                      <w:rFonts w:ascii="仿宋_GB2312" w:hAnsi="仿宋_GB2312" w:cs="仿宋_GB2312" w:eastAsia="仿宋_GB2312"/>
                      <w:sz w:val="24"/>
                    </w:rPr>
                    <w:t>PC和VR头盔不少于两个模式，均提供语音讲解。</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3.3</w:t>
                  </w:r>
                  <w:r>
                    <w:rPr>
                      <w:rFonts w:ascii="仿宋_GB2312" w:hAnsi="仿宋_GB2312" w:cs="仿宋_GB2312" w:eastAsia="仿宋_GB2312"/>
                      <w:sz w:val="24"/>
                    </w:rPr>
                    <w:t>提供两个产业园不少于</w:t>
                  </w:r>
                  <w:r>
                    <w:rPr>
                      <w:rFonts w:ascii="仿宋_GB2312" w:hAnsi="仿宋_GB2312" w:cs="仿宋_GB2312" w:eastAsia="仿宋_GB2312"/>
                      <w:sz w:val="24"/>
                    </w:rPr>
                    <w:t>19个场景，涵盖制造、金融、政务、物流、经销、供应、销售、综合服务等场景。</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组织配置</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4.1</w:t>
                  </w:r>
                  <w:r>
                    <w:rPr>
                      <w:rFonts w:ascii="仿宋_GB2312" w:hAnsi="仿宋_GB2312" w:cs="仿宋_GB2312" w:eastAsia="仿宋_GB2312"/>
                      <w:sz w:val="24"/>
                    </w:rPr>
                    <w:t>制造企业不少于</w:t>
                  </w:r>
                  <w:r>
                    <w:rPr>
                      <w:rFonts w:ascii="仿宋_GB2312" w:hAnsi="仿宋_GB2312" w:cs="仿宋_GB2312" w:eastAsia="仿宋_GB2312"/>
                      <w:sz w:val="24"/>
                    </w:rPr>
                    <w:t>12个岗位（含总经理、行政经理、数据分析师及各业务主管等）。</w:t>
                  </w:r>
                </w:p>
                <w:p>
                  <w:pPr>
                    <w:pStyle w:val="null3"/>
                    <w:jc w:val="both"/>
                  </w:pPr>
                  <w:r>
                    <w:rPr>
                      <w:rFonts w:ascii="仿宋_GB2312" w:hAnsi="仿宋_GB2312" w:cs="仿宋_GB2312" w:eastAsia="仿宋_GB2312"/>
                      <w:sz w:val="24"/>
                    </w:rPr>
                    <w:t>4.2</w:t>
                  </w:r>
                  <w:r>
                    <w:rPr>
                      <w:rFonts w:ascii="仿宋_GB2312" w:hAnsi="仿宋_GB2312" w:cs="仿宋_GB2312" w:eastAsia="仿宋_GB2312"/>
                      <w:sz w:val="24"/>
                    </w:rPr>
                    <w:t>销售公司岗位数不少于</w:t>
                  </w:r>
                  <w:r>
                    <w:rPr>
                      <w:rFonts w:ascii="仿宋_GB2312" w:hAnsi="仿宋_GB2312" w:cs="仿宋_GB2312" w:eastAsia="仿宋_GB2312"/>
                      <w:sz w:val="24"/>
                    </w:rPr>
                    <w:t>4个、渠道经销岗位数不少于6个、供应企业岗位数不少于4个、物流企业岗位数不少于3个、综合服务岗位数不少于3个、金融服务岗位数1个。</w:t>
                  </w:r>
                </w:p>
                <w:p>
                  <w:pPr>
                    <w:pStyle w:val="null3"/>
                    <w:jc w:val="both"/>
                  </w:pPr>
                  <w:r>
                    <w:rPr>
                      <w:rFonts w:ascii="仿宋_GB2312" w:hAnsi="仿宋_GB2312" w:cs="仿宋_GB2312" w:eastAsia="仿宋_GB2312"/>
                      <w:sz w:val="24"/>
                    </w:rPr>
                    <w:t>4.3</w:t>
                  </w:r>
                  <w:r>
                    <w:rPr>
                      <w:rFonts w:ascii="仿宋_GB2312" w:hAnsi="仿宋_GB2312" w:cs="仿宋_GB2312" w:eastAsia="仿宋_GB2312"/>
                      <w:sz w:val="24"/>
                    </w:rPr>
                    <w:t>市场监管局市监专员、税务总局国税专员、人社局人社专员，负责市场监管及碳排放核查、税费征收及稽核、社保审核及稽核。</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数字化管理系统</w:t>
                  </w:r>
                </w:p>
                <w:p>
                  <w:pPr>
                    <w:pStyle w:val="null3"/>
                    <w:jc w:val="both"/>
                  </w:pPr>
                  <w:r>
                    <w:rPr>
                      <w:rFonts w:ascii="仿宋_GB2312" w:hAnsi="仿宋_GB2312" w:cs="仿宋_GB2312" w:eastAsia="仿宋_GB2312"/>
                      <w:sz w:val="24"/>
                    </w:rPr>
                    <w:t>5.1</w:t>
                  </w:r>
                  <w:r>
                    <w:rPr>
                      <w:rFonts w:ascii="仿宋_GB2312" w:hAnsi="仿宋_GB2312" w:cs="仿宋_GB2312" w:eastAsia="仿宋_GB2312"/>
                      <w:sz w:val="24"/>
                    </w:rPr>
                    <w:t>包括支持企业内部、供应链及社会服务管理的不少于</w:t>
                  </w:r>
                  <w:r>
                    <w:rPr>
                      <w:rFonts w:ascii="仿宋_GB2312" w:hAnsi="仿宋_GB2312" w:cs="仿宋_GB2312" w:eastAsia="仿宋_GB2312"/>
                      <w:sz w:val="24"/>
                    </w:rPr>
                    <w:t>8个子系统，实现订单协同与数据追踪。</w:t>
                  </w:r>
                </w:p>
                <w:p>
                  <w:pPr>
                    <w:pStyle w:val="null3"/>
                    <w:jc w:val="both"/>
                  </w:pPr>
                  <w:r>
                    <w:rPr>
                      <w:rFonts w:ascii="仿宋_GB2312" w:hAnsi="仿宋_GB2312" w:cs="仿宋_GB2312" w:eastAsia="仿宋_GB2312"/>
                      <w:sz w:val="24"/>
                    </w:rPr>
                    <w:t>5.2</w:t>
                  </w:r>
                  <w:r>
                    <w:rPr>
                      <w:rFonts w:ascii="仿宋_GB2312" w:hAnsi="仿宋_GB2312" w:cs="仿宋_GB2312" w:eastAsia="仿宋_GB2312"/>
                      <w:sz w:val="24"/>
                    </w:rPr>
                    <w:t>电子合同：全生命周期管理，含合同管理、档案管理、存证溯源三功能。</w:t>
                  </w:r>
                </w:p>
                <w:p>
                  <w:pPr>
                    <w:pStyle w:val="null3"/>
                    <w:jc w:val="both"/>
                  </w:pPr>
                  <w:r>
                    <w:rPr>
                      <w:rFonts w:ascii="仿宋_GB2312" w:hAnsi="仿宋_GB2312" w:cs="仿宋_GB2312" w:eastAsia="仿宋_GB2312"/>
                      <w:sz w:val="21"/>
                    </w:rPr>
                    <w:t>★</w:t>
                  </w:r>
                  <w:r>
                    <w:rPr>
                      <w:rFonts w:ascii="仿宋_GB2312" w:hAnsi="仿宋_GB2312" w:cs="仿宋_GB2312" w:eastAsia="仿宋_GB2312"/>
                      <w:sz w:val="24"/>
                    </w:rPr>
                    <w:t>6.</w:t>
                  </w:r>
                  <w:r>
                    <w:rPr>
                      <w:rFonts w:ascii="仿宋_GB2312" w:hAnsi="仿宋_GB2312" w:cs="仿宋_GB2312" w:eastAsia="仿宋_GB2312"/>
                      <w:sz w:val="24"/>
                    </w:rPr>
                    <w:t>协同办公系统</w:t>
                  </w:r>
                </w:p>
                <w:p>
                  <w:pPr>
                    <w:pStyle w:val="null3"/>
                    <w:jc w:val="both"/>
                  </w:pPr>
                  <w:r>
                    <w:rPr>
                      <w:rFonts w:ascii="仿宋_GB2312" w:hAnsi="仿宋_GB2312" w:cs="仿宋_GB2312" w:eastAsia="仿宋_GB2312"/>
                      <w:sz w:val="24"/>
                    </w:rPr>
                    <w:t>提供不少于</w:t>
                  </w:r>
                  <w:r>
                    <w:rPr>
                      <w:rFonts w:ascii="仿宋_GB2312" w:hAnsi="仿宋_GB2312" w:cs="仿宋_GB2312" w:eastAsia="仿宋_GB2312"/>
                      <w:sz w:val="24"/>
                    </w:rPr>
                    <w:t>14类工作应用，按岗位权限分配入口，涵盖办公、人事、财务、业务协同、制造、数据、行政、税务、人社、市监、综合及金融等。</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“一带一路”数字经济孪生全产业链国际商务决策设备</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一、智感设备</w:t>
                  </w:r>
                  <w:r>
                    <w:br/>
                  </w:r>
                  <w:r>
                    <w:rPr>
                      <w:rFonts w:ascii="仿宋_GB2312" w:hAnsi="仿宋_GB2312" w:cs="仿宋_GB2312" w:eastAsia="仿宋_GB2312"/>
                      <w:sz w:val="24"/>
                    </w:rPr>
                    <w:t>1.设备处理器：≥12核心/20线程，主频≥2.3GHz的高性能多核处理器</w:t>
                  </w:r>
                </w:p>
                <w:p>
                  <w:pPr>
                    <w:pStyle w:val="null3"/>
                    <w:jc w:val="both"/>
                  </w:pPr>
                  <w:r>
                    <w:rPr>
                      <w:rFonts w:ascii="仿宋_GB2312" w:hAnsi="仿宋_GB2312" w:cs="仿宋_GB2312" w:eastAsia="仿宋_GB2312"/>
                      <w:sz w:val="24"/>
                    </w:rPr>
                    <w:t>2.设备内存：≥16G</w:t>
                  </w:r>
                </w:p>
                <w:p>
                  <w:pPr>
                    <w:pStyle w:val="null3"/>
                    <w:jc w:val="both"/>
                  </w:pPr>
                  <w:r>
                    <w:rPr>
                      <w:rFonts w:ascii="仿宋_GB2312" w:hAnsi="仿宋_GB2312" w:cs="仿宋_GB2312" w:eastAsia="仿宋_GB2312"/>
                      <w:sz w:val="24"/>
                    </w:rPr>
                    <w:t>3.设备存储： ≥512G SSD</w:t>
                  </w:r>
                </w:p>
                <w:p>
                  <w:pPr>
                    <w:pStyle w:val="null3"/>
                    <w:jc w:val="both"/>
                  </w:pPr>
                  <w:r>
                    <w:rPr>
                      <w:rFonts w:ascii="仿宋_GB2312" w:hAnsi="仿宋_GB2312" w:cs="仿宋_GB2312" w:eastAsia="仿宋_GB2312"/>
                      <w:sz w:val="24"/>
                    </w:rPr>
                    <w:t>4.设备显卡：独立显卡，显存≥8GB 。</w:t>
                  </w:r>
                  <w:r>
                    <w:br/>
                  </w:r>
                  <w:r>
                    <w:rPr>
                      <w:rFonts w:ascii="仿宋_GB2312" w:hAnsi="仿宋_GB2312" w:cs="仿宋_GB2312" w:eastAsia="仿宋_GB2312"/>
                      <w:sz w:val="24"/>
                    </w:rPr>
                    <w:t>二、出入库业务功能</w:t>
                  </w:r>
                </w:p>
                <w:p>
                  <w:pPr>
                    <w:pStyle w:val="null3"/>
                    <w:jc w:val="both"/>
                  </w:pPr>
                  <w:r>
                    <w:rPr>
                      <w:rFonts w:ascii="仿宋_GB2312" w:hAnsi="仿宋_GB2312" w:cs="仿宋_GB2312" w:eastAsia="仿宋_GB2312"/>
                      <w:sz w:val="24"/>
                    </w:rPr>
                    <w:t>1.制造企业生产入库业务学习。提供仓储部办公室和自动化立体仓库，包含仓库准备过程、物流车停靠卸货、清点核验过程、生产订单选择、入库数据填写、生产入库单生成和确认、生产部协助确认、自助入库、入库动画体验并完成入库。</w:t>
                  </w:r>
                </w:p>
                <w:p>
                  <w:pPr>
                    <w:pStyle w:val="null3"/>
                    <w:jc w:val="both"/>
                  </w:pPr>
                  <w:r>
                    <w:rPr>
                      <w:rFonts w:ascii="仿宋_GB2312" w:hAnsi="仿宋_GB2312" w:cs="仿宋_GB2312" w:eastAsia="仿宋_GB2312"/>
                      <w:sz w:val="24"/>
                    </w:rPr>
                    <w:t>2.制造企业销售出库业务学习。包括接听销售部出库电话、查看销售订单、选择销售订单、销售出库单生成、立体货仓及动画、货物查验、物流车停靠、接收物流运单、货物查验、货物打包、货物装车、出库单签字确认、物流司机货物检查、出库。</w:t>
                  </w:r>
                  <w:r>
                    <w:br/>
                  </w:r>
                  <w:r>
                    <w:rPr>
                      <w:rFonts w:ascii="仿宋_GB2312" w:hAnsi="仿宋_GB2312" w:cs="仿宋_GB2312" w:eastAsia="仿宋_GB2312"/>
                      <w:sz w:val="24"/>
                    </w:rPr>
                    <w:t>三、孪生设备</w:t>
                  </w:r>
                  <w:r>
                    <w:br/>
                  </w:r>
                  <w:r>
                    <w:rPr>
                      <w:rFonts w:ascii="仿宋_GB2312" w:hAnsi="仿宋_GB2312" w:cs="仿宋_GB2312" w:eastAsia="仿宋_GB2312"/>
                      <w:sz w:val="24"/>
                    </w:rPr>
                    <w:t>1.翻盖式面罩、可调式双眼舒适度设置、可调式头带；</w:t>
                  </w:r>
                </w:p>
                <w:p>
                  <w:pPr>
                    <w:pStyle w:val="null3"/>
                    <w:jc w:val="both"/>
                  </w:pPr>
                  <w:r>
                    <w:rPr>
                      <w:rFonts w:ascii="仿宋_GB2312" w:hAnsi="仿宋_GB2312" w:cs="仿宋_GB2312" w:eastAsia="仿宋_GB2312"/>
                      <w:sz w:val="24"/>
                    </w:rPr>
                    <w:t>2.头显屏幕：≥2个3.4英寸的高清液晶屏（单眼分辨率≥1440 x 1700）；</w:t>
                  </w:r>
                </w:p>
                <w:p>
                  <w:pPr>
                    <w:pStyle w:val="null3"/>
                    <w:jc w:val="both"/>
                  </w:pPr>
                  <w:r>
                    <w:rPr>
                      <w:rFonts w:ascii="仿宋_GB2312" w:hAnsi="仿宋_GB2312" w:cs="仿宋_GB2312" w:eastAsia="仿宋_GB2312"/>
                      <w:sz w:val="24"/>
                    </w:rPr>
                    <w:t>3.头显屏幕刷新率：≥90 Hz，视场角：≥110 度；</w:t>
                  </w:r>
                </w:p>
                <w:p>
                  <w:pPr>
                    <w:pStyle w:val="null3"/>
                    <w:jc w:val="both"/>
                  </w:pPr>
                  <w:r>
                    <w:rPr>
                      <w:rFonts w:ascii="仿宋_GB2312" w:hAnsi="仿宋_GB2312" w:cs="仿宋_GB2312" w:eastAsia="仿宋_GB2312"/>
                      <w:sz w:val="24"/>
                    </w:rPr>
                    <w:t>4.设备音频：头显设备提供立体声耳机，设备整体提供外放音响；</w:t>
                  </w:r>
                </w:p>
                <w:p>
                  <w:pPr>
                    <w:pStyle w:val="null3"/>
                    <w:jc w:val="both"/>
                  </w:pPr>
                  <w:r>
                    <w:rPr>
                      <w:rFonts w:ascii="仿宋_GB2312" w:hAnsi="仿宋_GB2312" w:cs="仿宋_GB2312" w:eastAsia="仿宋_GB2312"/>
                      <w:sz w:val="24"/>
                    </w:rPr>
                    <w:t>5.设备操控手柄提供系统按钮、应用程序按钮、扳机、缓冲按钮、摇杆、抓握按钮；</w:t>
                  </w:r>
                </w:p>
                <w:p>
                  <w:pPr>
                    <w:pStyle w:val="null3"/>
                    <w:jc w:val="both"/>
                  </w:pPr>
                  <w:r>
                    <w:rPr>
                      <w:rFonts w:ascii="仿宋_GB2312" w:hAnsi="仿宋_GB2312" w:cs="仿宋_GB2312" w:eastAsia="仿宋_GB2312"/>
                      <w:sz w:val="24"/>
                    </w:rPr>
                    <w:t>6.设备追踪区域要求：无最小空间限制，不需要定位器等头显外设备；</w:t>
                  </w:r>
                </w:p>
                <w:p>
                  <w:pPr>
                    <w:pStyle w:val="null3"/>
                    <w:jc w:val="both"/>
                  </w:pPr>
                  <w:r>
                    <w:rPr>
                      <w:rFonts w:ascii="仿宋_GB2312" w:hAnsi="仿宋_GB2312" w:cs="仿宋_GB2312" w:eastAsia="仿宋_GB2312"/>
                      <w:sz w:val="24"/>
                    </w:rPr>
                    <w:t>7.设备内置企业数智化虚拟现实教学系统，包括：</w:t>
                  </w:r>
                  <w:r>
                    <w:rPr>
                      <w:rFonts w:ascii="仿宋_GB2312" w:hAnsi="仿宋_GB2312" w:cs="仿宋_GB2312" w:eastAsia="仿宋_GB2312"/>
                      <w:sz w:val="24"/>
                    </w:rPr>
                    <w:t>VR与业务系统交互任务不少于</w:t>
                  </w:r>
                  <w:r>
                    <w:rPr>
                      <w:rFonts w:ascii="仿宋_GB2312" w:hAnsi="仿宋_GB2312" w:cs="仿宋_GB2312" w:eastAsia="仿宋_GB2312"/>
                      <w:sz w:val="24"/>
                    </w:rPr>
                    <w:t>7个，包括：</w:t>
                  </w:r>
                </w:p>
                <w:p>
                  <w:pPr>
                    <w:pStyle w:val="null3"/>
                    <w:jc w:val="both"/>
                  </w:pPr>
                  <w:r>
                    <w:rPr>
                      <w:rFonts w:ascii="仿宋_GB2312" w:hAnsi="仿宋_GB2312" w:cs="仿宋_GB2312" w:eastAsia="仿宋_GB2312"/>
                      <w:sz w:val="24"/>
                    </w:rPr>
                    <w:t>7.1</w:t>
                  </w:r>
                  <w:r>
                    <w:rPr>
                      <w:rFonts w:ascii="仿宋_GB2312" w:hAnsi="仿宋_GB2312" w:cs="仿宋_GB2312" w:eastAsia="仿宋_GB2312"/>
                      <w:sz w:val="24"/>
                    </w:rPr>
                    <w:t>采购入库还原</w:t>
                  </w:r>
                  <w:r>
                    <w:rPr>
                      <w:rFonts w:ascii="仿宋_GB2312" w:hAnsi="仿宋_GB2312" w:cs="仿宋_GB2312" w:eastAsia="仿宋_GB2312"/>
                      <w:sz w:val="24"/>
                    </w:rPr>
                    <w:t>10个环节；</w:t>
                  </w:r>
                  <w:r>
                    <w:br/>
                  </w:r>
                  <w:r>
                    <w:rPr>
                      <w:rFonts w:ascii="仿宋_GB2312" w:hAnsi="仿宋_GB2312" w:cs="仿宋_GB2312" w:eastAsia="仿宋_GB2312"/>
                      <w:sz w:val="24"/>
                    </w:rPr>
                    <w:t>7.2</w:t>
                  </w:r>
                  <w:r>
                    <w:rPr>
                      <w:rFonts w:ascii="仿宋_GB2312" w:hAnsi="仿宋_GB2312" w:cs="仿宋_GB2312" w:eastAsia="仿宋_GB2312"/>
                      <w:sz w:val="24"/>
                    </w:rPr>
                    <w:t>生产开工还原</w:t>
                  </w:r>
                  <w:r>
                    <w:rPr>
                      <w:rFonts w:ascii="仿宋_GB2312" w:hAnsi="仿宋_GB2312" w:cs="仿宋_GB2312" w:eastAsia="仿宋_GB2312"/>
                      <w:sz w:val="24"/>
                    </w:rPr>
                    <w:t>6个环节；</w:t>
                  </w:r>
                  <w:r>
                    <w:br/>
                  </w:r>
                  <w:r>
                    <w:rPr>
                      <w:rFonts w:ascii="仿宋_GB2312" w:hAnsi="仿宋_GB2312" w:cs="仿宋_GB2312" w:eastAsia="仿宋_GB2312"/>
                      <w:sz w:val="24"/>
                    </w:rPr>
                    <w:t>7.3</w:t>
                  </w:r>
                  <w:r>
                    <w:rPr>
                      <w:rFonts w:ascii="仿宋_GB2312" w:hAnsi="仿宋_GB2312" w:cs="仿宋_GB2312" w:eastAsia="仿宋_GB2312"/>
                      <w:sz w:val="24"/>
                    </w:rPr>
                    <w:t>生产入库还原</w:t>
                  </w:r>
                  <w:r>
                    <w:rPr>
                      <w:rFonts w:ascii="仿宋_GB2312" w:hAnsi="仿宋_GB2312" w:cs="仿宋_GB2312" w:eastAsia="仿宋_GB2312"/>
                      <w:sz w:val="24"/>
                    </w:rPr>
                    <w:t>7个环节；</w:t>
                  </w:r>
                  <w:r>
                    <w:br/>
                  </w:r>
                  <w:r>
                    <w:rPr>
                      <w:rFonts w:ascii="仿宋_GB2312" w:hAnsi="仿宋_GB2312" w:cs="仿宋_GB2312" w:eastAsia="仿宋_GB2312"/>
                      <w:sz w:val="24"/>
                    </w:rPr>
                    <w:t>7.4</w:t>
                  </w:r>
                  <w:r>
                    <w:rPr>
                      <w:rFonts w:ascii="仿宋_GB2312" w:hAnsi="仿宋_GB2312" w:cs="仿宋_GB2312" w:eastAsia="仿宋_GB2312"/>
                      <w:sz w:val="24"/>
                    </w:rPr>
                    <w:t>销售出库还原</w:t>
                  </w:r>
                  <w:r>
                    <w:rPr>
                      <w:rFonts w:ascii="仿宋_GB2312" w:hAnsi="仿宋_GB2312" w:cs="仿宋_GB2312" w:eastAsia="仿宋_GB2312"/>
                      <w:sz w:val="24"/>
                    </w:rPr>
                    <w:t>5个环节；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7.5</w:t>
                  </w:r>
                  <w:r>
                    <w:rPr>
                      <w:rFonts w:ascii="仿宋_GB2312" w:hAnsi="仿宋_GB2312" w:cs="仿宋_GB2312" w:eastAsia="仿宋_GB2312"/>
                      <w:sz w:val="24"/>
                    </w:rPr>
                    <w:t>原材料采购入库学习还原</w:t>
                  </w:r>
                  <w:r>
                    <w:rPr>
                      <w:rFonts w:ascii="仿宋_GB2312" w:hAnsi="仿宋_GB2312" w:cs="仿宋_GB2312" w:eastAsia="仿宋_GB2312"/>
                      <w:sz w:val="24"/>
                    </w:rPr>
                    <w:t>11个环节；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7.6</w:t>
                  </w:r>
                  <w:r>
                    <w:rPr>
                      <w:rFonts w:ascii="仿宋_GB2312" w:hAnsi="仿宋_GB2312" w:cs="仿宋_GB2312" w:eastAsia="仿宋_GB2312"/>
                      <w:sz w:val="24"/>
                    </w:rPr>
                    <w:t>领料出库学习：支持领料订单选择、出库单填写、物料准备、装货清点、出库确认等流程；</w:t>
                  </w:r>
                </w:p>
                <w:p>
                  <w:pPr>
                    <w:pStyle w:val="null3"/>
                    <w:jc w:val="both"/>
                  </w:pPr>
                  <w:r>
                    <w:rPr>
                      <w:rFonts w:ascii="仿宋_GB2312" w:hAnsi="仿宋_GB2312" w:cs="仿宋_GB2312" w:eastAsia="仿宋_GB2312"/>
                      <w:sz w:val="24"/>
                    </w:rPr>
                    <w:t>7.7</w:t>
                  </w:r>
                  <w:r>
                    <w:rPr>
                      <w:rFonts w:ascii="仿宋_GB2312" w:hAnsi="仿宋_GB2312" w:cs="仿宋_GB2312" w:eastAsia="仿宋_GB2312"/>
                      <w:sz w:val="24"/>
                    </w:rPr>
                    <w:t>生产开工学习：支持订单查看、产线配置与派工、齐套检查，产线动态效果，支持自定义配置。</w:t>
                  </w:r>
                  <w:r>
                    <w:br/>
                  </w:r>
                  <w:r>
                    <w:rPr>
                      <w:rFonts w:ascii="仿宋_GB2312" w:hAnsi="仿宋_GB2312" w:cs="仿宋_GB2312" w:eastAsia="仿宋_GB2312"/>
                      <w:sz w:val="24"/>
                    </w:rPr>
                    <w:t>四、智能舱体</w:t>
                  </w:r>
                  <w:r>
                    <w:br/>
                  </w:r>
                  <w:r>
                    <w:rPr>
                      <w:rFonts w:ascii="仿宋_GB2312" w:hAnsi="仿宋_GB2312" w:cs="仿宋_GB2312" w:eastAsia="仿宋_GB2312"/>
                      <w:sz w:val="24"/>
                    </w:rPr>
                    <w:t>采用半封闭式的框架结构，利用</w:t>
                  </w:r>
                  <w:r>
                    <w:rPr>
                      <w:rFonts w:ascii="仿宋_GB2312" w:hAnsi="仿宋_GB2312" w:cs="仿宋_GB2312" w:eastAsia="仿宋_GB2312"/>
                      <w:sz w:val="24"/>
                    </w:rPr>
                    <w:t>VR技术、电子技术、多媒体技术，结合机械装置和电子仪器打造360°虚拟沉浸体验。</w:t>
                  </w:r>
                </w:p>
                <w:p>
                  <w:pPr>
                    <w:pStyle w:val="null3"/>
                    <w:jc w:val="both"/>
                  </w:pPr>
                  <w:r>
                    <w:rPr>
                      <w:rFonts w:ascii="仿宋_GB2312" w:hAnsi="仿宋_GB2312" w:cs="仿宋_GB2312" w:eastAsia="仿宋_GB2312"/>
                      <w:sz w:val="24"/>
                    </w:rPr>
                    <w:t>1.设备外观尺寸：≥长300cm*宽300cm*高240cm，≥400KG；</w:t>
                  </w:r>
                </w:p>
                <w:p>
                  <w:pPr>
                    <w:pStyle w:val="null3"/>
                    <w:jc w:val="both"/>
                  </w:pPr>
                  <w:r>
                    <w:rPr>
                      <w:rFonts w:ascii="仿宋_GB2312" w:hAnsi="仿宋_GB2312" w:cs="仿宋_GB2312" w:eastAsia="仿宋_GB2312"/>
                      <w:sz w:val="24"/>
                    </w:rPr>
                    <w:t>2.设备主材：采用金属钣金制品，亚克力；</w:t>
                  </w:r>
                </w:p>
                <w:p>
                  <w:pPr>
                    <w:pStyle w:val="null3"/>
                    <w:jc w:val="both"/>
                  </w:pPr>
                  <w:r>
                    <w:rPr>
                      <w:rFonts w:ascii="仿宋_GB2312" w:hAnsi="仿宋_GB2312" w:cs="仿宋_GB2312" w:eastAsia="仿宋_GB2312"/>
                      <w:sz w:val="24"/>
                    </w:rPr>
                    <w:t>3.设备氛围灯：采用LED氛围灯带；</w:t>
                  </w:r>
                </w:p>
                <w:p>
                  <w:pPr>
                    <w:pStyle w:val="null3"/>
                    <w:jc w:val="both"/>
                  </w:pPr>
                  <w:r>
                    <w:rPr>
                      <w:rFonts w:ascii="仿宋_GB2312" w:hAnsi="仿宋_GB2312" w:cs="仿宋_GB2312" w:eastAsia="仿宋_GB2312"/>
                      <w:sz w:val="24"/>
                    </w:rPr>
                    <w:t>4.设备常规显示：≥43寸学生操作屏、≥55寸教师教学屏，双屏同屏展示；</w:t>
                  </w:r>
                </w:p>
                <w:p>
                  <w:pPr>
                    <w:pStyle w:val="null3"/>
                    <w:jc w:val="both"/>
                  </w:pPr>
                  <w:r>
                    <w:rPr>
                      <w:rFonts w:ascii="仿宋_GB2312" w:hAnsi="仿宋_GB2312" w:cs="仿宋_GB2312" w:eastAsia="仿宋_GB2312"/>
                      <w:sz w:val="24"/>
                    </w:rPr>
                    <w:t>5.设备电压及功率：220V 交流电，功率≥800w；</w:t>
                  </w:r>
                </w:p>
                <w:p>
                  <w:pPr>
                    <w:pStyle w:val="null3"/>
                    <w:jc w:val="both"/>
                  </w:pPr>
                  <w:r>
                    <w:rPr>
                      <w:rFonts w:ascii="仿宋_GB2312" w:hAnsi="仿宋_GB2312" w:cs="仿宋_GB2312" w:eastAsia="仿宋_GB2312"/>
                      <w:sz w:val="24"/>
                    </w:rPr>
                    <w:t>6.设备辅材：PVC、木板等；</w:t>
                  </w:r>
                </w:p>
                <w:p>
                  <w:pPr>
                    <w:pStyle w:val="null3"/>
                    <w:jc w:val="both"/>
                  </w:pPr>
                  <w:r>
                    <w:rPr>
                      <w:rFonts w:ascii="仿宋_GB2312" w:hAnsi="仿宋_GB2312" w:cs="仿宋_GB2312" w:eastAsia="仿宋_GB2312"/>
                      <w:sz w:val="24"/>
                    </w:rPr>
                    <w:t>7.高透高清亚克力前面板：</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1）厚度：≥2mm；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2）尺寸：异形激光切割；</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3）保护：外贴透明保护膜；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4）表面工艺：激光雕刻；</w:t>
                  </w:r>
                </w:p>
                <w:p>
                  <w:pPr>
                    <w:pStyle w:val="null3"/>
                    <w:jc w:val="both"/>
                  </w:pP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便携式脑电实验单元</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导联数：单级脑电导联</w:t>
                  </w:r>
                  <w:r>
                    <w:rPr>
                      <w:rFonts w:ascii="仿宋_GB2312" w:hAnsi="仿宋_GB2312" w:cs="仿宋_GB2312" w:eastAsia="仿宋_GB2312"/>
                      <w:sz w:val="24"/>
                    </w:rPr>
                    <w:t>≥64导，扩展通道数≥8个双极通道；</w:t>
                  </w:r>
                </w:p>
                <w:p>
                  <w:pPr>
                    <w:pStyle w:val="null3"/>
                    <w:jc w:val="left"/>
                  </w:pPr>
                  <w:r>
                    <w:rPr>
                      <w:rFonts w:ascii="仿宋_GB2312" w:hAnsi="仿宋_GB2312" w:cs="仿宋_GB2312" w:eastAsia="仿宋_GB2312"/>
                      <w:sz w:val="24"/>
                    </w:rPr>
                    <w:t>2.可同时采集脑电、眼电、心电和高密度肌电等电生理参数；</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采样率</w:t>
                  </w:r>
                  <w:r>
                    <w:rPr>
                      <w:rFonts w:ascii="仿宋_GB2312" w:hAnsi="仿宋_GB2312" w:cs="仿宋_GB2312" w:eastAsia="仿宋_GB2312"/>
                      <w:sz w:val="24"/>
                    </w:rPr>
                    <w:t>:≥8000 Hz/导，输入阻抗:≥</w:t>
                  </w:r>
                  <w:r>
                    <w:rPr>
                      <w:rFonts w:ascii="仿宋_GB2312" w:hAnsi="仿宋_GB2312" w:cs="仿宋_GB2312" w:eastAsia="仿宋_GB2312"/>
                      <w:sz w:val="24"/>
                    </w:rPr>
                    <w:t>1Gohms</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4.带宽:DC～2000 Hz,</w:t>
                  </w:r>
                </w:p>
                <w:p>
                  <w:pPr>
                    <w:pStyle w:val="null3"/>
                    <w:jc w:val="left"/>
                  </w:pPr>
                  <w:r>
                    <w:rPr>
                      <w:rFonts w:ascii="仿宋_GB2312" w:hAnsi="仿宋_GB2312" w:cs="仿宋_GB2312" w:eastAsia="仿宋_GB2312"/>
                      <w:sz w:val="24"/>
                    </w:rPr>
                    <w:t>5.A/D 转换分辨率≥24Bit；</w:t>
                  </w:r>
                </w:p>
                <w:p>
                  <w:pPr>
                    <w:pStyle w:val="null3"/>
                    <w:jc w:val="left"/>
                  </w:pPr>
                  <w:r>
                    <w:rPr>
                      <w:rFonts w:ascii="仿宋_GB2312" w:hAnsi="仿宋_GB2312" w:cs="仿宋_GB2312" w:eastAsia="仿宋_GB2312"/>
                      <w:sz w:val="24"/>
                    </w:rPr>
                    <w:t>6.共模抑制比:≥110dB；</w:t>
                  </w:r>
                </w:p>
                <w:p>
                  <w:pPr>
                    <w:pStyle w:val="null3"/>
                    <w:jc w:val="left"/>
                  </w:pPr>
                  <w:r>
                    <w:rPr>
                      <w:rFonts w:ascii="仿宋_GB2312" w:hAnsi="仿宋_GB2312" w:cs="仿宋_GB2312" w:eastAsia="仿宋_GB2312"/>
                      <w:sz w:val="24"/>
                    </w:rPr>
                    <w:t>7.输入噪声:≤2.5uVpp；</w:t>
                  </w:r>
                </w:p>
                <w:p>
                  <w:pPr>
                    <w:pStyle w:val="null3"/>
                    <w:jc w:val="left"/>
                  </w:pPr>
                  <w:r>
                    <w:rPr>
                      <w:rFonts w:ascii="仿宋_GB2312" w:hAnsi="仿宋_GB2312" w:cs="仿宋_GB2312" w:eastAsia="仿宋_GB2312"/>
                      <w:sz w:val="24"/>
                    </w:rPr>
                    <w:t>8.灵敏度: ≤28nV/bit；</w:t>
                  </w:r>
                </w:p>
                <w:p>
                  <w:pPr>
                    <w:pStyle w:val="null3"/>
                    <w:jc w:val="left"/>
                  </w:pPr>
                  <w:r>
                    <w:rPr>
                      <w:rFonts w:ascii="仿宋_GB2312" w:hAnsi="仿宋_GB2312" w:cs="仿宋_GB2312" w:eastAsia="仿宋_GB2312"/>
                      <w:sz w:val="24"/>
                    </w:rPr>
                    <w:t>9.输入范围: ≥± 370mV；</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w:t>
                  </w:r>
                  <w:r>
                    <w:rPr>
                      <w:rFonts w:ascii="仿宋_GB2312" w:hAnsi="仿宋_GB2312" w:cs="仿宋_GB2312" w:eastAsia="仿宋_GB2312"/>
                      <w:sz w:val="24"/>
                    </w:rPr>
                    <w:t>支持扩展至</w:t>
                  </w:r>
                  <w:r>
                    <w:rPr>
                      <w:rFonts w:ascii="仿宋_GB2312" w:hAnsi="仿宋_GB2312" w:cs="仿宋_GB2312" w:eastAsia="仿宋_GB2312"/>
                      <w:sz w:val="24"/>
                    </w:rPr>
                    <w:t>128通道，支持2人同步采集电生理信号，并提供2套独立的GND和REF通道；</w:t>
                  </w:r>
                </w:p>
                <w:p>
                  <w:pPr>
                    <w:pStyle w:val="null3"/>
                    <w:jc w:val="left"/>
                  </w:pPr>
                  <w:r>
                    <w:rPr>
                      <w:rFonts w:ascii="仿宋_GB2312" w:hAnsi="仿宋_GB2312" w:cs="仿宋_GB2312" w:eastAsia="仿宋_GB2312"/>
                      <w:sz w:val="24"/>
                    </w:rPr>
                    <w:t>11.数据同步：放大器和触发盒可实现无线或有线同步，支持串、并口同步输入输出，事件同步精度≤1ms。触发盒支持声、光、电、按键等多种刺激事件同步；</w:t>
                  </w:r>
                </w:p>
                <w:p>
                  <w:pPr>
                    <w:pStyle w:val="null3"/>
                    <w:jc w:val="left"/>
                  </w:pPr>
                  <w:r>
                    <w:rPr>
                      <w:rFonts w:ascii="仿宋_GB2312" w:hAnsi="仿宋_GB2312" w:cs="仿宋_GB2312" w:eastAsia="仿宋_GB2312"/>
                      <w:sz w:val="24"/>
                    </w:rPr>
                    <w:t>12.数据传输：WIFI或USB有线传输；</w:t>
                  </w:r>
                </w:p>
                <w:p>
                  <w:pPr>
                    <w:pStyle w:val="null3"/>
                    <w:jc w:val="left"/>
                  </w:pPr>
                  <w:r>
                    <w:rPr>
                      <w:rFonts w:ascii="仿宋_GB2312" w:hAnsi="仿宋_GB2312" w:cs="仿宋_GB2312" w:eastAsia="仿宋_GB2312"/>
                      <w:sz w:val="24"/>
                    </w:rPr>
                    <w:t>13.电源：单次充电可连续工作≥6h；</w:t>
                  </w:r>
                </w:p>
                <w:p>
                  <w:pPr>
                    <w:pStyle w:val="null3"/>
                    <w:jc w:val="left"/>
                  </w:pPr>
                  <w:r>
                    <w:rPr>
                      <w:rFonts w:ascii="仿宋_GB2312" w:hAnsi="仿宋_GB2312" w:cs="仿宋_GB2312" w:eastAsia="仿宋_GB2312"/>
                      <w:sz w:val="24"/>
                    </w:rPr>
                    <w:t>14.设备可直接接入多模态脑电教学实验系统，并实现脑电、眼动、视频、音频等信号同步导入；</w:t>
                  </w:r>
                </w:p>
                <w:p>
                  <w:pPr>
                    <w:pStyle w:val="null3"/>
                    <w:jc w:val="left"/>
                  </w:pPr>
                  <w:r>
                    <w:rPr>
                      <w:rFonts w:ascii="仿宋_GB2312" w:hAnsi="仿宋_GB2312" w:cs="仿宋_GB2312" w:eastAsia="仿宋_GB2312"/>
                      <w:sz w:val="24"/>
                    </w:rPr>
                    <w:t>15.支持实时脑电时频域特征分析，实时展示各频段多色脑电频谱图，支持多色彩编码；</w:t>
                  </w:r>
                </w:p>
                <w:p>
                  <w:pPr>
                    <w:pStyle w:val="null3"/>
                    <w:jc w:val="left"/>
                  </w:pPr>
                  <w:r>
                    <w:rPr>
                      <w:rFonts w:ascii="仿宋_GB2312" w:hAnsi="仿宋_GB2312" w:cs="仿宋_GB2312" w:eastAsia="仿宋_GB2312"/>
                      <w:sz w:val="24"/>
                    </w:rPr>
                    <w:t>16.实现与学院本次其他项目采购的眼动轨迹追踪采集单元等同步</w:t>
                  </w:r>
                  <w:r>
                    <w:rPr>
                      <w:rFonts w:ascii="仿宋_GB2312" w:hAnsi="仿宋_GB2312" w:cs="仿宋_GB2312" w:eastAsia="仿宋_GB2312"/>
                      <w:sz w:val="21"/>
                    </w:rPr>
                    <w:t>；</w:t>
                  </w:r>
                </w:p>
                <w:p>
                  <w:pPr>
                    <w:pStyle w:val="null3"/>
                    <w:jc w:val="left"/>
                  </w:pPr>
                  <w:r>
                    <w:rPr>
                      <w:rFonts w:ascii="仿宋_GB2312" w:hAnsi="仿宋_GB2312" w:cs="仿宋_GB2312" w:eastAsia="仿宋_GB2312"/>
                      <w:sz w:val="24"/>
                    </w:rPr>
                    <w:t>17.支持眼动注视轨迹实时展示，支持实时眼动注视轨迹叠加刺激屏幕展示与注视点坐标波形展示；</w:t>
                  </w:r>
                </w:p>
                <w:p>
                  <w:pPr>
                    <w:pStyle w:val="null3"/>
                    <w:jc w:val="left"/>
                  </w:pPr>
                  <w:r>
                    <w:rPr>
                      <w:rFonts w:ascii="仿宋_GB2312" w:hAnsi="仿宋_GB2312" w:cs="仿宋_GB2312" w:eastAsia="仿宋_GB2312"/>
                      <w:sz w:val="24"/>
                    </w:rPr>
                    <w:t>18.支持通过系统平台进行头部3D位置实时展示；</w:t>
                  </w:r>
                </w:p>
                <w:p>
                  <w:pPr>
                    <w:pStyle w:val="null3"/>
                    <w:jc w:val="left"/>
                  </w:pPr>
                  <w:r>
                    <w:rPr>
                      <w:rFonts w:ascii="仿宋_GB2312" w:hAnsi="仿宋_GB2312" w:cs="仿宋_GB2312" w:eastAsia="仿宋_GB2312"/>
                      <w:sz w:val="24"/>
                    </w:rPr>
                    <w:t>19.支持通过系统平台进行眼动瞳孔直径实时展示；</w:t>
                  </w:r>
                </w:p>
                <w:p>
                  <w:pPr>
                    <w:pStyle w:val="null3"/>
                    <w:jc w:val="left"/>
                  </w:pPr>
                  <w:r>
                    <w:rPr>
                      <w:rFonts w:ascii="仿宋_GB2312" w:hAnsi="仿宋_GB2312" w:cs="仿宋_GB2312" w:eastAsia="仿宋_GB2312"/>
                      <w:sz w:val="24"/>
                    </w:rPr>
                    <w:t>20.</w:t>
                  </w:r>
                  <w:r>
                    <w:rPr>
                      <w:rFonts w:ascii="仿宋_GB2312" w:hAnsi="仿宋_GB2312" w:cs="仿宋_GB2312" w:eastAsia="仿宋_GB2312"/>
                      <w:sz w:val="21"/>
                    </w:rPr>
                    <w:t>★</w:t>
                  </w:r>
                  <w:r>
                    <w:rPr>
                      <w:rFonts w:ascii="仿宋_GB2312" w:hAnsi="仿宋_GB2312" w:cs="仿宋_GB2312" w:eastAsia="仿宋_GB2312"/>
                      <w:sz w:val="24"/>
                    </w:rPr>
                    <w:t>支持通过配套的</w:t>
                  </w:r>
                  <w:r>
                    <w:rPr>
                      <w:rFonts w:ascii="仿宋_GB2312" w:hAnsi="仿宋_GB2312" w:cs="仿宋_GB2312" w:eastAsia="仿宋_GB2312"/>
                      <w:sz w:val="24"/>
                    </w:rPr>
                    <w:t>128导电极帽，将两台64导便携式脑电实验单元组合使用，合并后系统整体识别并采集为128导数据。</w:t>
                  </w:r>
                </w:p>
                <w:p>
                  <w:pPr>
                    <w:pStyle w:val="null3"/>
                    <w:jc w:val="left"/>
                  </w:pPr>
                  <w:r>
                    <w:rPr>
                      <w:rFonts w:ascii="仿宋_GB2312" w:hAnsi="仿宋_GB2312" w:cs="仿宋_GB2312" w:eastAsia="仿宋_GB2312"/>
                      <w:sz w:val="24"/>
                    </w:rPr>
                    <w:t>21.提供配套数据分析软件；</w:t>
                  </w:r>
                </w:p>
              </w:tc>
            </w:tr>
            <w:tr>
              <w:tc>
                <w:tcPr>
                  <w:tcW w:type="dxa" w:w="2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数据处理工作站</w:t>
                  </w:r>
                </w:p>
              </w:tc>
              <w:tc>
                <w:tcPr>
                  <w:tcW w:type="dxa" w:w="17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1.数据处理工作站环境准备：</w:t>
                  </w:r>
                </w:p>
                <w:p>
                  <w:pPr>
                    <w:pStyle w:val="null3"/>
                    <w:jc w:val="left"/>
                  </w:pPr>
                  <w:r>
                    <w:rPr>
                      <w:rFonts w:ascii="仿宋_GB2312" w:hAnsi="仿宋_GB2312" w:cs="仿宋_GB2312" w:eastAsia="仿宋_GB2312"/>
                      <w:sz w:val="24"/>
                    </w:rPr>
                    <w:t>数据处理工作站需要有</w:t>
                  </w:r>
                  <w:r>
                    <w:rPr>
                      <w:rFonts w:ascii="仿宋_GB2312" w:hAnsi="仿宋_GB2312" w:cs="仿宋_GB2312" w:eastAsia="仿宋_GB2312"/>
                      <w:sz w:val="24"/>
                    </w:rPr>
                    <w:t>D盘（≥200G）。</w:t>
                  </w:r>
                </w:p>
                <w:p>
                  <w:pPr>
                    <w:pStyle w:val="null3"/>
                    <w:jc w:val="left"/>
                  </w:pPr>
                  <w:r>
                    <w:rPr>
                      <w:rFonts w:ascii="仿宋_GB2312" w:hAnsi="仿宋_GB2312" w:cs="仿宋_GB2312" w:eastAsia="仿宋_GB2312"/>
                      <w:sz w:val="24"/>
                    </w:rPr>
                    <w:t>2.数据处理工作站建议配置参数：</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1）CPU:C86,主频≥2.4GHZ,核数≥24核；</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2）内存≥32GB；</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3）SAS硬盘≥1TB；</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4）内置千兆网卡。</w:t>
                  </w:r>
                </w:p>
              </w:tc>
            </w:tr>
          </w:tbl>
          <w:p>
            <w:pPr>
              <w:pStyle w:val="null3"/>
              <w:ind w:firstLine="480"/>
            </w:pPr>
            <w:r>
              <w:rPr>
                <w:rFonts w:ascii="仿宋_GB2312" w:hAnsi="仿宋_GB2312" w:cs="仿宋_GB2312" w:eastAsia="仿宋_GB2312"/>
                <w:sz w:val="24"/>
              </w:rPr>
              <w:t>二、服务要求</w:t>
            </w:r>
          </w:p>
          <w:p>
            <w:pPr>
              <w:pStyle w:val="null3"/>
              <w:ind w:firstLine="480"/>
            </w:pPr>
            <w:r>
              <w:rPr>
                <w:rFonts w:ascii="仿宋_GB2312" w:hAnsi="仿宋_GB2312" w:cs="仿宋_GB2312" w:eastAsia="仿宋_GB2312"/>
                <w:sz w:val="24"/>
              </w:rPr>
              <w:t>（一）信息系统集成服务要求</w:t>
            </w:r>
          </w:p>
          <w:p>
            <w:pPr>
              <w:pStyle w:val="null3"/>
              <w:ind w:firstLine="480"/>
            </w:pPr>
            <w:r>
              <w:rPr>
                <w:rFonts w:ascii="仿宋_GB2312" w:hAnsi="仿宋_GB2312" w:cs="仿宋_GB2312" w:eastAsia="仿宋_GB2312"/>
                <w:sz w:val="24"/>
              </w:rPr>
              <w:t>1.系统集成任务</w:t>
            </w:r>
          </w:p>
          <w:p>
            <w:pPr>
              <w:pStyle w:val="null3"/>
              <w:ind w:firstLine="480"/>
            </w:pPr>
            <w:r>
              <w:rPr>
                <w:rFonts w:ascii="仿宋_GB2312" w:hAnsi="仿宋_GB2312" w:cs="仿宋_GB2312" w:eastAsia="仿宋_GB2312"/>
                <w:sz w:val="24"/>
              </w:rPr>
              <w:t>包含但不限于：</w:t>
            </w:r>
          </w:p>
          <w:p>
            <w:pPr>
              <w:pStyle w:val="null3"/>
              <w:ind w:firstLine="480"/>
            </w:pPr>
            <w:r>
              <w:rPr>
                <w:rFonts w:ascii="仿宋_GB2312" w:hAnsi="仿宋_GB2312" w:cs="仿宋_GB2312" w:eastAsia="仿宋_GB2312"/>
                <w:sz w:val="24"/>
              </w:rPr>
              <w:t>与学校现有数据中台完成数据对接，实现数据的无缝流转与共享；按学校要求完成与学校流程平台的数据交互。若涉及与其他业务系统对接或数据迁移，所选技术路线需确保与现有环境的兼容性及数据交互的便捷性，并提供相应的解决方案。本项目涉及数据对接需求，对接时所产生的对接费用均由项目建设方承担。</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2）须提供本项目正常运转所必须的全部系统软件、中间件、插件等，确保系统正常稳定运行。</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3）系统须实现与学校统一身份认证对接，实现单点登录。</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须按照学校的统一要求和标准规范完成与学校各公共平台的深度对接集成和适配工作，包括但不限于学校移动校园、掌上西外、网上办事大厅统一消息中心、统一事务中心、统一短信网关的数据集成、消息集成、事务集成、服务集成、应用集成，实现统一信息管理。</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5）本项目内所有移动端应用均须采用H5开发，并集成到学校移动校园微信企业号、掌上西外app和小程序，H5页面须遵循学校移动应用视觉设计规范、交互设计规范和开发交互规范。</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6）平台采集的标准化数据遵循校级数据标准等规则全量回流到学校数据中心，并按照学校要求提供所需接口，永久开放所有数据接口；完成与学校数据中心的数据采集集成，包括系统的所有结果数据，提供系统数据库的只读账号、数据字典、代码表、API 接口、集成文档等相关文档。</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7）移动端应用适配所有主流设备型号，确保应用在各终端主流版本使用体验一致。各重要功能模块均可单独抽取并集成到学校各类综合门户平台。</w:t>
            </w:r>
          </w:p>
          <w:p>
            <w:pPr>
              <w:pStyle w:val="null3"/>
              <w:ind w:firstLine="480"/>
            </w:pPr>
            <w:r>
              <w:rPr>
                <w:rFonts w:ascii="仿宋_GB2312" w:hAnsi="仿宋_GB2312" w:cs="仿宋_GB2312" w:eastAsia="仿宋_GB2312"/>
                <w:sz w:val="24"/>
              </w:rPr>
              <w:t>2.安全性要求</w:t>
            </w:r>
          </w:p>
          <w:p>
            <w:pPr>
              <w:pStyle w:val="null3"/>
              <w:ind w:firstLine="480"/>
            </w:pPr>
            <w:r>
              <w:rPr>
                <w:rFonts w:ascii="仿宋_GB2312" w:hAnsi="仿宋_GB2312" w:cs="仿宋_GB2312" w:eastAsia="仿宋_GB2312"/>
                <w:sz w:val="24"/>
              </w:rPr>
              <w:t>为保证本系统在使用过程中的安全性，具体实现要求如下：</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1）认证授权：保证用户的合法性和用户使用应用信息资源的权力，避免内部敏感信息泄漏和服务所提供的信息资源被非法访问，造成严重的安全事件。</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2）信息安全性：确保应用系统源代码安全，无漏洞；提供明晰的身份鉴别和访问控制机制，按业务要求实现功能分级，并对用户分级授权；</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信息保密：充分利用密码技术，对于个人敏感信息、业务核心数据、系统配置密钥必须采用密码技术进行加解密处理，防止信息的非授权泄漏，确保涉密信息在产生、存储、传递和处理过程中的保密,提供较完善的数据加密机制，确保数据存储和数据传输安全；个人敏感信息能配置加密策略，能配置默认脱敏形式展示，点击后可展示全部。</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4）数据完整性：建立数据完整性检验机制，保证收发双方数据的一致性，防止信息被非授权修改。</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5）可审计：系统具备日志跟踪与分析功能，提供访问、修改、删除等的用户操作日志，提供丰富的查询方式，对事件进行分析，并能提供预警信息,供追溯和追责。</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6）数据备份：利用数据库的备份功能将建设的平台和系统数据备份到指定的服务器或存储系统上，支持自动定时备份与手动备份，备份数据至少保留 2个副本且存储在不同物理位置；具备数据快速恢复能力。</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7）隐私保护和数据安全</w:t>
            </w:r>
          </w:p>
          <w:p>
            <w:pPr>
              <w:pStyle w:val="null3"/>
              <w:ind w:firstLine="480"/>
            </w:pPr>
            <w:r>
              <w:rPr>
                <w:rFonts w:ascii="仿宋_GB2312" w:hAnsi="仿宋_GB2312" w:cs="仿宋_GB2312" w:eastAsia="仿宋_GB2312"/>
                <w:sz w:val="24"/>
              </w:rPr>
              <w:t>本项目建设过程中，项目承建方不可避免的会接触到一部分含有隐私内容的数据，要求在项目承建方法律层面承担相应的保密责任。承建方需从数据采集、处理、加载、发布等各个环节设计和执行严格的隐私保护和和数据安全保障体系，签订安全保密协议，确保不会因为个人主观和操作失误等因素导致隐私泄露和数据外流，否则将承担相应的法律责任。</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8）根据学校网络安全的总体要求，业务系统操作系统不再允许使用CentOS 及Linux不再维护的相关衍生版本。</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9）须支持国产CPU、国产操作系统、国产应用中间件及国产数据库等完成良好适配并出具相关证明，配合学校完成适配工作。</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10）系统实现https安全传输协议，系统支持SSL证书，兼容TLSv1.2以上版本。</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11）需从物理安全、网络安全、系统安全、应用软件安全、数据备份安全等应满足软件系统建设安全等级保护（二级）指标，配合学校完成本次所建系统的网络安全等级保护测评和备案，费用由中标方承担。</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12）隐私保护和数据安全</w:t>
            </w:r>
          </w:p>
          <w:p>
            <w:pPr>
              <w:pStyle w:val="null3"/>
              <w:ind w:firstLine="480"/>
            </w:pPr>
            <w:r>
              <w:rPr>
                <w:rFonts w:ascii="仿宋_GB2312" w:hAnsi="仿宋_GB2312" w:cs="仿宋_GB2312" w:eastAsia="仿宋_GB2312"/>
                <w:sz w:val="24"/>
              </w:rPr>
              <w:t>系统具有数据访问日志和数据审计策略，系统日志加密存储须留存</w:t>
            </w:r>
            <w:r>
              <w:rPr>
                <w:rFonts w:ascii="仿宋_GB2312" w:hAnsi="仿宋_GB2312" w:cs="仿宋_GB2312" w:eastAsia="仿宋_GB2312"/>
                <w:sz w:val="24"/>
              </w:rPr>
              <w:t>6个月以上，支持追溯与导出。</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13）系统安全：敏感操作能配置二次验证功能。</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14）系统支持异常操作监测，对高频登录失败、批量数据导出等异常行为进行预警。</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15）中标单位确保系统运行环境的安全运维和防护。系统解决方案需符合信息安全标准，符合学校信息安全管理要求，一旦出现安全问题或隐患，中标人无条件在8小时内到位解决，应终身对系统安全负责，及时修复安全漏洞，不得另行收费。（提供书面承诺函，并加盖供应商公章。）</w:t>
            </w:r>
          </w:p>
          <w:p>
            <w:pPr>
              <w:pStyle w:val="null3"/>
              <w:ind w:firstLine="480"/>
            </w:pPr>
            <w:r>
              <w:rPr>
                <w:rFonts w:ascii="仿宋_GB2312" w:hAnsi="仿宋_GB2312" w:cs="仿宋_GB2312" w:eastAsia="仿宋_GB2312"/>
                <w:sz w:val="24"/>
              </w:rPr>
              <w:t>3.技术要求</w:t>
            </w:r>
          </w:p>
          <w:p>
            <w:pPr>
              <w:pStyle w:val="null3"/>
              <w:ind w:firstLine="480"/>
            </w:pPr>
            <w:r>
              <w:rPr>
                <w:rFonts w:ascii="仿宋_GB2312" w:hAnsi="仿宋_GB2312" w:cs="仿宋_GB2312" w:eastAsia="仿宋_GB2312"/>
                <w:sz w:val="24"/>
              </w:rPr>
              <w:t>包含但不限于：</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1）符合国家有关规定。系统建设必须符合我国相关部门制订的标准，对安全策略、密码与安全设备选用、网络互联、安全管理等必须符合我国信息安全法律法规。</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2）统一信息标准。系统的设计和开发，需遵从学校统一的信息标准。</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3）稳定性及可靠性。</w:t>
            </w:r>
          </w:p>
          <w:p>
            <w:pPr>
              <w:pStyle w:val="null3"/>
              <w:ind w:firstLine="480"/>
            </w:pPr>
            <w:r>
              <w:rPr>
                <w:rFonts w:ascii="仿宋_GB2312" w:hAnsi="仿宋_GB2312" w:cs="仿宋_GB2312" w:eastAsia="仿宋_GB2312"/>
                <w:sz w:val="24"/>
              </w:rPr>
              <w:t>1）认证授权：保证用户的合法性和用户使用信息资源的权力，避免内部敏感信息泄漏和服务所提供的信息资源被非法访问，造成严重的安全事件。</w:t>
            </w:r>
          </w:p>
          <w:p>
            <w:pPr>
              <w:pStyle w:val="null3"/>
              <w:ind w:firstLine="480"/>
            </w:pPr>
            <w:r>
              <w:rPr>
                <w:rFonts w:ascii="仿宋_GB2312" w:hAnsi="仿宋_GB2312" w:cs="仿宋_GB2312" w:eastAsia="仿宋_GB2312"/>
                <w:sz w:val="24"/>
              </w:rPr>
              <w:t>2）信息保密：充分利用密码技术，对于需要保密的信息，采用密码技术进行加解密处理，防止信息的非授权泄漏，确保涉密信息在产生、存储、传递和处理过程中的保密。敏感数据传输时需进行二次加密处理，支持数据脱敏配置。</w:t>
            </w:r>
          </w:p>
          <w:p>
            <w:pPr>
              <w:pStyle w:val="null3"/>
              <w:ind w:firstLine="480"/>
            </w:pPr>
            <w:r>
              <w:rPr>
                <w:rFonts w:ascii="仿宋_GB2312" w:hAnsi="仿宋_GB2312" w:cs="仿宋_GB2312" w:eastAsia="仿宋_GB2312"/>
                <w:sz w:val="24"/>
              </w:rPr>
              <w:t>3）数据完整：建立数据完整性检验机制，保证收发双方数据的一致性，防止信息被非授权修改。</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4）可扩展性。</w:t>
            </w:r>
          </w:p>
          <w:p>
            <w:pPr>
              <w:pStyle w:val="null3"/>
              <w:ind w:firstLine="480"/>
            </w:pPr>
            <w:r>
              <w:rPr>
                <w:rFonts w:ascii="仿宋_GB2312" w:hAnsi="仿宋_GB2312" w:cs="仿宋_GB2312" w:eastAsia="仿宋_GB2312"/>
                <w:sz w:val="24"/>
              </w:rPr>
              <w:t>具有良好的扩展能力，平台充分考虑学校级应用的场景需求。</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5）兼容性强。</w:t>
            </w:r>
          </w:p>
          <w:p>
            <w:pPr>
              <w:pStyle w:val="null3"/>
              <w:ind w:firstLine="480"/>
            </w:pPr>
            <w:r>
              <w:rPr>
                <w:rFonts w:ascii="仿宋_GB2312" w:hAnsi="仿宋_GB2312" w:cs="仿宋_GB2312" w:eastAsia="仿宋_GB2312"/>
                <w:sz w:val="24"/>
              </w:rPr>
              <w:t>系统系统有良好的兼容性，须跨主流浏览器运行，兼容包含但不限于谷歌、火狐、</w:t>
            </w:r>
            <w:r>
              <w:rPr>
                <w:rFonts w:ascii="仿宋_GB2312" w:hAnsi="仿宋_GB2312" w:cs="仿宋_GB2312" w:eastAsia="仿宋_GB2312"/>
                <w:sz w:val="24"/>
              </w:rPr>
              <w:t>360安全浏览器、360极速浏览器、Microsoft Edge 、Chrome（及基于Chrome内核的浏览器）等浏览器的更高级版本并通过验证；安卓系统、IOS系统、鸿蒙系统等主流移动端访问系统时页面自动适配，具备友好显示和便捷交互。访问系统不需要安装特定浏览器插件。不得被常用安全软件（瑞星杀毒软件、360杀毒、360安全卫士、百度安全等）认定为可疑或危险程序。</w:t>
            </w:r>
          </w:p>
          <w:p>
            <w:pPr>
              <w:pStyle w:val="null3"/>
              <w:ind w:firstLine="480"/>
            </w:pPr>
            <w:r>
              <w:rPr>
                <w:rFonts w:ascii="仿宋_GB2312" w:hAnsi="仿宋_GB2312" w:cs="仿宋_GB2312" w:eastAsia="仿宋_GB2312"/>
                <w:sz w:val="24"/>
              </w:rPr>
              <w:t>支持主流国产数据库，确保数据交互的兼容性与稳定性。</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6）支持IPV4/IPV6双栈网络协议。</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7）系统支持高并发数据处理，需满足高并发、高可靠运行，支持不少于 150用户同时在线，系统稳定无卡顿；7×24 小时运行，支持压力测试与极限场景验证。</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8） 系统须采用分布式高可用性部署；采用业界主流、成熟稳定、安全性高、开放式的开发语言及技术架构，确保系统的可维护性与扩展性；用户端和管理端均应采用完全的B/S架构。</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9）能够对系统的保密数据进行加密、防止SQL注入等攻击。</w:t>
            </w:r>
          </w:p>
          <w:p>
            <w:pPr>
              <w:pStyle w:val="null3"/>
              <w:ind w:firstLine="480"/>
            </w:pPr>
            <w:r>
              <w:rPr>
                <w:rFonts w:ascii="仿宋_GB2312" w:hAnsi="仿宋_GB2312" w:cs="仿宋_GB2312" w:eastAsia="仿宋_GB2312"/>
                <w:sz w:val="24"/>
              </w:rPr>
              <w:t>4.项目实施与进度计划</w:t>
            </w:r>
          </w:p>
          <w:p>
            <w:pPr>
              <w:pStyle w:val="null3"/>
              <w:ind w:firstLine="480"/>
            </w:pPr>
            <w:r>
              <w:rPr>
                <w:rFonts w:ascii="仿宋_GB2312" w:hAnsi="仿宋_GB2312" w:cs="仿宋_GB2312" w:eastAsia="仿宋_GB2312"/>
                <w:sz w:val="24"/>
              </w:rPr>
              <w:t>项目实施计划分为以下五个阶段：</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1）项目启动与安全规划（第1周）</w:t>
            </w:r>
          </w:p>
          <w:p>
            <w:pPr>
              <w:pStyle w:val="null3"/>
              <w:ind w:firstLine="480"/>
            </w:pPr>
            <w:r>
              <w:rPr>
                <w:rFonts w:ascii="仿宋_GB2312" w:hAnsi="仿宋_GB2312" w:cs="仿宋_GB2312" w:eastAsia="仿宋_GB2312"/>
                <w:sz w:val="24"/>
              </w:rPr>
              <w:t>1）成立项目组，与学校签署安全保密协议，明确法律层面的隐私保护与数据安全责任。</w:t>
            </w:r>
          </w:p>
          <w:p>
            <w:pPr>
              <w:pStyle w:val="null3"/>
              <w:ind w:firstLine="480"/>
            </w:pPr>
            <w:r>
              <w:rPr>
                <w:rFonts w:ascii="仿宋_GB2312" w:hAnsi="仿宋_GB2312" w:cs="仿宋_GB2312" w:eastAsia="仿宋_GB2312"/>
                <w:sz w:val="24"/>
              </w:rPr>
              <w:t>2）制定《信息系统安全等级保护项目计划书》，落实等保二级（物理、网络、系统、应用、数据备份）指标要求。</w:t>
            </w:r>
          </w:p>
          <w:p>
            <w:pPr>
              <w:pStyle w:val="null3"/>
              <w:ind w:firstLine="480"/>
            </w:pPr>
            <w:r>
              <w:rPr>
                <w:rFonts w:ascii="仿宋_GB2312" w:hAnsi="仿宋_GB2312" w:cs="仿宋_GB2312" w:eastAsia="仿宋_GB2312"/>
                <w:sz w:val="24"/>
              </w:rPr>
              <w:t>3）确认系统底层环境，规划国产CPU、操作系统、数据库及中间件的适配方案。</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2）环境搭建与系统集成（第2周）</w:t>
            </w:r>
          </w:p>
          <w:p>
            <w:pPr>
              <w:pStyle w:val="null3"/>
              <w:ind w:firstLine="480"/>
            </w:pPr>
            <w:r>
              <w:rPr>
                <w:rFonts w:ascii="仿宋_GB2312" w:hAnsi="仿宋_GB2312" w:cs="仿宋_GB2312" w:eastAsia="仿宋_GB2312"/>
                <w:sz w:val="24"/>
              </w:rPr>
              <w:t>1）提供系统运行必须的全部系统软件、中间件、插件等，完成分布式高可用性部署架构搭建。</w:t>
            </w:r>
          </w:p>
          <w:p>
            <w:pPr>
              <w:pStyle w:val="null3"/>
              <w:ind w:firstLine="480"/>
            </w:pPr>
            <w:r>
              <w:rPr>
                <w:rFonts w:ascii="仿宋_GB2312" w:hAnsi="仿宋_GB2312" w:cs="仿宋_GB2312" w:eastAsia="仿宋_GB2312"/>
                <w:sz w:val="24"/>
              </w:rPr>
              <w:t>2）开展国产化软硬件适配工作，出具相关证明，确保与国产应用中间件及数据库的兼容与稳定。</w:t>
            </w:r>
          </w:p>
          <w:p>
            <w:pPr>
              <w:pStyle w:val="null3"/>
              <w:ind w:firstLine="480"/>
            </w:pPr>
            <w:r>
              <w:rPr>
                <w:rFonts w:ascii="仿宋_GB2312" w:hAnsi="仿宋_GB2312" w:cs="仿宋_GB2312" w:eastAsia="仿宋_GB2312"/>
                <w:sz w:val="24"/>
              </w:rPr>
              <w:t>3）配置IPV4/IPV6双栈网络协议，部署SSL证书实现HTTPS安全传输（兼容TLSv1.2以上）。</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3）核心开发与安全实现（第3周）</w:t>
            </w:r>
          </w:p>
          <w:p>
            <w:pPr>
              <w:pStyle w:val="null3"/>
              <w:ind w:firstLine="480"/>
            </w:pPr>
            <w:r>
              <w:rPr>
                <w:rFonts w:ascii="仿宋_GB2312" w:hAnsi="仿宋_GB2312" w:cs="仿宋_GB2312" w:eastAsia="仿宋_GB2312"/>
                <w:sz w:val="24"/>
              </w:rPr>
              <w:t>1）基于B/S架构进行用户端与管理端开发，确保系统支持高并发（不少于150用户同时在线无卡顿）及7×24小时稳定运行。</w:t>
            </w:r>
          </w:p>
          <w:p>
            <w:pPr>
              <w:pStyle w:val="null3"/>
              <w:ind w:firstLine="480"/>
            </w:pPr>
            <w:r>
              <w:rPr>
                <w:rFonts w:ascii="仿宋_GB2312" w:hAnsi="仿宋_GB2312" w:cs="仿宋_GB2312" w:eastAsia="仿宋_GB2312"/>
                <w:sz w:val="24"/>
              </w:rPr>
              <w:t>2）落实安全技术要求：实现身份鉴别与分级授权；对个人敏感信息、核心数据配置加密策略与默认脱敏展示；敏感数据传输二次加密；建立数据完整性检验机制，防止SQL注入等攻击。</w:t>
            </w:r>
          </w:p>
          <w:p>
            <w:pPr>
              <w:pStyle w:val="null3"/>
              <w:ind w:firstLine="480"/>
            </w:pPr>
            <w:r>
              <w:rPr>
                <w:rFonts w:ascii="仿宋_GB2312" w:hAnsi="仿宋_GB2312" w:cs="仿宋_GB2312" w:eastAsia="仿宋_GB2312"/>
                <w:sz w:val="24"/>
              </w:rPr>
              <w:t>3）实现系统日志与审计功能，确保加密存储留存6个月以上，支持追溯与导出；配置数据库自动/手动定时备份与快速恢复机制。</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4）系统测试与等保测评（第4周）</w:t>
            </w:r>
          </w:p>
          <w:p>
            <w:pPr>
              <w:pStyle w:val="null3"/>
              <w:ind w:firstLine="480"/>
            </w:pPr>
            <w:r>
              <w:rPr>
                <w:rFonts w:ascii="仿宋_GB2312" w:hAnsi="仿宋_GB2312" w:cs="仿宋_GB2312" w:eastAsia="仿宋_GB2312"/>
                <w:sz w:val="24"/>
              </w:rPr>
              <w:t>1）完成跨主流浏览器（谷歌、火狐、360、Edge等）及移动端（安卓、IOS、鸿蒙）的兼容性与自适应测试，确保不被主流杀毒软件误报。</w:t>
            </w:r>
          </w:p>
          <w:p>
            <w:pPr>
              <w:pStyle w:val="null3"/>
              <w:ind w:firstLine="480"/>
            </w:pPr>
            <w:r>
              <w:rPr>
                <w:rFonts w:ascii="仿宋_GB2312" w:hAnsi="仿宋_GB2312" w:cs="仿宋_GB2312" w:eastAsia="仿宋_GB2312"/>
                <w:sz w:val="24"/>
              </w:rPr>
              <w:t>2）进行压力测试与极限场景验证，编写测试用例，出具系统测试报告。</w:t>
            </w:r>
          </w:p>
          <w:p>
            <w:pPr>
              <w:pStyle w:val="null3"/>
              <w:ind w:firstLine="480"/>
            </w:pPr>
            <w:r>
              <w:rPr>
                <w:rFonts w:ascii="仿宋_GB2312" w:hAnsi="仿宋_GB2312" w:cs="仿宋_GB2312" w:eastAsia="仿宋_GB2312"/>
                <w:sz w:val="24"/>
              </w:rPr>
              <w:t>3）配合学校完成等保二级测评，输出《系统等级测评方案》《系统等级测评报告》《信息系统安全等级保护定级备案证明》及《信息系统整改建议书》。</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5）交付验收与试运行（第5周）</w:t>
            </w:r>
          </w:p>
          <w:p>
            <w:pPr>
              <w:pStyle w:val="null3"/>
              <w:ind w:firstLine="480"/>
            </w:pPr>
            <w:r>
              <w:rPr>
                <w:rFonts w:ascii="仿宋_GB2312" w:hAnsi="仿宋_GB2312" w:cs="仿宋_GB2312" w:eastAsia="仿宋_GB2312"/>
                <w:sz w:val="24"/>
              </w:rPr>
              <w:t>1）汇集所有项目文档、管理文档及过程记录（含版本管理、变更记录等）成册交付，并提供电子化版本。</w:t>
            </w:r>
          </w:p>
          <w:p>
            <w:pPr>
              <w:pStyle w:val="null3"/>
              <w:ind w:firstLine="480"/>
            </w:pPr>
            <w:r>
              <w:rPr>
                <w:rFonts w:ascii="仿宋_GB2312" w:hAnsi="仿宋_GB2312" w:cs="仿宋_GB2312" w:eastAsia="仿宋_GB2312"/>
                <w:sz w:val="24"/>
              </w:rPr>
              <w:t>2）提交竣工文档、验收测试报告及试运行报告，系统正式切入试运行阶段。</w:t>
            </w:r>
          </w:p>
          <w:p>
            <w:pPr>
              <w:pStyle w:val="null3"/>
              <w:ind w:firstLine="480"/>
            </w:pPr>
            <w:r>
              <w:rPr>
                <w:rFonts w:ascii="仿宋_GB2312" w:hAnsi="仿宋_GB2312" w:cs="仿宋_GB2312" w:eastAsia="仿宋_GB2312"/>
                <w:sz w:val="24"/>
              </w:rPr>
              <w:t>5.项目成果交付清单</w:t>
            </w:r>
          </w:p>
          <w:p>
            <w:pPr>
              <w:pStyle w:val="null3"/>
              <w:ind w:firstLine="480"/>
            </w:pPr>
            <w:r>
              <w:rPr>
                <w:rFonts w:ascii="仿宋_GB2312" w:hAnsi="仿宋_GB2312" w:cs="仿宋_GB2312" w:eastAsia="仿宋_GB2312"/>
                <w:sz w:val="24"/>
              </w:rPr>
              <w:t>须交付本项目在开发过程中和交付使用后各个阶段的成果和文档资料，并提供明确的交付清单。成果和文档资料必须符合软件工程的相关要求。要交付的成果和文档资料主要包括但不限于以下部分：</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1）可执行代码和源代码：项目开发过程中为用户方定制功能的源代码；</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项目文档：项目开发中的各种技术文档，包括用户手册、管理员手册、开发环境配置说明、需求分析说明、方案设计、参数设定、软件说明书、数据库结构、数据结构（数据字典）、代码清单、软件工具清单、需求及实施变更说明、需求跟踪矩阵、API接口手册以及有关系统集成接口的技术说明文档、元数据模型说明、系统设计说明、系统维护说明、系统培训资料，系统测试报告、试运行报告等；</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管理文档：包括项目开发中的一些工作文档，如实施计划、阶段报告、讨论纲要、会议记录，培训资料、竣工文档（含项目实施总结、系统配置情况等）、验收测试报告（测试计划、测试用例和测试结果等）等；</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4）提供项目实施过程中的过程记录，如文档管理、版本管理、变更记录等；</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5）项目完工后提供验收报告、实施方案、进度安排、项目周报等。交付的所有成果应汇集成册交付给学校，并提供成果的电子化版本。</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6）提供《信息系统安全等级保护项目计划书》、《系统等级测评方案》、《系统等级测评报告》、《信息系统安全等级保护定级备案证明》和《信息系统整改建议书》等备案资料。</w:t>
            </w:r>
          </w:p>
          <w:p>
            <w:pPr>
              <w:pStyle w:val="null3"/>
              <w:ind w:firstLine="480"/>
            </w:pPr>
            <w:r>
              <w:rPr>
                <w:rFonts w:ascii="仿宋_GB2312" w:hAnsi="仿宋_GB2312" w:cs="仿宋_GB2312" w:eastAsia="仿宋_GB2312"/>
                <w:sz w:val="24"/>
              </w:rPr>
              <w:t>6.技术支持与售后服务</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1）安全运维与修复保障</w:t>
            </w:r>
          </w:p>
          <w:p>
            <w:pPr>
              <w:pStyle w:val="null3"/>
              <w:ind w:firstLine="480"/>
            </w:pPr>
            <w:r>
              <w:rPr>
                <w:rFonts w:ascii="仿宋_GB2312" w:hAnsi="仿宋_GB2312" w:cs="仿宋_GB2312" w:eastAsia="仿宋_GB2312"/>
                <w:sz w:val="24"/>
              </w:rPr>
              <w:t>承建方对系统安全负责。系统解决方案须严格符合信息安全标准及学校信息安全管理要求。一旦出现安全问题或隐患，承建方承诺无条件在</w:t>
            </w:r>
            <w:r>
              <w:rPr>
                <w:rFonts w:ascii="仿宋_GB2312" w:hAnsi="仿宋_GB2312" w:cs="仿宋_GB2312" w:eastAsia="仿宋_GB2312"/>
                <w:sz w:val="24"/>
              </w:rPr>
              <w:t>8小时内到位解决，及时修复安全漏洞，且不得另行收费（中标后提供加盖公章的书面承诺函）。</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2）隐私保护与数据安全服务</w:t>
            </w:r>
          </w:p>
          <w:p>
            <w:pPr>
              <w:pStyle w:val="null3"/>
              <w:ind w:firstLine="480"/>
            </w:pPr>
            <w:r>
              <w:rPr>
                <w:rFonts w:ascii="仿宋_GB2312" w:hAnsi="仿宋_GB2312" w:cs="仿宋_GB2312" w:eastAsia="仿宋_GB2312"/>
                <w:sz w:val="24"/>
              </w:rPr>
              <w:t>严格遵守双方签订的安全保密协议，从数据采集、处理、加载、发布等环节提供全生命周期的隐私保障。售后期间若涉及系统维护或数据排查，承建方人员必须遵循最小权限原则，确保不因主观或操作失误导致隐私泄露与数据外流，否则承担相应法律责任。系统审计日志保留</w:t>
            </w:r>
            <w:r>
              <w:rPr>
                <w:rFonts w:ascii="仿宋_GB2312" w:hAnsi="仿宋_GB2312" w:cs="仿宋_GB2312" w:eastAsia="仿宋_GB2312"/>
                <w:sz w:val="24"/>
              </w:rPr>
              <w:t>6个月以上，提供追溯与导出支持。</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3）数据备份与灾难恢复支持</w:t>
            </w:r>
          </w:p>
          <w:p>
            <w:pPr>
              <w:pStyle w:val="null3"/>
              <w:ind w:firstLine="480"/>
            </w:pPr>
            <w:r>
              <w:rPr>
                <w:rFonts w:ascii="仿宋_GB2312" w:hAnsi="仿宋_GB2312" w:cs="仿宋_GB2312" w:eastAsia="仿宋_GB2312"/>
                <w:sz w:val="24"/>
              </w:rPr>
              <w:t>售后期内，保障数据库备份功能正常运行，支持自动定时与手动备份。遇突发情况导致数据丢失或损坏，提供快速数据恢复服务，保证收发双方数据的一致性与完整性，防止信息被非授权修改。</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4）国产化与兼容性持续保障</w:t>
            </w:r>
          </w:p>
          <w:p>
            <w:pPr>
              <w:pStyle w:val="null3"/>
              <w:ind w:firstLine="480"/>
            </w:pPr>
            <w:r>
              <w:rPr>
                <w:rFonts w:ascii="仿宋_GB2312" w:hAnsi="仿宋_GB2312" w:cs="仿宋_GB2312" w:eastAsia="仿宋_GB2312"/>
                <w:sz w:val="24"/>
              </w:rPr>
              <w:t>提供国产化运行环境适配技术支持，确保系统在国产</w:t>
            </w:r>
            <w:r>
              <w:rPr>
                <w:rFonts w:ascii="仿宋_GB2312" w:hAnsi="仿宋_GB2312" w:cs="仿宋_GB2312" w:eastAsia="仿宋_GB2312"/>
                <w:sz w:val="24"/>
              </w:rPr>
              <w:t>CPU、操作系统、数据库及中间件上的持续良好适配与稳定交互。解决系统在跨主流浏览器访问时出现的任何兼容性、适配性或被安全软件误报的问题，保障高并发场景下的系统无卡顿运行。</w:t>
            </w:r>
          </w:p>
          <w:p>
            <w:pPr>
              <w:pStyle w:val="null3"/>
              <w:ind w:firstLine="480"/>
            </w:pPr>
            <w:r>
              <w:rPr>
                <w:rFonts w:ascii="仿宋_GB2312" w:hAnsi="仿宋_GB2312" w:cs="仿宋_GB2312" w:eastAsia="仿宋_GB2312"/>
                <w:sz w:val="24"/>
              </w:rPr>
              <w:t>（</w:t>
            </w:r>
            <w:r>
              <w:rPr>
                <w:rFonts w:ascii="仿宋_GB2312" w:hAnsi="仿宋_GB2312" w:cs="仿宋_GB2312" w:eastAsia="仿宋_GB2312"/>
                <w:sz w:val="24"/>
              </w:rPr>
              <w:t>5）技术培训与文档支持</w:t>
            </w:r>
          </w:p>
          <w:p>
            <w:pPr>
              <w:pStyle w:val="null3"/>
              <w:ind w:firstLine="480"/>
            </w:pPr>
            <w:r>
              <w:rPr>
                <w:rFonts w:ascii="仿宋_GB2312" w:hAnsi="仿宋_GB2312" w:cs="仿宋_GB2312" w:eastAsia="仿宋_GB2312"/>
                <w:sz w:val="24"/>
              </w:rPr>
              <w:t>向学校交付完整的用户手册、管理员手册、系统维护说明及</w:t>
            </w:r>
            <w:r>
              <w:rPr>
                <w:rFonts w:ascii="仿宋_GB2312" w:hAnsi="仿宋_GB2312" w:cs="仿宋_GB2312" w:eastAsia="仿宋_GB2312"/>
                <w:sz w:val="24"/>
              </w:rPr>
              <w:t>API接口手册等文档资料。提供全面的系统培训，确保校方管理人员熟练掌握身份鉴别配置、数据脱敏策略配置、加密策略调整及系统配置密钥管理，保障校方具备独立的日常运维与安全管控能力。</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进度款，产品安装调试完成，学校最终验收合格后，达到付款条件起30个工作日内，支付合同总金额的60.0%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7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运出更换的全新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1.运输由中标人负责，运杂费已包含在合同总价内。 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 3.除合同另有规定外，中标人提供的全部货物，均应按标准保护措施进行包装。包装应适应于远距离运输、防潮、防震、防锈和防野蛮装卸，以确保货物安全无损运抵项目现场。 4.中标人提供的产品及相关快递服务的包装要求，按照《商品包装政府采购需求标准（试行）》《快递包装政府采购需求标准（试行）》执行。</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质保期：质保期为产品最终验收合格之日起3年。 质保期内，任何由制造商选材和制造不当引起的质量问题，中标人负责维修或更换原厂配件，采购人不负担任何维修费用（含人工费）。质保期内，项目责任工程师每年提供不小于2次上门保养服务，提供保养用的全部零部件（原厂）。质保期满前1个月，中标人提供一次全面的检查、维护，并出具正式检查报告，如发现潜在问题，应负责完全排除。</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本项目其他要求详见附件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业绩.docx 培训方案.docx 中小企业声明函 商务应答表 质量保证.docx 进货渠道.docx 投标函 售后服务.docx 残疾人福利性单位声明函 法定代表人证明书及授权书.docx 标的清单 关于符合本国产品标准的声明函 投标文件封面 实施方案.docx 产品技术参数表.docx 一般资格审查.docx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业绩.docx 培训方案.docx 中小企业声明函 商务应答表 质量保证.docx 进货渠道.docx 投标函 售后服务.docx 残疾人福利性单位声明函 法定代表人证明书及授权书.docx 标的清单 关于符合本国产品标准的声明函 投标文件封面 实施方案.docx 产品技术参数表.docx 一般资格审查.docx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投标人为向招标人提供货物的法人或其他组织</w:t>
            </w:r>
          </w:p>
        </w:tc>
        <w:tc>
          <w:tcPr>
            <w:tcW w:type="dxa" w:w="1661"/>
          </w:tcPr>
          <w:p>
            <w:pPr>
              <w:pStyle w:val="null3"/>
            </w:pPr>
            <w:r>
              <w:rPr>
                <w:rFonts w:ascii="仿宋_GB2312" w:hAnsi="仿宋_GB2312" w:cs="仿宋_GB2312" w:eastAsia="仿宋_GB2312"/>
              </w:rPr>
              <w:t>一般资格审查.docx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一般资格审查.docx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业绩.docx 培训方案.docx 中小企业声明函 商务应答表 质量保证.docx 进货渠道.docx 投标函 售后服务.docx 残疾人福利性单位声明函 法定代表人证明书及授权书.docx 标的清单 关于符合本国产品标准的声明函 投标文件封面 实施方案.docx 产品技术参数表.docx 一般资格审查.docx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投标文件未按招标文件要求签署、盖章的</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业绩.docx 培训方案.docx 中小企业声明函 商务应答表 质量保证.docx 进货渠道.docx 投标函 售后服务.docx 残疾人福利性单位声明函 法定代表人证明书及授权书.docx 标的清单 关于符合本国产品标准的声明函 投标文件封面 实施方案.docx 产品技术参数表.docx 一般资格审查.docx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投标函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业绩.docx 培训方案.docx 中小企业声明函 商务应答表 质量保证.docx 进货渠道.docx 投标函 售后服务.docx 残疾人福利性单位声明函 法定代表人证明书及授权书.docx 标的清单 关于符合本国产品标准的声明函 投标文件封面 实施方案.docx 产品技术参数表.docx 一般资格审查.docx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业绩.docx 培训方案.docx 中小企业声明函 商务应答表 质量保证.docx 进货渠道.docx 投标函 售后服务.docx 残疾人福利性单位声明函 法定代表人证明书及授权书.docx 标的清单 关于符合本国产品标准的声明函 投标文件封面 实施方案.docx 产品技术参数表.docx 一般资格审查.docx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投标文件是否响应本项目商务要求及服务内容及要求中的标记“★”条款</w:t>
            </w:r>
          </w:p>
        </w:tc>
        <w:tc>
          <w:tcPr>
            <w:tcW w:type="dxa" w:w="3322"/>
          </w:tcPr>
          <w:p>
            <w:pPr>
              <w:pStyle w:val="null3"/>
            </w:pPr>
            <w:r>
              <w:rPr>
                <w:rFonts w:ascii="仿宋_GB2312" w:hAnsi="仿宋_GB2312" w:cs="仿宋_GB2312" w:eastAsia="仿宋_GB2312"/>
              </w:rPr>
              <w:t>投标文件响应本项目商务要求及采购内容及要求中的标记“★”条款</w:t>
            </w:r>
          </w:p>
        </w:tc>
        <w:tc>
          <w:tcPr>
            <w:tcW w:type="dxa" w:w="1661"/>
          </w:tcPr>
          <w:p>
            <w:pPr>
              <w:pStyle w:val="null3"/>
            </w:pPr>
            <w:r>
              <w:rPr>
                <w:rFonts w:ascii="仿宋_GB2312" w:hAnsi="仿宋_GB2312" w:cs="仿宋_GB2312" w:eastAsia="仿宋_GB2312"/>
              </w:rPr>
              <w:t>商务应答表 投标文件封面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投标人应授权合法的人员参加本项目招标活动全过程</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 参数</w:t>
            </w:r>
          </w:p>
        </w:tc>
        <w:tc>
          <w:tcPr>
            <w:tcW w:type="dxa" w:w="2492"/>
          </w:tcPr>
          <w:p>
            <w:pPr>
              <w:pStyle w:val="null3"/>
            </w:pPr>
            <w:r>
              <w:rPr>
                <w:rFonts w:ascii="仿宋_GB2312" w:hAnsi="仿宋_GB2312" w:cs="仿宋_GB2312" w:eastAsia="仿宋_GB2312"/>
              </w:rPr>
              <w:t>根据投标人提供的二、技术参数响应情况进行评审： 投标产品技术指标，完全满足招标技术要求得42.5分，其中： 1.标记“★”项的参数需求为实质性要求，共6项，存在负偏离的按照无效投标处理。 2.标记“▲”项的参数需求为重要技术参数，共9项，每负偏离一项扣0.9分。 3.其他参数为一般技术参数，除“功能演示”要求外，每负偏离一项扣0.4分，扣完为止。 备注：投标人均需提供相应的各参数指标证明材料，【其中技术参数中明确要求证明材料类型的，按照要求提供。】证明材料包括产品规格表或产品宣传彩页或技术白皮书或制造商官方网站发布的产品信息或说明书或检测机构出具的检测报告或承诺书或设计方案或功能截图，并在技术响应表中注明佐证材料的页码，投标人对材料的真实性、完整性及有效性承担责任，投标人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42.5000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 方案</w:t>
            </w:r>
          </w:p>
        </w:tc>
        <w:tc>
          <w:tcPr>
            <w:tcW w:type="dxa" w:w="2492"/>
          </w:tcPr>
          <w:p>
            <w:pPr>
              <w:pStyle w:val="null3"/>
            </w:pPr>
            <w:r>
              <w:rPr>
                <w:rFonts w:ascii="仿宋_GB2312" w:hAnsi="仿宋_GB2312" w:cs="仿宋_GB2312" w:eastAsia="仿宋_GB2312"/>
              </w:rPr>
              <w:t>投标人提供的实施方案需包含①整体实施计划；②交付运输及安装调试方案；③进度保证措施；共3项内容，每项满分3分，总分9分。 其中具体内容与本项目及所投产品的①针对性、②可行性、③方案完善性作为采分点；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投标人提供的培训方案需包含针对培训要求提供培训计划，为采购人培训操作维护人员，以保障使用过程中能熟练操作、维护和正常使用及培训内容、方式、人员安排及培训课程计划，共1项内容，满分3分。 其中具体内容与本项目及所投产品的①针对性、②可行性、③方案完善性作为采分点；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投标人提供的实施方案需包含：产品性能、使用寿命、效果及质量保证措施。共1项内容，满分3分。 其中具体内容与本项目及所投产品的①针对性、②可行性、③方案完善性作为采分点；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投标人提供的提供的售后服务方案需包含①售后响应时间及售后服务范围及保障措施及质量跟踪方案；②应急处理方案；共2项内容，每项满分3分，总分6分。 其中具体内容与本项目及所投产品的①针对性、②可行性、③方案完善性作为采分点； 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供应商承诺所投产品进货渠道正规，无假货、水货、翻新货且无产权纠纷得0.5分。 备注：供应商需提供加盖公章的承诺书，格式自拟。</w:t>
            </w:r>
          </w:p>
        </w:tc>
        <w:tc>
          <w:tcPr>
            <w:tcW w:type="dxa" w:w="831"/>
          </w:tcPr>
          <w:p>
            <w:pPr>
              <w:pStyle w:val="null3"/>
              <w:jc w:val="right"/>
            </w:pPr>
            <w:r>
              <w:rPr>
                <w:rFonts w:ascii="仿宋_GB2312" w:hAnsi="仿宋_GB2312" w:cs="仿宋_GB2312" w:eastAsia="仿宋_GB2312"/>
              </w:rPr>
              <w:t>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进货渠道.docx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提供投标人2023年6月1日至今同类项目合同（以合同签订日期为准），每提供1个得2分，最高得6分。备注：投标文件中提供合同复印件。</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经初审合格的投标文件，其投标报价为有效投标价。评审基准价：即满足招标文件要求且投标报价最低的为评审基准价。其他投标人的价格分统一按照下列公式计算。 价格分=（评审基准价/投标报价）×30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详见附件：一般资格审查.docx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详见附件：进货渠道.docx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