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608BC2">
      <w:pPr>
        <w:pStyle w:val="4"/>
        <w:jc w:val="center"/>
        <w:rPr>
          <w:sz w:val="32"/>
          <w:szCs w:val="32"/>
        </w:rPr>
      </w:pPr>
      <w:r>
        <w:rPr>
          <w:rFonts w:hint="eastAsia" w:ascii="宋体" w:hAnsi="宋体" w:eastAsia="宋体" w:cs="宋体"/>
          <w:b/>
          <w:sz w:val="32"/>
          <w:szCs w:val="32"/>
          <w:lang w:val="en-US" w:eastAsia="zh-CN"/>
        </w:rPr>
        <w:t>采购包1：西安电子科技大学未来信息港校区围墙圈建及土地整理项目</w:t>
      </w:r>
      <w:r>
        <w:rPr>
          <w:rFonts w:ascii="宋体" w:hAnsi="宋体" w:eastAsia="宋体" w:cs="宋体"/>
          <w:b/>
          <w:sz w:val="32"/>
          <w:szCs w:val="32"/>
        </w:rPr>
        <w:t>工程量清单</w:t>
      </w:r>
    </w:p>
    <w:p w14:paraId="20F20E58">
      <w:pPr>
        <w:ind w:firstLine="420" w:firstLineChars="200"/>
        <w:rPr>
          <w:rFonts w:hint="eastAsia"/>
        </w:rPr>
      </w:pPr>
    </w:p>
    <w:p w14:paraId="7B655EC5">
      <w:pPr>
        <w:ind w:firstLine="420" w:firstLineChars="200"/>
        <w:rPr>
          <w:rFonts w:hint="eastAsia"/>
        </w:rPr>
      </w:pPr>
      <w:r>
        <w:rPr>
          <w:rFonts w:hint="eastAsia"/>
          <w:lang w:val="en-US" w:eastAsia="zh-CN"/>
        </w:rPr>
        <w:t>投标人</w:t>
      </w:r>
      <w:r>
        <w:rPr>
          <w:rFonts w:hint="eastAsia"/>
        </w:rPr>
        <w:t>应在</w:t>
      </w:r>
      <w:r>
        <w:rPr>
          <w:rFonts w:hint="eastAsia"/>
          <w:lang w:val="en-US" w:eastAsia="zh-CN"/>
        </w:rPr>
        <w:t>开标一览</w:t>
      </w:r>
      <w:r>
        <w:rPr>
          <w:rFonts w:hint="eastAsia"/>
        </w:rPr>
        <w:t>表中标明完成本</w:t>
      </w:r>
      <w:r>
        <w:rPr>
          <w:rFonts w:hint="eastAsia"/>
          <w:lang w:val="en-US" w:eastAsia="zh-CN"/>
        </w:rPr>
        <w:t>项目</w:t>
      </w:r>
      <w:r>
        <w:rPr>
          <w:rFonts w:hint="eastAsia"/>
        </w:rPr>
        <w:t>所要求内容且验收合格的所有费用。包括但不限于人工费、机械费、管理费、风险费用、利润、税金、成交代理服务费等其他一切相关费用。</w:t>
      </w:r>
      <w:r>
        <w:rPr>
          <w:rFonts w:hint="eastAsia"/>
          <w:lang w:val="en-US" w:eastAsia="zh-CN"/>
        </w:rPr>
        <w:t>开标一览</w:t>
      </w:r>
      <w:r>
        <w:rPr>
          <w:rFonts w:hint="eastAsia"/>
        </w:rPr>
        <w:t>表中标明本次</w:t>
      </w:r>
      <w:r>
        <w:rPr>
          <w:rFonts w:hint="eastAsia"/>
          <w:lang w:val="en-US" w:eastAsia="zh-CN"/>
        </w:rPr>
        <w:t>投标</w:t>
      </w:r>
      <w:r>
        <w:rPr>
          <w:rFonts w:hint="eastAsia"/>
        </w:rPr>
        <w:t>的所有单项价格和总价，任何有选择的报价将不予接受，否则按无效</w:t>
      </w:r>
      <w:r>
        <w:rPr>
          <w:rFonts w:hint="eastAsia"/>
          <w:lang w:val="en-US" w:eastAsia="zh-CN"/>
        </w:rPr>
        <w:t>投标</w:t>
      </w:r>
      <w:r>
        <w:rPr>
          <w:rFonts w:hint="eastAsia"/>
        </w:rPr>
        <w:t>处理。</w:t>
      </w:r>
    </w:p>
    <w:p w14:paraId="744F84BD">
      <w:pPr>
        <w:pStyle w:val="4"/>
        <w:jc w:val="center"/>
      </w:pPr>
      <w:r>
        <w:rPr>
          <w:rFonts w:ascii="宋体" w:hAnsi="宋体" w:eastAsia="宋体" w:cs="宋体"/>
          <w:b/>
        </w:rPr>
        <w:t>工程量清单</w:t>
      </w:r>
    </w:p>
    <w:tbl>
      <w:tblPr>
        <w:tblStyle w:val="2"/>
        <w:tblW w:w="0" w:type="auto"/>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131"/>
        <w:gridCol w:w="1657"/>
        <w:gridCol w:w="1954"/>
        <w:gridCol w:w="3236"/>
      </w:tblGrid>
      <w:tr w14:paraId="20D5D1A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089" w:hRule="atLeast"/>
          <w:jc w:val="center"/>
        </w:trPr>
        <w:tc>
          <w:tcPr>
            <w:tcW w:w="1131" w:type="dxa"/>
            <w:tcBorders>
              <w:top w:val="single" w:color="000000" w:sz="4" w:space="0"/>
              <w:left w:val="single" w:color="000000" w:sz="4" w:space="0"/>
              <w:bottom w:val="single" w:color="auto" w:sz="4" w:space="0"/>
              <w:right w:val="single" w:color="000000" w:sz="4" w:space="0"/>
            </w:tcBorders>
            <w:tcMar>
              <w:top w:w="0" w:type="dxa"/>
              <w:left w:w="105" w:type="dxa"/>
              <w:bottom w:w="0" w:type="dxa"/>
              <w:right w:w="105" w:type="dxa"/>
            </w:tcMar>
            <w:vAlign w:val="center"/>
          </w:tcPr>
          <w:p w14:paraId="2C48DEC5">
            <w:pPr>
              <w:pStyle w:val="4"/>
              <w:jc w:val="center"/>
              <w:rPr>
                <w:b w:val="0"/>
                <w:bCs w:val="0"/>
              </w:rPr>
            </w:pPr>
            <w:r>
              <w:rPr>
                <w:rFonts w:ascii="宋体" w:hAnsi="宋体" w:eastAsia="宋体" w:cs="宋体"/>
                <w:b w:val="0"/>
                <w:bCs w:val="0"/>
                <w:sz w:val="19"/>
              </w:rPr>
              <w:t>序号</w:t>
            </w:r>
          </w:p>
        </w:tc>
        <w:tc>
          <w:tcPr>
            <w:tcW w:w="1657" w:type="dxa"/>
            <w:tcBorders>
              <w:top w:val="single" w:color="000000" w:sz="4" w:space="0"/>
              <w:left w:val="nil"/>
              <w:bottom w:val="single" w:color="auto" w:sz="4" w:space="0"/>
              <w:right w:val="single" w:color="000000" w:sz="4" w:space="0"/>
            </w:tcBorders>
            <w:tcMar>
              <w:top w:w="0" w:type="dxa"/>
              <w:left w:w="105" w:type="dxa"/>
              <w:bottom w:w="0" w:type="dxa"/>
              <w:right w:w="105" w:type="dxa"/>
            </w:tcMar>
            <w:vAlign w:val="center"/>
          </w:tcPr>
          <w:p w14:paraId="174699CF">
            <w:pPr>
              <w:pStyle w:val="4"/>
              <w:jc w:val="center"/>
              <w:rPr>
                <w:b w:val="0"/>
                <w:bCs w:val="0"/>
              </w:rPr>
            </w:pPr>
            <w:r>
              <w:rPr>
                <w:rFonts w:ascii="宋体" w:hAnsi="宋体" w:eastAsia="宋体" w:cs="宋体"/>
                <w:b w:val="0"/>
                <w:bCs w:val="0"/>
                <w:sz w:val="19"/>
              </w:rPr>
              <w:t>清单项目</w:t>
            </w:r>
          </w:p>
        </w:tc>
        <w:tc>
          <w:tcPr>
            <w:tcW w:w="1954" w:type="dxa"/>
            <w:tcBorders>
              <w:top w:val="single" w:color="000000" w:sz="4" w:space="0"/>
              <w:left w:val="nil"/>
              <w:bottom w:val="single" w:color="auto" w:sz="4" w:space="0"/>
              <w:right w:val="nil"/>
            </w:tcBorders>
            <w:tcMar>
              <w:top w:w="0" w:type="dxa"/>
              <w:left w:w="105" w:type="dxa"/>
              <w:bottom w:w="0" w:type="dxa"/>
              <w:right w:w="105" w:type="dxa"/>
            </w:tcMar>
            <w:vAlign w:val="center"/>
          </w:tcPr>
          <w:p w14:paraId="05DC6575">
            <w:pPr>
              <w:pStyle w:val="4"/>
              <w:jc w:val="center"/>
              <w:rPr>
                <w:b w:val="0"/>
                <w:bCs w:val="0"/>
              </w:rPr>
            </w:pPr>
            <w:r>
              <w:rPr>
                <w:rFonts w:ascii="宋体" w:hAnsi="宋体" w:eastAsia="宋体" w:cs="宋体"/>
                <w:b w:val="0"/>
                <w:bCs w:val="0"/>
                <w:sz w:val="19"/>
              </w:rPr>
              <w:t>工程量</w:t>
            </w:r>
          </w:p>
        </w:tc>
        <w:tc>
          <w:tcPr>
            <w:tcW w:w="3236" w:type="dxa"/>
            <w:tcBorders>
              <w:top w:val="single" w:color="000000" w:sz="4" w:space="0"/>
              <w:left w:val="single" w:color="000000" w:sz="4" w:space="0"/>
              <w:bottom w:val="single" w:color="auto" w:sz="4" w:space="0"/>
              <w:right w:val="single" w:color="000000" w:sz="4" w:space="0"/>
            </w:tcBorders>
            <w:tcMar>
              <w:top w:w="0" w:type="dxa"/>
              <w:left w:w="105" w:type="dxa"/>
              <w:bottom w:w="0" w:type="dxa"/>
              <w:right w:w="105" w:type="dxa"/>
            </w:tcMar>
            <w:vAlign w:val="center"/>
          </w:tcPr>
          <w:p w14:paraId="2F7F0CAA">
            <w:pPr>
              <w:pStyle w:val="4"/>
              <w:jc w:val="center"/>
              <w:rPr>
                <w:b w:val="0"/>
                <w:bCs w:val="0"/>
              </w:rPr>
            </w:pPr>
            <w:r>
              <w:rPr>
                <w:rFonts w:ascii="宋体" w:hAnsi="宋体" w:eastAsia="宋体" w:cs="宋体"/>
                <w:b w:val="0"/>
                <w:bCs w:val="0"/>
                <w:sz w:val="19"/>
              </w:rPr>
              <w:t>最高含税完全综合单价限价</w:t>
            </w:r>
          </w:p>
        </w:tc>
      </w:tr>
      <w:tr w14:paraId="76D5FD7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097" w:hRule="atLeast"/>
          <w:jc w:val="center"/>
        </w:trPr>
        <w:tc>
          <w:tcPr>
            <w:tcW w:w="1131"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129131C">
            <w:pPr>
              <w:pStyle w:val="4"/>
              <w:jc w:val="center"/>
            </w:pPr>
            <w:r>
              <w:rPr>
                <w:rFonts w:ascii="宋体" w:hAnsi="宋体" w:eastAsia="宋体" w:cs="宋体"/>
                <w:sz w:val="19"/>
              </w:rPr>
              <w:t>1</w:t>
            </w:r>
          </w:p>
        </w:tc>
        <w:tc>
          <w:tcPr>
            <w:tcW w:w="1657"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1ECC3A40">
            <w:pPr>
              <w:pStyle w:val="4"/>
              <w:keepNext w:val="0"/>
              <w:keepLines w:val="0"/>
              <w:pageBreakBefore w:val="0"/>
              <w:widowControl/>
              <w:wordWrap/>
              <w:overflowPunct/>
              <w:topLinePunct w:val="0"/>
              <w:bidi w:val="0"/>
              <w:spacing w:line="460" w:lineRule="exact"/>
              <w:jc w:val="center"/>
              <w:rPr>
                <w:rFonts w:hint="eastAsia" w:ascii="宋体" w:hAnsi="宋体" w:eastAsia="宋体" w:cs="宋体"/>
                <w:sz w:val="21"/>
                <w:szCs w:val="21"/>
              </w:rPr>
            </w:pPr>
            <w:r>
              <w:rPr>
                <w:rFonts w:hint="eastAsia" w:ascii="宋体" w:hAnsi="宋体" w:eastAsia="宋体" w:cs="宋体"/>
                <w:sz w:val="21"/>
                <w:szCs w:val="21"/>
                <w:highlight w:val="none"/>
                <w:shd w:val="clear" w:color="auto" w:fill="FFFFFF"/>
              </w:rPr>
              <w:t>围墙圈建</w:t>
            </w:r>
          </w:p>
        </w:tc>
        <w:tc>
          <w:tcPr>
            <w:tcW w:w="1954"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17EA00B7">
            <w:pPr>
              <w:pStyle w:val="4"/>
              <w:keepNext w:val="0"/>
              <w:keepLines w:val="0"/>
              <w:pageBreakBefore w:val="0"/>
              <w:widowControl/>
              <w:wordWrap/>
              <w:overflowPunct/>
              <w:topLinePunct w:val="0"/>
              <w:bidi w:val="0"/>
              <w:spacing w:line="460" w:lineRule="exact"/>
              <w:jc w:val="center"/>
              <w:rPr>
                <w:rFonts w:hint="eastAsia" w:ascii="宋体" w:hAnsi="宋体" w:eastAsia="宋体" w:cs="宋体"/>
                <w:sz w:val="21"/>
                <w:szCs w:val="21"/>
                <w:lang w:val="en-US"/>
              </w:rPr>
            </w:pPr>
            <w:r>
              <w:rPr>
                <w:rFonts w:hint="eastAsia" w:ascii="宋体" w:hAnsi="宋体" w:eastAsia="宋体" w:cs="宋体"/>
                <w:sz w:val="21"/>
                <w:szCs w:val="21"/>
                <w:highlight w:val="none"/>
                <w:shd w:val="clear" w:color="auto" w:fill="FFFFFF"/>
                <w:lang w:val="en-US" w:eastAsia="zh-CN"/>
              </w:rPr>
              <w:t>4600m</w:t>
            </w:r>
          </w:p>
        </w:tc>
        <w:tc>
          <w:tcPr>
            <w:tcW w:w="3236"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2083964">
            <w:pPr>
              <w:pStyle w:val="4"/>
              <w:keepNext w:val="0"/>
              <w:keepLines w:val="0"/>
              <w:pageBreakBefore w:val="0"/>
              <w:widowControl/>
              <w:wordWrap/>
              <w:overflowPunct/>
              <w:topLinePunct w:val="0"/>
              <w:bidi w:val="0"/>
              <w:spacing w:line="460" w:lineRule="exact"/>
              <w:jc w:val="center"/>
              <w:rPr>
                <w:rFonts w:hint="eastAsia" w:ascii="宋体" w:hAnsi="宋体" w:eastAsia="宋体" w:cs="宋体"/>
                <w:sz w:val="21"/>
                <w:szCs w:val="21"/>
              </w:rPr>
            </w:pPr>
            <w:r>
              <w:rPr>
                <w:rFonts w:hint="eastAsia" w:ascii="宋体" w:hAnsi="宋体" w:eastAsia="宋体" w:cs="宋体"/>
                <w:sz w:val="21"/>
                <w:szCs w:val="21"/>
                <w:highlight w:val="none"/>
                <w:shd w:val="clear" w:color="auto" w:fill="FFFFFF"/>
                <w:lang w:val="en-US"/>
              </w:rPr>
              <w:t>1050</w:t>
            </w:r>
            <w:r>
              <w:rPr>
                <w:rFonts w:hint="eastAsia" w:ascii="宋体" w:hAnsi="宋体" w:eastAsia="宋体" w:cs="宋体"/>
                <w:sz w:val="21"/>
                <w:szCs w:val="21"/>
                <w:highlight w:val="none"/>
                <w:shd w:val="clear" w:color="auto" w:fill="FFFFFF"/>
              </w:rPr>
              <w:t>元/</w:t>
            </w:r>
            <w:r>
              <w:rPr>
                <w:rFonts w:hint="eastAsia" w:ascii="宋体" w:hAnsi="宋体" w:eastAsia="宋体" w:cs="宋体"/>
                <w:sz w:val="21"/>
                <w:szCs w:val="21"/>
                <w:highlight w:val="none"/>
                <w:shd w:val="clear" w:color="auto" w:fill="FFFFFF"/>
                <w:lang w:val="en-US" w:eastAsia="zh-CN"/>
              </w:rPr>
              <w:t>m</w:t>
            </w:r>
          </w:p>
        </w:tc>
      </w:tr>
      <w:tr w14:paraId="214F1FC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097" w:hRule="atLeast"/>
          <w:jc w:val="center"/>
        </w:trPr>
        <w:tc>
          <w:tcPr>
            <w:tcW w:w="1131"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5509C53C">
            <w:pPr>
              <w:pStyle w:val="4"/>
              <w:jc w:val="center"/>
              <w:rPr>
                <w:rFonts w:hint="eastAsia" w:ascii="宋体" w:hAnsi="宋体" w:eastAsia="宋体" w:cs="宋体"/>
                <w:sz w:val="19"/>
                <w:lang w:val="en-US" w:eastAsia="zh-CN"/>
              </w:rPr>
            </w:pPr>
            <w:r>
              <w:rPr>
                <w:rFonts w:hint="eastAsia" w:ascii="宋体" w:hAnsi="宋体" w:eastAsia="宋体" w:cs="宋体"/>
                <w:sz w:val="19"/>
                <w:lang w:val="en-US" w:eastAsia="zh-CN"/>
              </w:rPr>
              <w:t>2</w:t>
            </w:r>
          </w:p>
        </w:tc>
        <w:tc>
          <w:tcPr>
            <w:tcW w:w="1657"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F27D050">
            <w:pPr>
              <w:pStyle w:val="4"/>
              <w:keepNext w:val="0"/>
              <w:keepLines w:val="0"/>
              <w:pageBreakBefore w:val="0"/>
              <w:widowControl/>
              <w:wordWrap/>
              <w:overflowPunct/>
              <w:topLinePunct w:val="0"/>
              <w:bidi w:val="0"/>
              <w:spacing w:line="460" w:lineRule="exact"/>
              <w:jc w:val="center"/>
              <w:rPr>
                <w:rFonts w:hint="eastAsia" w:ascii="宋体" w:hAnsi="宋体" w:eastAsia="宋体" w:cs="宋体"/>
                <w:sz w:val="21"/>
                <w:szCs w:val="21"/>
                <w:lang w:eastAsia="zh-CN"/>
              </w:rPr>
            </w:pPr>
            <w:r>
              <w:rPr>
                <w:rFonts w:hint="eastAsia" w:ascii="宋体" w:hAnsi="宋体" w:eastAsia="宋体" w:cs="宋体"/>
                <w:sz w:val="21"/>
                <w:szCs w:val="21"/>
                <w:highlight w:val="none"/>
                <w:shd w:val="clear" w:color="auto" w:fill="FFFFFF"/>
                <w:lang w:val="en-US" w:eastAsia="zh-CN"/>
              </w:rPr>
              <w:t>土地整理</w:t>
            </w:r>
          </w:p>
        </w:tc>
        <w:tc>
          <w:tcPr>
            <w:tcW w:w="1954"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5110A971">
            <w:pPr>
              <w:pStyle w:val="4"/>
              <w:keepNext w:val="0"/>
              <w:keepLines w:val="0"/>
              <w:pageBreakBefore w:val="0"/>
              <w:widowControl/>
              <w:wordWrap/>
              <w:overflowPunct/>
              <w:topLinePunct w:val="0"/>
              <w:bidi w:val="0"/>
              <w:spacing w:line="46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highlight w:val="none"/>
                <w:shd w:val="clear" w:color="auto" w:fill="FFFFFF"/>
                <w:lang w:val="en-US" w:eastAsia="zh-CN"/>
              </w:rPr>
              <w:t>681337㎡</w:t>
            </w:r>
          </w:p>
        </w:tc>
        <w:tc>
          <w:tcPr>
            <w:tcW w:w="3236"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37F651A0">
            <w:pPr>
              <w:pStyle w:val="4"/>
              <w:keepNext w:val="0"/>
              <w:keepLines w:val="0"/>
              <w:pageBreakBefore w:val="0"/>
              <w:widowControl/>
              <w:wordWrap/>
              <w:overflowPunct/>
              <w:topLinePunct w:val="0"/>
              <w:bidi w:val="0"/>
              <w:spacing w:line="46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highlight w:val="none"/>
                <w:shd w:val="clear" w:color="auto" w:fill="FFFFFF"/>
                <w:lang w:val="en-US" w:eastAsia="zh-CN"/>
              </w:rPr>
              <w:t>5.25</w:t>
            </w:r>
            <w:r>
              <w:rPr>
                <w:rFonts w:hint="eastAsia" w:ascii="宋体" w:hAnsi="宋体" w:eastAsia="宋体" w:cs="宋体"/>
                <w:sz w:val="21"/>
                <w:szCs w:val="21"/>
                <w:highlight w:val="none"/>
                <w:shd w:val="clear" w:color="auto" w:fill="FFFFFF"/>
              </w:rPr>
              <w:t>元/</w:t>
            </w:r>
            <w:r>
              <w:rPr>
                <w:rFonts w:hint="eastAsia" w:ascii="宋体" w:hAnsi="宋体" w:eastAsia="宋体" w:cs="宋体"/>
                <w:sz w:val="21"/>
                <w:szCs w:val="21"/>
                <w:highlight w:val="none"/>
                <w:shd w:val="clear" w:color="auto" w:fill="FFFFFF"/>
                <w:lang w:val="en-US" w:eastAsia="zh-CN"/>
              </w:rPr>
              <w:t>㎡</w:t>
            </w:r>
          </w:p>
        </w:tc>
      </w:tr>
    </w:tbl>
    <w:p w14:paraId="2FFAC4B3">
      <w:pPr>
        <w:pStyle w:val="4"/>
        <w:ind w:firstLine="200" w:firstLineChars="100"/>
        <w:jc w:val="both"/>
      </w:pPr>
      <w:r>
        <w:rPr>
          <w:rFonts w:ascii="宋体" w:hAnsi="宋体" w:eastAsia="宋体" w:cs="宋体"/>
        </w:rPr>
        <w:t>注：1、本工程量为暂定工程量，最终以实际工程量为准结算；</w:t>
      </w:r>
    </w:p>
    <w:p w14:paraId="6F2D17D4">
      <w:pPr>
        <w:ind w:firstLine="420" w:firstLineChars="200"/>
        <w:rPr>
          <w:rFonts w:hint="eastAsia"/>
        </w:rPr>
      </w:pPr>
      <w:r>
        <w:rPr>
          <w:rFonts w:ascii="宋体" w:hAnsi="宋体" w:eastAsia="宋体" w:cs="宋体"/>
        </w:rPr>
        <w:t xml:space="preserve">  2、本项目结算金额的总计高于预算金额时以本项目预算金额作为结算金额。结算金额低于预算金额时据实结算。</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jYTAyMTY4MWQyYjExNzAwYmE2MzA2YTc5MGJlZmIifQ=="/>
  </w:docVars>
  <w:rsids>
    <w:rsidRoot w:val="04B14250"/>
    <w:rsid w:val="04B14250"/>
    <w:rsid w:val="1EA64F73"/>
    <w:rsid w:val="3FB519C1"/>
    <w:rsid w:val="419D4F33"/>
    <w:rsid w:val="4669580F"/>
    <w:rsid w:val="54526175"/>
    <w:rsid w:val="667B5B76"/>
    <w:rsid w:val="6C3E32A2"/>
    <w:rsid w:val="77D30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276</Words>
  <Characters>290</Characters>
  <Lines>0</Lines>
  <Paragraphs>0</Paragraphs>
  <TotalTime>0</TotalTime>
  <ScaleCrop>false</ScaleCrop>
  <LinksUpToDate>false</LinksUpToDate>
  <CharactersWithSpaces>292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2023-12-01T09:09:00Z</dcterms:created>
  <dc:creator>归 路 </dc:creator>
  <cp:lastModifiedBy>闫豪</cp:lastModifiedBy>
  <dcterms:modified xsi:type="dcterms:W3CDTF">2026-06-25T06:38:05Z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AC53086F4AFE4DDD8BBF3793F96AE564_13</vt:lpwstr>
  </property>
  <property fmtid="{D5CDD505-2E9C-101B-9397-08002B2CF9AE}" pid="4" name="KSOTemplateDocerSaveRecord">
    <vt:lpwstr>eyJoZGlkIjoiYjIxYWU3MGUxNGMwOTdjNjBlNWU0MzI5NDhlMmMzZGMiLCJ1c2VySWQiOiIzNDY3Njc0MTcifQ==</vt:lpwstr>
  </property>
</Properties>
</file>