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44E3C">
      <w:pPr>
        <w:spacing w:line="360" w:lineRule="auto"/>
        <w:ind w:firstLine="420" w:firstLineChars="200"/>
        <w:rPr>
          <w:rFonts w:hint="default" w:ascii="宋体" w:hAnsi="宋体" w:cs="宋体" w:eastAsiaTheme="minorEastAsia"/>
          <w:szCs w:val="21"/>
          <w:highlight w:val="none"/>
          <w:lang w:val="en-US" w:eastAsia="zh-CN"/>
        </w:rPr>
      </w:pPr>
      <w:r>
        <w:rPr>
          <w:rFonts w:hint="eastAsia" w:ascii="宋体" w:hAnsi="宋体" w:cs="宋体"/>
          <w:szCs w:val="21"/>
          <w:highlight w:val="none"/>
        </w:rPr>
        <w:t>甲方：西安市</w:t>
      </w:r>
      <w:r>
        <w:rPr>
          <w:rFonts w:hint="eastAsia" w:ascii="宋体" w:hAnsi="宋体" w:cs="宋体"/>
          <w:szCs w:val="21"/>
          <w:highlight w:val="none"/>
          <w:lang w:val="en-US" w:eastAsia="zh-CN"/>
        </w:rPr>
        <w:t>第三十中学</w:t>
      </w:r>
    </w:p>
    <w:p w14:paraId="021249E2">
      <w:pPr>
        <w:spacing w:line="360" w:lineRule="auto"/>
        <w:ind w:firstLine="420" w:firstLineChars="200"/>
        <w:rPr>
          <w:rFonts w:ascii="宋体" w:hAnsi="宋体" w:cs="宋体"/>
          <w:szCs w:val="21"/>
          <w:highlight w:val="none"/>
        </w:rPr>
      </w:pPr>
      <w:r>
        <w:rPr>
          <w:rFonts w:hint="eastAsia" w:ascii="宋体" w:hAnsi="宋体" w:cs="宋体"/>
          <w:szCs w:val="21"/>
          <w:highlight w:val="none"/>
        </w:rPr>
        <w:t>住所地：</w:t>
      </w:r>
    </w:p>
    <w:p w14:paraId="2E67650C">
      <w:pPr>
        <w:spacing w:line="360" w:lineRule="auto"/>
        <w:ind w:firstLine="420" w:firstLineChars="200"/>
        <w:rPr>
          <w:rFonts w:ascii="宋体" w:hAnsi="宋体" w:cs="宋体"/>
          <w:szCs w:val="21"/>
          <w:highlight w:val="none"/>
        </w:rPr>
      </w:pPr>
      <w:r>
        <w:rPr>
          <w:rFonts w:hint="eastAsia" w:ascii="宋体" w:hAnsi="宋体" w:cs="宋体"/>
          <w:szCs w:val="21"/>
          <w:highlight w:val="none"/>
        </w:rPr>
        <w:t>法定代表（负责）人：</w:t>
      </w:r>
      <w:r>
        <w:rPr>
          <w:rFonts w:ascii="宋体" w:hAnsi="宋体" w:cs="宋体"/>
          <w:szCs w:val="21"/>
          <w:highlight w:val="none"/>
        </w:rPr>
        <w:t xml:space="preserve"> </w:t>
      </w:r>
    </w:p>
    <w:p w14:paraId="08A919E8">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联系方式： </w:t>
      </w:r>
    </w:p>
    <w:p w14:paraId="294E38BB">
      <w:pPr>
        <w:spacing w:line="360" w:lineRule="auto"/>
        <w:ind w:firstLine="420" w:firstLineChars="200"/>
        <w:rPr>
          <w:rFonts w:ascii="宋体" w:hAnsi="宋体" w:cs="宋体"/>
          <w:szCs w:val="21"/>
          <w:highlight w:val="none"/>
        </w:rPr>
      </w:pPr>
      <w:r>
        <w:rPr>
          <w:rFonts w:hint="eastAsia" w:ascii="宋体" w:hAnsi="宋体" w:cs="宋体"/>
          <w:szCs w:val="21"/>
          <w:highlight w:val="none"/>
        </w:rPr>
        <w:t>乙方：xxxx</w:t>
      </w:r>
    </w:p>
    <w:p w14:paraId="4B8C051E">
      <w:pPr>
        <w:spacing w:line="360" w:lineRule="auto"/>
        <w:ind w:firstLine="420" w:firstLineChars="200"/>
        <w:rPr>
          <w:rFonts w:ascii="宋体" w:hAnsi="宋体" w:cs="宋体"/>
          <w:szCs w:val="21"/>
          <w:highlight w:val="none"/>
        </w:rPr>
      </w:pPr>
      <w:r>
        <w:rPr>
          <w:rFonts w:hint="eastAsia" w:ascii="宋体" w:hAnsi="宋体" w:cs="宋体"/>
          <w:szCs w:val="21"/>
          <w:highlight w:val="none"/>
        </w:rPr>
        <w:t>住所地：</w:t>
      </w:r>
    </w:p>
    <w:p w14:paraId="3B34CC54">
      <w:pPr>
        <w:spacing w:line="360" w:lineRule="auto"/>
        <w:ind w:firstLine="420" w:firstLineChars="200"/>
        <w:rPr>
          <w:rFonts w:ascii="宋体" w:hAnsi="宋体" w:cs="宋体"/>
          <w:szCs w:val="21"/>
          <w:highlight w:val="none"/>
        </w:rPr>
      </w:pPr>
      <w:r>
        <w:rPr>
          <w:rFonts w:hint="eastAsia" w:ascii="宋体" w:hAnsi="宋体" w:cs="宋体"/>
          <w:szCs w:val="21"/>
          <w:highlight w:val="none"/>
        </w:rPr>
        <w:t>法定代表（负责）人：</w:t>
      </w:r>
    </w:p>
    <w:p w14:paraId="72C5AC0A">
      <w:pPr>
        <w:spacing w:line="360" w:lineRule="auto"/>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联系方式</w:t>
      </w:r>
      <w:r>
        <w:rPr>
          <w:rFonts w:hint="eastAsia" w:ascii="宋体" w:hAnsi="宋体" w:cs="宋体"/>
          <w:szCs w:val="21"/>
          <w:highlight w:val="none"/>
          <w:lang w:eastAsia="zh-CN"/>
        </w:rPr>
        <w:t>：</w:t>
      </w:r>
    </w:p>
    <w:p w14:paraId="32F1D82F">
      <w:pPr>
        <w:spacing w:line="360" w:lineRule="auto"/>
        <w:ind w:firstLine="420" w:firstLineChars="200"/>
        <w:rPr>
          <w:rFonts w:hint="eastAsia" w:ascii="宋体" w:hAnsi="宋体" w:cs="宋体"/>
          <w:highlight w:val="none"/>
        </w:rPr>
      </w:pPr>
      <w:r>
        <w:rPr>
          <w:rFonts w:hint="eastAsia" w:ascii="宋体" w:hAnsi="宋体" w:cs="宋体"/>
          <w:highlight w:val="none"/>
        </w:rPr>
        <w:t>甲方与乙方依据《中华人民共和国民法典》及其他有关法律法规，遵循平等、自愿、公平和诚实信用的原则，甲、乙双方就</w:t>
      </w:r>
      <w:r>
        <w:rPr>
          <w:rFonts w:hint="eastAsia" w:ascii="宋体" w:hAnsi="宋体" w:cs="宋体"/>
          <w:highlight w:val="none"/>
          <w:u w:val="single"/>
          <w:lang w:eastAsia="zh-CN"/>
        </w:rPr>
        <w:t>西安市第三十中学智慧黑板及教学软件采购</w:t>
      </w:r>
      <w:r>
        <w:rPr>
          <w:rFonts w:hint="eastAsia" w:ascii="宋体" w:hAnsi="宋体" w:cs="宋体"/>
          <w:highlight w:val="none"/>
        </w:rPr>
        <w:t>相关事项达成一致意见，订立本合同。</w:t>
      </w:r>
    </w:p>
    <w:p w14:paraId="37DF0E9D">
      <w:pPr>
        <w:tabs>
          <w:tab w:val="left" w:pos="480"/>
        </w:tabs>
        <w:spacing w:line="360" w:lineRule="auto"/>
        <w:rPr>
          <w:rFonts w:ascii="宋体" w:hAnsi="宋体" w:cs="宋体"/>
          <w:b/>
          <w:szCs w:val="21"/>
          <w:highlight w:val="none"/>
        </w:rPr>
      </w:pPr>
      <w:r>
        <w:rPr>
          <w:rFonts w:hint="eastAsia" w:ascii="宋体" w:hAnsi="宋体" w:cs="宋体"/>
          <w:b/>
          <w:szCs w:val="21"/>
          <w:highlight w:val="none"/>
        </w:rPr>
        <w:t>一、合同标的物内容及数量</w:t>
      </w:r>
      <w:r>
        <w:rPr>
          <w:rFonts w:hint="eastAsia" w:ascii="宋体" w:hAnsi="宋体" w:cs="宋体"/>
          <w:szCs w:val="21"/>
          <w:highlight w:val="none"/>
        </w:rPr>
        <w:t>（以响应文件正本和澄清表〈函〉为准）</w:t>
      </w:r>
    </w:p>
    <w:tbl>
      <w:tblPr>
        <w:tblStyle w:val="2"/>
        <w:tblW w:w="9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5"/>
        <w:gridCol w:w="981"/>
        <w:gridCol w:w="1144"/>
        <w:gridCol w:w="1572"/>
        <w:gridCol w:w="1135"/>
        <w:gridCol w:w="709"/>
        <w:gridCol w:w="1034"/>
        <w:gridCol w:w="1000"/>
        <w:gridCol w:w="733"/>
        <w:gridCol w:w="484"/>
      </w:tblGrid>
      <w:tr w14:paraId="427B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587" w:type="dxa"/>
            <w:gridSpan w:val="2"/>
            <w:tcBorders>
              <w:top w:val="single" w:color="auto" w:sz="4" w:space="0"/>
              <w:left w:val="single" w:color="auto" w:sz="4" w:space="0"/>
              <w:bottom w:val="single" w:color="auto" w:sz="4" w:space="0"/>
              <w:right w:val="single" w:color="auto" w:sz="4" w:space="0"/>
            </w:tcBorders>
            <w:noWrap w:val="0"/>
            <w:vAlign w:val="center"/>
          </w:tcPr>
          <w:p w14:paraId="157357A7">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序号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28A5AC85">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货物名称</w:t>
            </w:r>
          </w:p>
        </w:tc>
        <w:tc>
          <w:tcPr>
            <w:tcW w:w="1144" w:type="dxa"/>
            <w:tcBorders>
              <w:top w:val="single" w:color="auto" w:sz="4" w:space="0"/>
              <w:left w:val="single" w:color="auto" w:sz="4" w:space="0"/>
              <w:bottom w:val="single" w:color="auto" w:sz="4" w:space="0"/>
              <w:right w:val="single" w:color="auto" w:sz="4" w:space="0"/>
            </w:tcBorders>
            <w:noWrap w:val="0"/>
            <w:vAlign w:val="center"/>
          </w:tcPr>
          <w:p w14:paraId="055A296A">
            <w:pPr>
              <w:tabs>
                <w:tab w:val="left" w:pos="480"/>
              </w:tabs>
              <w:spacing w:line="360" w:lineRule="auto"/>
              <w:jc w:val="center"/>
              <w:rPr>
                <w:rFonts w:hint="eastAsia" w:ascii="宋体" w:hAnsi="宋体" w:eastAsia="宋体" w:cs="宋体"/>
                <w:szCs w:val="21"/>
                <w:highlight w:val="none"/>
              </w:rPr>
            </w:pPr>
            <w:r>
              <w:rPr>
                <w:rFonts w:ascii="宋体" w:hAnsi="宋体" w:eastAsia="宋体" w:cs="宋体"/>
                <w:szCs w:val="21"/>
                <w:highlight w:val="none"/>
              </w:rPr>
              <w:t>生产厂家</w:t>
            </w:r>
            <w:r>
              <w:rPr>
                <w:rFonts w:hint="eastAsia" w:ascii="宋体" w:hAnsi="宋体" w:eastAsia="宋体" w:cs="宋体"/>
                <w:szCs w:val="21"/>
                <w:highlight w:val="none"/>
              </w:rPr>
              <w:t>/品牌</w:t>
            </w:r>
          </w:p>
        </w:tc>
        <w:tc>
          <w:tcPr>
            <w:tcW w:w="1572" w:type="dxa"/>
            <w:tcBorders>
              <w:top w:val="single" w:color="auto" w:sz="4" w:space="0"/>
              <w:left w:val="single" w:color="auto" w:sz="4" w:space="0"/>
              <w:bottom w:val="single" w:color="auto" w:sz="4" w:space="0"/>
              <w:right w:val="single" w:color="auto" w:sz="4" w:space="0"/>
            </w:tcBorders>
            <w:noWrap w:val="0"/>
            <w:vAlign w:val="center"/>
          </w:tcPr>
          <w:p w14:paraId="09AEBA35">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型号规格</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7201E8D9">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产地</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433B78C">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数量</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41FACD52">
            <w:pPr>
              <w:tabs>
                <w:tab w:val="left" w:pos="480"/>
              </w:tabs>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单价</w:t>
            </w:r>
          </w:p>
          <w:p w14:paraId="0E5952D9">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（元）</w:t>
            </w:r>
          </w:p>
        </w:tc>
        <w:tc>
          <w:tcPr>
            <w:tcW w:w="1000" w:type="dxa"/>
            <w:tcBorders>
              <w:top w:val="single" w:color="auto" w:sz="4" w:space="0"/>
              <w:left w:val="single" w:color="auto" w:sz="4" w:space="0"/>
              <w:bottom w:val="single" w:color="auto" w:sz="4" w:space="0"/>
              <w:right w:val="single" w:color="auto" w:sz="4" w:space="0"/>
            </w:tcBorders>
            <w:noWrap w:val="0"/>
            <w:vAlign w:val="center"/>
          </w:tcPr>
          <w:p w14:paraId="60B840ED">
            <w:pPr>
              <w:tabs>
                <w:tab w:val="left" w:pos="480"/>
              </w:tabs>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总价</w:t>
            </w:r>
          </w:p>
          <w:p w14:paraId="22137126">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（元）</w:t>
            </w:r>
          </w:p>
        </w:tc>
        <w:tc>
          <w:tcPr>
            <w:tcW w:w="733" w:type="dxa"/>
            <w:tcBorders>
              <w:top w:val="single" w:color="auto" w:sz="4" w:space="0"/>
              <w:left w:val="single" w:color="auto" w:sz="4" w:space="0"/>
              <w:bottom w:val="single" w:color="auto" w:sz="4" w:space="0"/>
              <w:right w:val="single" w:color="auto" w:sz="4" w:space="0"/>
            </w:tcBorders>
            <w:noWrap w:val="0"/>
            <w:vAlign w:val="center"/>
          </w:tcPr>
          <w:p w14:paraId="799F711F">
            <w:pPr>
              <w:tabs>
                <w:tab w:val="left" w:pos="480"/>
              </w:tabs>
              <w:spacing w:line="360" w:lineRule="auto"/>
              <w:jc w:val="cente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质保期</w:t>
            </w:r>
          </w:p>
        </w:tc>
        <w:tc>
          <w:tcPr>
            <w:tcW w:w="484" w:type="dxa"/>
            <w:tcBorders>
              <w:top w:val="single" w:color="auto" w:sz="4" w:space="0"/>
              <w:left w:val="single" w:color="auto" w:sz="4" w:space="0"/>
              <w:bottom w:val="single" w:color="auto" w:sz="4" w:space="0"/>
              <w:right w:val="single" w:color="auto" w:sz="4" w:space="0"/>
            </w:tcBorders>
            <w:noWrap w:val="0"/>
            <w:vAlign w:val="center"/>
          </w:tcPr>
          <w:p w14:paraId="0CA4C5A1">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备注</w:t>
            </w:r>
          </w:p>
        </w:tc>
      </w:tr>
      <w:tr w14:paraId="2F6C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87" w:type="dxa"/>
            <w:gridSpan w:val="2"/>
            <w:tcBorders>
              <w:top w:val="single" w:color="auto" w:sz="4" w:space="0"/>
              <w:left w:val="single" w:color="auto" w:sz="4" w:space="0"/>
              <w:bottom w:val="single" w:color="auto" w:sz="4" w:space="0"/>
              <w:right w:val="single" w:color="auto" w:sz="4" w:space="0"/>
            </w:tcBorders>
            <w:noWrap w:val="0"/>
            <w:vAlign w:val="center"/>
          </w:tcPr>
          <w:p w14:paraId="4DFC8D56">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1</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65400926">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1144" w:type="dxa"/>
            <w:tcBorders>
              <w:top w:val="single" w:color="auto" w:sz="4" w:space="0"/>
              <w:left w:val="single" w:color="auto" w:sz="4" w:space="0"/>
              <w:bottom w:val="single" w:color="auto" w:sz="4" w:space="0"/>
              <w:right w:val="single" w:color="auto" w:sz="4" w:space="0"/>
            </w:tcBorders>
            <w:noWrap w:val="0"/>
            <w:vAlign w:val="center"/>
          </w:tcPr>
          <w:p w14:paraId="23E89AA3">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1572" w:type="dxa"/>
            <w:tcBorders>
              <w:top w:val="single" w:color="auto" w:sz="4" w:space="0"/>
              <w:left w:val="single" w:color="auto" w:sz="4" w:space="0"/>
              <w:bottom w:val="single" w:color="auto" w:sz="4" w:space="0"/>
              <w:right w:val="single" w:color="auto" w:sz="4" w:space="0"/>
            </w:tcBorders>
            <w:noWrap w:val="0"/>
            <w:vAlign w:val="center"/>
          </w:tcPr>
          <w:p w14:paraId="04944E73">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1E661604">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BB0BB01">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1282DEE2">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1000" w:type="dxa"/>
            <w:tcBorders>
              <w:top w:val="single" w:color="auto" w:sz="4" w:space="0"/>
              <w:left w:val="single" w:color="auto" w:sz="4" w:space="0"/>
              <w:right w:val="single" w:color="auto" w:sz="4" w:space="0"/>
            </w:tcBorders>
            <w:noWrap w:val="0"/>
            <w:vAlign w:val="center"/>
          </w:tcPr>
          <w:p w14:paraId="3F6F8E3C">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733" w:type="dxa"/>
            <w:tcBorders>
              <w:top w:val="single" w:color="auto" w:sz="4" w:space="0"/>
              <w:left w:val="single" w:color="auto" w:sz="4" w:space="0"/>
              <w:right w:val="single" w:color="auto" w:sz="4" w:space="0"/>
            </w:tcBorders>
            <w:noWrap w:val="0"/>
            <w:vAlign w:val="center"/>
          </w:tcPr>
          <w:p w14:paraId="27EA3D3A">
            <w:pPr>
              <w:tabs>
                <w:tab w:val="left" w:pos="480"/>
              </w:tabs>
              <w:spacing w:line="360" w:lineRule="auto"/>
              <w:jc w:val="center"/>
              <w:rPr>
                <w:rFonts w:ascii="宋体" w:hAnsi="宋体" w:eastAsia="宋体" w:cs="宋体"/>
                <w:szCs w:val="21"/>
                <w:highlight w:val="none"/>
              </w:rPr>
            </w:pPr>
          </w:p>
        </w:tc>
        <w:tc>
          <w:tcPr>
            <w:tcW w:w="484" w:type="dxa"/>
            <w:vMerge w:val="restart"/>
            <w:tcBorders>
              <w:top w:val="single" w:color="auto" w:sz="4" w:space="0"/>
              <w:left w:val="single" w:color="auto" w:sz="4" w:space="0"/>
              <w:right w:val="single" w:color="auto" w:sz="4" w:space="0"/>
            </w:tcBorders>
            <w:noWrap w:val="0"/>
            <w:vAlign w:val="center"/>
          </w:tcPr>
          <w:p w14:paraId="6120619C">
            <w:pPr>
              <w:tabs>
                <w:tab w:val="left" w:pos="480"/>
              </w:tabs>
              <w:spacing w:line="360" w:lineRule="auto"/>
              <w:jc w:val="center"/>
              <w:rPr>
                <w:rFonts w:ascii="宋体" w:hAnsi="宋体" w:eastAsia="宋体" w:cs="宋体"/>
                <w:szCs w:val="21"/>
                <w:highlight w:val="none"/>
              </w:rPr>
            </w:pPr>
          </w:p>
        </w:tc>
      </w:tr>
      <w:tr w14:paraId="14B4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87" w:type="dxa"/>
            <w:gridSpan w:val="2"/>
            <w:tcBorders>
              <w:top w:val="single" w:color="auto" w:sz="4" w:space="0"/>
              <w:left w:val="single" w:color="auto" w:sz="4" w:space="0"/>
              <w:bottom w:val="single" w:color="auto" w:sz="4" w:space="0"/>
              <w:right w:val="single" w:color="auto" w:sz="4" w:space="0"/>
            </w:tcBorders>
            <w:noWrap w:val="0"/>
            <w:vAlign w:val="center"/>
          </w:tcPr>
          <w:p w14:paraId="61FB1CD9">
            <w:pPr>
              <w:tabs>
                <w:tab w:val="left" w:pos="480"/>
              </w:tabs>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7978E87E">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1144" w:type="dxa"/>
            <w:tcBorders>
              <w:top w:val="single" w:color="auto" w:sz="4" w:space="0"/>
              <w:left w:val="single" w:color="auto" w:sz="4" w:space="0"/>
              <w:bottom w:val="single" w:color="auto" w:sz="4" w:space="0"/>
              <w:right w:val="single" w:color="auto" w:sz="4" w:space="0"/>
            </w:tcBorders>
            <w:noWrap w:val="0"/>
            <w:vAlign w:val="center"/>
          </w:tcPr>
          <w:p w14:paraId="6DF952FF">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1572" w:type="dxa"/>
            <w:tcBorders>
              <w:top w:val="single" w:color="auto" w:sz="4" w:space="0"/>
              <w:left w:val="single" w:color="auto" w:sz="4" w:space="0"/>
              <w:bottom w:val="single" w:color="auto" w:sz="4" w:space="0"/>
              <w:right w:val="single" w:color="auto" w:sz="4" w:space="0"/>
            </w:tcBorders>
            <w:noWrap w:val="0"/>
            <w:vAlign w:val="center"/>
          </w:tcPr>
          <w:p w14:paraId="3BD834D5">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6148638B">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7818DFF">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4674F44C">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1000" w:type="dxa"/>
            <w:tcBorders>
              <w:left w:val="single" w:color="auto" w:sz="4" w:space="0"/>
              <w:right w:val="single" w:color="auto" w:sz="4" w:space="0"/>
            </w:tcBorders>
            <w:noWrap w:val="0"/>
            <w:vAlign w:val="center"/>
          </w:tcPr>
          <w:p w14:paraId="214BBF4F">
            <w:pPr>
              <w:tabs>
                <w:tab w:val="left" w:pos="480"/>
              </w:tabs>
              <w:spacing w:line="360" w:lineRule="auto"/>
              <w:jc w:val="center"/>
              <w:rPr>
                <w:rFonts w:ascii="宋体" w:hAnsi="宋体" w:eastAsia="宋体" w:cs="宋体"/>
                <w:szCs w:val="21"/>
                <w:highlight w:val="none"/>
              </w:rPr>
            </w:pPr>
            <w:r>
              <w:rPr>
                <w:rFonts w:hint="eastAsia" w:ascii="宋体" w:hAnsi="宋体" w:eastAsia="宋体" w:cs="宋体"/>
                <w:szCs w:val="21"/>
                <w:highlight w:val="none"/>
              </w:rPr>
              <w:t>xxxx</w:t>
            </w:r>
          </w:p>
        </w:tc>
        <w:tc>
          <w:tcPr>
            <w:tcW w:w="733" w:type="dxa"/>
            <w:tcBorders>
              <w:left w:val="single" w:color="auto" w:sz="4" w:space="0"/>
              <w:right w:val="single" w:color="auto" w:sz="4" w:space="0"/>
            </w:tcBorders>
            <w:noWrap w:val="0"/>
            <w:vAlign w:val="center"/>
          </w:tcPr>
          <w:p w14:paraId="10527416">
            <w:pPr>
              <w:tabs>
                <w:tab w:val="left" w:pos="480"/>
              </w:tabs>
              <w:spacing w:line="360" w:lineRule="auto"/>
              <w:jc w:val="center"/>
              <w:rPr>
                <w:rFonts w:ascii="宋体" w:hAnsi="宋体" w:eastAsia="宋体" w:cs="宋体"/>
                <w:szCs w:val="21"/>
                <w:highlight w:val="none"/>
              </w:rPr>
            </w:pPr>
          </w:p>
        </w:tc>
        <w:tc>
          <w:tcPr>
            <w:tcW w:w="484" w:type="dxa"/>
            <w:vMerge w:val="continue"/>
            <w:tcBorders>
              <w:left w:val="single" w:color="auto" w:sz="4" w:space="0"/>
              <w:right w:val="single" w:color="auto" w:sz="4" w:space="0"/>
            </w:tcBorders>
            <w:noWrap w:val="0"/>
            <w:vAlign w:val="center"/>
          </w:tcPr>
          <w:p w14:paraId="34BB394B">
            <w:pPr>
              <w:tabs>
                <w:tab w:val="left" w:pos="480"/>
              </w:tabs>
              <w:spacing w:line="360" w:lineRule="auto"/>
              <w:jc w:val="center"/>
              <w:rPr>
                <w:rFonts w:ascii="宋体" w:hAnsi="宋体" w:eastAsia="宋体" w:cs="宋体"/>
                <w:szCs w:val="21"/>
                <w:highlight w:val="none"/>
              </w:rPr>
            </w:pPr>
          </w:p>
        </w:tc>
      </w:tr>
      <w:tr w14:paraId="520EF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87" w:type="dxa"/>
            <w:gridSpan w:val="2"/>
            <w:tcBorders>
              <w:top w:val="single" w:color="auto" w:sz="4" w:space="0"/>
              <w:left w:val="single" w:color="auto" w:sz="4" w:space="0"/>
              <w:bottom w:val="single" w:color="auto" w:sz="4" w:space="0"/>
              <w:right w:val="single" w:color="auto" w:sz="4" w:space="0"/>
            </w:tcBorders>
            <w:noWrap w:val="0"/>
            <w:vAlign w:val="center"/>
          </w:tcPr>
          <w:p w14:paraId="20788621">
            <w:pPr>
              <w:tabs>
                <w:tab w:val="left" w:pos="480"/>
              </w:tabs>
              <w:spacing w:line="360" w:lineRule="auto"/>
              <w:jc w:val="center"/>
              <w:rPr>
                <w:rFonts w:hint="eastAsia" w:ascii="宋体" w:hAnsi="宋体" w:eastAsia="宋体" w:cs="宋体"/>
                <w:szCs w:val="21"/>
                <w:highlight w:val="none"/>
              </w:rPr>
            </w:pPr>
            <w:r>
              <w:rPr>
                <w:rFonts w:ascii="宋体" w:hAnsi="宋体" w:eastAsia="宋体" w:cs="宋体"/>
                <w:szCs w:val="21"/>
                <w:highlight w:val="none"/>
              </w:rPr>
              <w:t>…</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46A1435F">
            <w:pPr>
              <w:tabs>
                <w:tab w:val="left" w:pos="480"/>
              </w:tabs>
              <w:spacing w:line="360" w:lineRule="auto"/>
              <w:jc w:val="center"/>
              <w:rPr>
                <w:rFonts w:ascii="宋体" w:hAnsi="宋体" w:eastAsia="宋体" w:cs="宋体"/>
                <w:szCs w:val="21"/>
                <w:highlight w:val="none"/>
              </w:rPr>
            </w:pPr>
            <w:r>
              <w:rPr>
                <w:rFonts w:ascii="宋体" w:hAnsi="宋体" w:eastAsia="宋体" w:cs="宋体"/>
                <w:szCs w:val="21"/>
                <w:highlight w:val="none"/>
              </w:rPr>
              <w:t>…</w:t>
            </w:r>
          </w:p>
        </w:tc>
        <w:tc>
          <w:tcPr>
            <w:tcW w:w="1144" w:type="dxa"/>
            <w:tcBorders>
              <w:top w:val="single" w:color="auto" w:sz="4" w:space="0"/>
              <w:left w:val="single" w:color="auto" w:sz="4" w:space="0"/>
              <w:bottom w:val="single" w:color="auto" w:sz="4" w:space="0"/>
              <w:right w:val="single" w:color="auto" w:sz="4" w:space="0"/>
            </w:tcBorders>
            <w:noWrap w:val="0"/>
            <w:vAlign w:val="center"/>
          </w:tcPr>
          <w:p w14:paraId="1471C913">
            <w:pPr>
              <w:tabs>
                <w:tab w:val="left" w:pos="480"/>
              </w:tabs>
              <w:spacing w:line="360" w:lineRule="auto"/>
              <w:jc w:val="center"/>
              <w:rPr>
                <w:rFonts w:hint="eastAsia" w:ascii="宋体" w:hAnsi="宋体" w:eastAsia="宋体" w:cs="宋体"/>
                <w:szCs w:val="21"/>
                <w:highlight w:val="none"/>
              </w:rPr>
            </w:pPr>
            <w:r>
              <w:rPr>
                <w:rFonts w:ascii="宋体" w:hAnsi="宋体" w:eastAsia="宋体" w:cs="宋体"/>
                <w:szCs w:val="21"/>
                <w:highlight w:val="none"/>
              </w:rPr>
              <w:t>…</w:t>
            </w:r>
          </w:p>
        </w:tc>
        <w:tc>
          <w:tcPr>
            <w:tcW w:w="1572" w:type="dxa"/>
            <w:tcBorders>
              <w:top w:val="single" w:color="auto" w:sz="4" w:space="0"/>
              <w:left w:val="single" w:color="auto" w:sz="4" w:space="0"/>
              <w:bottom w:val="single" w:color="auto" w:sz="4" w:space="0"/>
              <w:right w:val="single" w:color="auto" w:sz="4" w:space="0"/>
            </w:tcBorders>
            <w:noWrap w:val="0"/>
            <w:vAlign w:val="center"/>
          </w:tcPr>
          <w:p w14:paraId="644B9C44">
            <w:pPr>
              <w:tabs>
                <w:tab w:val="left" w:pos="480"/>
              </w:tabs>
              <w:spacing w:line="360" w:lineRule="auto"/>
              <w:jc w:val="center"/>
              <w:rPr>
                <w:rFonts w:hint="eastAsia" w:ascii="宋体" w:hAnsi="宋体" w:eastAsia="宋体" w:cs="宋体"/>
                <w:szCs w:val="21"/>
                <w:highlight w:val="none"/>
              </w:rPr>
            </w:pPr>
            <w:r>
              <w:rPr>
                <w:rFonts w:ascii="宋体" w:hAnsi="宋体" w:eastAsia="宋体" w:cs="宋体"/>
                <w:szCs w:val="21"/>
                <w:highlight w:val="none"/>
              </w:rPr>
              <w:t>…</w:t>
            </w:r>
          </w:p>
        </w:tc>
        <w:tc>
          <w:tcPr>
            <w:tcW w:w="1135" w:type="dxa"/>
            <w:tcBorders>
              <w:top w:val="single" w:color="auto" w:sz="4" w:space="0"/>
              <w:left w:val="single" w:color="auto" w:sz="4" w:space="0"/>
              <w:bottom w:val="single" w:color="auto" w:sz="4" w:space="0"/>
              <w:right w:val="single" w:color="auto" w:sz="4" w:space="0"/>
            </w:tcBorders>
            <w:noWrap w:val="0"/>
            <w:vAlign w:val="center"/>
          </w:tcPr>
          <w:p w14:paraId="5C9C662B">
            <w:pPr>
              <w:tabs>
                <w:tab w:val="left" w:pos="480"/>
              </w:tabs>
              <w:spacing w:line="360" w:lineRule="auto"/>
              <w:jc w:val="center"/>
              <w:rPr>
                <w:rFonts w:hint="eastAsia" w:ascii="宋体" w:hAnsi="宋体" w:eastAsia="宋体" w:cs="宋体"/>
                <w:szCs w:val="21"/>
                <w:highlight w:val="none"/>
              </w:rPr>
            </w:pPr>
            <w:r>
              <w:rPr>
                <w:rFonts w:ascii="宋体" w:hAnsi="宋体" w:eastAsia="宋体" w:cs="宋体"/>
                <w:szCs w:val="21"/>
                <w:highlight w:val="none"/>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D7AFED2">
            <w:pPr>
              <w:tabs>
                <w:tab w:val="left" w:pos="480"/>
              </w:tabs>
              <w:spacing w:line="360" w:lineRule="auto"/>
              <w:jc w:val="center"/>
              <w:rPr>
                <w:rFonts w:hint="eastAsia" w:ascii="宋体" w:hAnsi="宋体" w:eastAsia="宋体" w:cs="宋体"/>
                <w:szCs w:val="21"/>
                <w:highlight w:val="none"/>
              </w:rPr>
            </w:pPr>
            <w:r>
              <w:rPr>
                <w:rFonts w:ascii="宋体" w:hAnsi="宋体" w:eastAsia="宋体" w:cs="宋体"/>
                <w:szCs w:val="21"/>
                <w:highlight w:val="none"/>
              </w:rPr>
              <w:t>…</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03E5D1C4">
            <w:pPr>
              <w:tabs>
                <w:tab w:val="left" w:pos="480"/>
              </w:tabs>
              <w:spacing w:line="360" w:lineRule="auto"/>
              <w:jc w:val="center"/>
              <w:rPr>
                <w:rFonts w:hint="eastAsia" w:ascii="宋体" w:hAnsi="宋体" w:eastAsia="宋体" w:cs="宋体"/>
                <w:szCs w:val="21"/>
                <w:highlight w:val="none"/>
              </w:rPr>
            </w:pPr>
            <w:r>
              <w:rPr>
                <w:rFonts w:ascii="宋体" w:hAnsi="宋体" w:eastAsia="宋体" w:cs="宋体"/>
                <w:szCs w:val="21"/>
                <w:highlight w:val="none"/>
              </w:rPr>
              <w:t>…</w:t>
            </w:r>
          </w:p>
        </w:tc>
        <w:tc>
          <w:tcPr>
            <w:tcW w:w="1000" w:type="dxa"/>
            <w:tcBorders>
              <w:left w:val="single" w:color="auto" w:sz="4" w:space="0"/>
              <w:bottom w:val="single" w:color="auto" w:sz="4" w:space="0"/>
              <w:right w:val="single" w:color="auto" w:sz="4" w:space="0"/>
            </w:tcBorders>
            <w:noWrap w:val="0"/>
            <w:vAlign w:val="center"/>
          </w:tcPr>
          <w:p w14:paraId="79BEAEE6">
            <w:pPr>
              <w:tabs>
                <w:tab w:val="left" w:pos="480"/>
              </w:tabs>
              <w:spacing w:line="360" w:lineRule="auto"/>
              <w:jc w:val="center"/>
              <w:rPr>
                <w:rFonts w:hint="eastAsia" w:ascii="宋体" w:hAnsi="宋体" w:eastAsia="宋体" w:cs="宋体"/>
                <w:szCs w:val="21"/>
                <w:highlight w:val="none"/>
              </w:rPr>
            </w:pPr>
            <w:r>
              <w:rPr>
                <w:rFonts w:ascii="宋体" w:hAnsi="宋体" w:eastAsia="宋体" w:cs="宋体"/>
                <w:szCs w:val="21"/>
                <w:highlight w:val="none"/>
              </w:rPr>
              <w:t>…</w:t>
            </w:r>
          </w:p>
        </w:tc>
        <w:tc>
          <w:tcPr>
            <w:tcW w:w="733" w:type="dxa"/>
            <w:tcBorders>
              <w:left w:val="single" w:color="auto" w:sz="4" w:space="0"/>
              <w:bottom w:val="single" w:color="auto" w:sz="4" w:space="0"/>
              <w:right w:val="single" w:color="auto" w:sz="4" w:space="0"/>
            </w:tcBorders>
            <w:noWrap w:val="0"/>
            <w:vAlign w:val="center"/>
          </w:tcPr>
          <w:p w14:paraId="40C40FBC">
            <w:pPr>
              <w:tabs>
                <w:tab w:val="left" w:pos="480"/>
              </w:tabs>
              <w:spacing w:line="360" w:lineRule="auto"/>
              <w:jc w:val="center"/>
              <w:rPr>
                <w:rFonts w:ascii="宋体" w:hAnsi="宋体" w:eastAsia="宋体" w:cs="宋体"/>
                <w:szCs w:val="21"/>
                <w:highlight w:val="none"/>
              </w:rPr>
            </w:pPr>
          </w:p>
        </w:tc>
        <w:tc>
          <w:tcPr>
            <w:tcW w:w="484" w:type="dxa"/>
            <w:vMerge w:val="continue"/>
            <w:tcBorders>
              <w:left w:val="single" w:color="auto" w:sz="4" w:space="0"/>
              <w:bottom w:val="single" w:color="auto" w:sz="4" w:space="0"/>
              <w:right w:val="single" w:color="auto" w:sz="4" w:space="0"/>
            </w:tcBorders>
            <w:noWrap w:val="0"/>
            <w:vAlign w:val="center"/>
          </w:tcPr>
          <w:p w14:paraId="03FD453B">
            <w:pPr>
              <w:tabs>
                <w:tab w:val="left" w:pos="480"/>
              </w:tabs>
              <w:spacing w:line="360" w:lineRule="auto"/>
              <w:jc w:val="center"/>
              <w:rPr>
                <w:rFonts w:ascii="宋体" w:hAnsi="宋体" w:eastAsia="宋体" w:cs="宋体"/>
                <w:szCs w:val="21"/>
                <w:highlight w:val="none"/>
              </w:rPr>
            </w:pPr>
          </w:p>
        </w:tc>
      </w:tr>
      <w:tr w14:paraId="4BB6A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82" w:type="dxa"/>
            <w:tcBorders>
              <w:top w:val="single" w:color="auto" w:sz="4" w:space="0"/>
              <w:left w:val="single" w:color="auto" w:sz="4" w:space="0"/>
              <w:bottom w:val="single" w:color="auto" w:sz="4" w:space="0"/>
              <w:right w:val="single" w:color="auto" w:sz="4" w:space="0"/>
            </w:tcBorders>
            <w:noWrap w:val="0"/>
            <w:vAlign w:val="center"/>
          </w:tcPr>
          <w:p w14:paraId="5460BAD5">
            <w:pPr>
              <w:tabs>
                <w:tab w:val="left" w:pos="480"/>
              </w:tabs>
              <w:spacing w:line="360" w:lineRule="auto"/>
              <w:jc w:val="left"/>
              <w:rPr>
                <w:rFonts w:hint="eastAsia" w:ascii="宋体" w:hAnsi="宋体" w:eastAsia="宋体" w:cs="宋体"/>
                <w:szCs w:val="21"/>
                <w:highlight w:val="none"/>
              </w:rPr>
            </w:pPr>
          </w:p>
        </w:tc>
        <w:tc>
          <w:tcPr>
            <w:tcW w:w="8797" w:type="dxa"/>
            <w:gridSpan w:val="10"/>
            <w:tcBorders>
              <w:top w:val="single" w:color="auto" w:sz="4" w:space="0"/>
              <w:left w:val="single" w:color="auto" w:sz="4" w:space="0"/>
              <w:bottom w:val="single" w:color="auto" w:sz="4" w:space="0"/>
              <w:right w:val="single" w:color="auto" w:sz="4" w:space="0"/>
            </w:tcBorders>
            <w:noWrap w:val="0"/>
            <w:vAlign w:val="center"/>
          </w:tcPr>
          <w:p w14:paraId="6DF688A0">
            <w:pPr>
              <w:tabs>
                <w:tab w:val="left" w:pos="480"/>
              </w:tabs>
              <w:spacing w:line="360" w:lineRule="auto"/>
              <w:jc w:val="left"/>
              <w:rPr>
                <w:rFonts w:ascii="宋体" w:hAnsi="宋体" w:eastAsia="宋体" w:cs="宋体"/>
                <w:szCs w:val="21"/>
                <w:highlight w:val="none"/>
              </w:rPr>
            </w:pPr>
            <w:r>
              <w:rPr>
                <w:rFonts w:hint="eastAsia" w:ascii="宋体" w:hAnsi="宋体" w:eastAsia="宋体" w:cs="宋体"/>
                <w:szCs w:val="21"/>
                <w:highlight w:val="none"/>
              </w:rPr>
              <w:t>货物价款合计（元）： xxxx</w:t>
            </w:r>
          </w:p>
        </w:tc>
      </w:tr>
    </w:tbl>
    <w:p w14:paraId="738D12DE">
      <w:pPr>
        <w:tabs>
          <w:tab w:val="left" w:pos="480"/>
        </w:tabs>
        <w:spacing w:line="360" w:lineRule="auto"/>
        <w:rPr>
          <w:rFonts w:ascii="宋体" w:hAnsi="宋体" w:cs="宋体"/>
          <w:b/>
          <w:szCs w:val="21"/>
          <w:highlight w:val="none"/>
        </w:rPr>
      </w:pPr>
      <w:r>
        <w:rPr>
          <w:rFonts w:hint="eastAsia" w:ascii="宋体" w:hAnsi="宋体" w:cs="宋体"/>
          <w:b/>
          <w:szCs w:val="21"/>
          <w:highlight w:val="none"/>
        </w:rPr>
        <w:t>二、合同价款</w:t>
      </w:r>
    </w:p>
    <w:p w14:paraId="3CB3526D">
      <w:pPr>
        <w:tabs>
          <w:tab w:val="left" w:pos="480"/>
        </w:tabs>
        <w:spacing w:line="360" w:lineRule="auto"/>
        <w:jc w:val="left"/>
        <w:rPr>
          <w:rFonts w:ascii="宋体" w:hAnsi="宋体" w:cs="宋体"/>
          <w:szCs w:val="21"/>
          <w:highlight w:val="none"/>
        </w:rPr>
      </w:pPr>
      <w:r>
        <w:rPr>
          <w:rFonts w:hint="eastAsia" w:ascii="宋体" w:hAnsi="宋体" w:cs="宋体"/>
          <w:szCs w:val="21"/>
          <w:highlight w:val="none"/>
        </w:rPr>
        <w:t>（一）合同总价款为人民币（大写）xxxx（￥xxxx元）。</w:t>
      </w:r>
    </w:p>
    <w:p w14:paraId="1D67186A">
      <w:pPr>
        <w:tabs>
          <w:tab w:val="left" w:pos="480"/>
        </w:tabs>
        <w:spacing w:line="360" w:lineRule="auto"/>
        <w:rPr>
          <w:rFonts w:ascii="宋体" w:hAnsi="宋体" w:cs="宋体"/>
          <w:szCs w:val="21"/>
          <w:highlight w:val="none"/>
        </w:rPr>
      </w:pPr>
      <w:r>
        <w:rPr>
          <w:rFonts w:hint="eastAsia" w:ascii="宋体" w:hAnsi="宋体" w:cs="宋体"/>
          <w:szCs w:val="21"/>
          <w:highlight w:val="none"/>
        </w:rPr>
        <w:t>（二）合同总价包括：包括原有设备的拆除与搬运费</w:t>
      </w:r>
      <w:r>
        <w:rPr>
          <w:rFonts w:hint="eastAsia" w:ascii="宋体" w:hAnsi="宋体" w:cs="宋体"/>
          <w:szCs w:val="21"/>
          <w:highlight w:val="none"/>
          <w:lang w:eastAsia="zh-CN"/>
        </w:rPr>
        <w:t>、</w:t>
      </w:r>
      <w:r>
        <w:rPr>
          <w:rFonts w:hint="eastAsia" w:ascii="宋体" w:hAnsi="宋体" w:cs="宋体"/>
          <w:szCs w:val="21"/>
          <w:highlight w:val="none"/>
          <w:lang w:val="en-US" w:eastAsia="zh-CN"/>
        </w:rPr>
        <w:t>新采购设备的</w:t>
      </w:r>
      <w:bookmarkStart w:id="0" w:name="_GoBack"/>
      <w:bookmarkEnd w:id="0"/>
      <w:r>
        <w:rPr>
          <w:rFonts w:hint="eastAsia" w:ascii="宋体" w:hAnsi="宋体" w:cs="宋体"/>
          <w:szCs w:val="21"/>
          <w:highlight w:val="none"/>
          <w:lang w:eastAsia="zh-CN"/>
        </w:rPr>
        <w:t>产品</w:t>
      </w:r>
      <w:r>
        <w:rPr>
          <w:rFonts w:hint="eastAsia" w:ascii="宋体" w:hAnsi="宋体" w:cs="宋体"/>
          <w:szCs w:val="21"/>
          <w:highlight w:val="none"/>
        </w:rPr>
        <w:t>费</w:t>
      </w:r>
      <w:r>
        <w:rPr>
          <w:rFonts w:hint="eastAsia" w:ascii="宋体" w:hAnsi="宋体" w:cs="宋体"/>
          <w:szCs w:val="21"/>
          <w:highlight w:val="none"/>
          <w:lang w:eastAsia="zh-CN"/>
        </w:rPr>
        <w:t>、</w:t>
      </w:r>
      <w:r>
        <w:rPr>
          <w:rFonts w:hint="eastAsia" w:ascii="宋体" w:hAnsi="宋体" w:cs="宋体"/>
          <w:szCs w:val="21"/>
          <w:highlight w:val="none"/>
          <w:lang w:val="en-US" w:eastAsia="zh-CN"/>
        </w:rPr>
        <w:t>运输费</w:t>
      </w:r>
      <w:r>
        <w:rPr>
          <w:rFonts w:hint="eastAsia" w:ascii="宋体" w:hAnsi="宋体" w:cs="宋体"/>
          <w:szCs w:val="21"/>
          <w:highlight w:val="none"/>
        </w:rPr>
        <w:t>、安装费、</w:t>
      </w:r>
      <w:r>
        <w:rPr>
          <w:rFonts w:hint="eastAsia" w:ascii="宋体" w:hAnsi="宋体" w:cs="宋体"/>
          <w:szCs w:val="21"/>
          <w:highlight w:val="none"/>
          <w:lang w:val="en-US" w:eastAsia="zh-CN"/>
        </w:rPr>
        <w:t>调试费</w:t>
      </w:r>
      <w:r>
        <w:rPr>
          <w:rFonts w:hint="eastAsia" w:ascii="宋体" w:hAnsi="宋体" w:cs="宋体"/>
          <w:szCs w:val="21"/>
          <w:highlight w:val="none"/>
        </w:rPr>
        <w:t>、管理费、应交纳税费、服务费、售后服务等因开展本项目所涉及本项目的一切相关费用在内。</w:t>
      </w:r>
    </w:p>
    <w:p w14:paraId="25145FB8">
      <w:pPr>
        <w:tabs>
          <w:tab w:val="left" w:pos="480"/>
        </w:tabs>
        <w:spacing w:line="360" w:lineRule="auto"/>
        <w:rPr>
          <w:rFonts w:ascii="宋体" w:hAnsi="宋体" w:cs="宋体"/>
          <w:szCs w:val="21"/>
          <w:highlight w:val="none"/>
        </w:rPr>
      </w:pPr>
      <w:r>
        <w:rPr>
          <w:rFonts w:hint="eastAsia" w:ascii="宋体" w:hAnsi="宋体" w:cs="宋体"/>
          <w:szCs w:val="21"/>
          <w:highlight w:val="none"/>
        </w:rPr>
        <w:t>（三）合同总价一次性包死，不受市场价格变化因素的影响。</w:t>
      </w:r>
    </w:p>
    <w:p w14:paraId="485343B0">
      <w:pPr>
        <w:tabs>
          <w:tab w:val="left" w:pos="480"/>
        </w:tabs>
        <w:spacing w:line="360" w:lineRule="auto"/>
        <w:rPr>
          <w:rFonts w:ascii="宋体" w:hAnsi="宋体" w:cs="宋体"/>
          <w:b/>
          <w:szCs w:val="21"/>
          <w:highlight w:val="none"/>
        </w:rPr>
      </w:pPr>
      <w:r>
        <w:rPr>
          <w:rFonts w:hint="eastAsia" w:ascii="宋体" w:hAnsi="宋体" w:cs="宋体"/>
          <w:b/>
          <w:szCs w:val="21"/>
          <w:highlight w:val="none"/>
        </w:rPr>
        <w:t>三、款项结算</w:t>
      </w:r>
    </w:p>
    <w:p w14:paraId="1886775D">
      <w:pPr>
        <w:tabs>
          <w:tab w:val="left" w:pos="480"/>
        </w:tabs>
        <w:spacing w:line="480" w:lineRule="exact"/>
        <w:ind w:firstLine="420" w:firstLineChars="200"/>
        <w:rPr>
          <w:rFonts w:hint="eastAsia" w:eastAsiaTheme="minorEastAsia"/>
          <w:szCs w:val="21"/>
          <w:highlight w:val="none"/>
          <w:lang w:val="en-US" w:eastAsia="zh-CN"/>
        </w:rPr>
      </w:pPr>
      <w:r>
        <w:rPr>
          <w:rFonts w:hint="eastAsia" w:ascii="宋体" w:hAnsi="宋体" w:cs="宋体"/>
          <w:bCs/>
          <w:color w:val="auto"/>
          <w:szCs w:val="21"/>
          <w:highlight w:val="none"/>
        </w:rPr>
        <w:t>付款方式：</w:t>
      </w:r>
    </w:p>
    <w:p w14:paraId="160B3D1B">
      <w:pPr>
        <w:tabs>
          <w:tab w:val="left" w:pos="480"/>
        </w:tabs>
        <w:spacing w:line="480" w:lineRule="exact"/>
        <w:ind w:firstLine="420" w:firstLineChars="200"/>
        <w:rPr>
          <w:rFonts w:hint="eastAsia"/>
          <w:szCs w:val="21"/>
          <w:highlight w:val="none"/>
        </w:rPr>
      </w:pPr>
      <w:r>
        <w:rPr>
          <w:rFonts w:hint="eastAsia"/>
          <w:szCs w:val="21"/>
          <w:highlight w:val="none"/>
        </w:rPr>
        <w:t>货物全部到货、安装调试完毕、系统对接正常、经</w:t>
      </w:r>
      <w:r>
        <w:rPr>
          <w:rFonts w:hint="eastAsia"/>
          <w:szCs w:val="21"/>
          <w:highlight w:val="none"/>
          <w:lang w:val="en-US" w:eastAsia="zh-CN"/>
        </w:rPr>
        <w:t>甲方</w:t>
      </w:r>
      <w:r>
        <w:rPr>
          <w:rFonts w:hint="eastAsia"/>
          <w:szCs w:val="21"/>
          <w:highlight w:val="none"/>
        </w:rPr>
        <w:t>最终验收合格并出具验收报告后30 个工作日内，</w:t>
      </w:r>
      <w:r>
        <w:rPr>
          <w:rFonts w:hint="eastAsia"/>
          <w:szCs w:val="21"/>
          <w:highlight w:val="none"/>
          <w:lang w:val="en-US" w:eastAsia="zh-CN"/>
        </w:rPr>
        <w:t>甲方</w:t>
      </w:r>
      <w:r>
        <w:rPr>
          <w:rFonts w:hint="eastAsia"/>
          <w:szCs w:val="21"/>
          <w:highlight w:val="none"/>
        </w:rPr>
        <w:t>向</w:t>
      </w:r>
      <w:r>
        <w:rPr>
          <w:rFonts w:hint="eastAsia"/>
          <w:szCs w:val="21"/>
          <w:highlight w:val="none"/>
          <w:lang w:val="en-US" w:eastAsia="zh-CN"/>
        </w:rPr>
        <w:t>乙方</w:t>
      </w:r>
      <w:r>
        <w:rPr>
          <w:rFonts w:hint="eastAsia"/>
          <w:szCs w:val="21"/>
          <w:highlight w:val="none"/>
        </w:rPr>
        <w:t>一次性支付合同总价</w:t>
      </w:r>
      <w:r>
        <w:rPr>
          <w:rFonts w:hint="eastAsia"/>
          <w:szCs w:val="21"/>
          <w:highlight w:val="none"/>
          <w:lang w:eastAsia="zh-CN"/>
        </w:rPr>
        <w:t>的</w:t>
      </w:r>
      <w:r>
        <w:rPr>
          <w:rFonts w:hint="eastAsia"/>
          <w:szCs w:val="21"/>
          <w:highlight w:val="none"/>
          <w:lang w:val="en-US" w:eastAsia="zh-CN"/>
        </w:rPr>
        <w:t>100</w:t>
      </w:r>
      <w:r>
        <w:rPr>
          <w:rFonts w:hint="eastAsia"/>
          <w:szCs w:val="21"/>
          <w:highlight w:val="none"/>
        </w:rPr>
        <w:t>%。</w:t>
      </w:r>
    </w:p>
    <w:p w14:paraId="1B220485">
      <w:pPr>
        <w:tabs>
          <w:tab w:val="left" w:pos="480"/>
        </w:tabs>
        <w:spacing w:line="360" w:lineRule="auto"/>
        <w:ind w:firstLine="420" w:firstLineChars="200"/>
        <w:rPr>
          <w:rFonts w:hint="eastAsia"/>
          <w:szCs w:val="21"/>
          <w:highlight w:val="none"/>
        </w:rPr>
      </w:pPr>
      <w:r>
        <w:rPr>
          <w:rFonts w:hint="eastAsia"/>
          <w:szCs w:val="21"/>
          <w:highlight w:val="none"/>
        </w:rPr>
        <w:t>所有款项支付前，</w:t>
      </w:r>
      <w:r>
        <w:rPr>
          <w:rFonts w:hint="eastAsia"/>
          <w:szCs w:val="21"/>
          <w:highlight w:val="none"/>
          <w:lang w:val="en-US" w:eastAsia="zh-CN"/>
        </w:rPr>
        <w:t>乙方</w:t>
      </w:r>
      <w:r>
        <w:rPr>
          <w:rFonts w:hint="eastAsia"/>
          <w:szCs w:val="21"/>
          <w:highlight w:val="none"/>
        </w:rPr>
        <w:t>须按</w:t>
      </w:r>
      <w:r>
        <w:rPr>
          <w:rFonts w:hint="eastAsia"/>
          <w:szCs w:val="21"/>
          <w:highlight w:val="none"/>
          <w:lang w:val="en-US" w:eastAsia="zh-CN"/>
        </w:rPr>
        <w:t>甲方</w:t>
      </w:r>
      <w:r>
        <w:rPr>
          <w:rFonts w:hint="eastAsia"/>
          <w:szCs w:val="21"/>
          <w:highlight w:val="none"/>
        </w:rPr>
        <w:t>财务要求提供合法、有效、足额的增值税发票，否则</w:t>
      </w:r>
      <w:r>
        <w:rPr>
          <w:rFonts w:hint="eastAsia"/>
          <w:szCs w:val="21"/>
          <w:highlight w:val="none"/>
          <w:lang w:val="en-US" w:eastAsia="zh-CN"/>
        </w:rPr>
        <w:t>甲方</w:t>
      </w:r>
      <w:r>
        <w:rPr>
          <w:rFonts w:hint="eastAsia"/>
          <w:szCs w:val="21"/>
          <w:highlight w:val="none"/>
        </w:rPr>
        <w:t>有权顺延付款，且不承担违约责任。</w:t>
      </w:r>
    </w:p>
    <w:p w14:paraId="1C43C641">
      <w:pPr>
        <w:tabs>
          <w:tab w:val="left" w:pos="480"/>
        </w:tabs>
        <w:spacing w:line="360" w:lineRule="auto"/>
        <w:jc w:val="left"/>
        <w:rPr>
          <w:rFonts w:hAnsi="宋体" w:cs="宋体"/>
          <w:b/>
          <w:szCs w:val="21"/>
          <w:highlight w:val="none"/>
        </w:rPr>
      </w:pPr>
      <w:r>
        <w:rPr>
          <w:rFonts w:hint="eastAsia" w:hAnsi="宋体" w:cs="宋体"/>
          <w:b/>
          <w:szCs w:val="21"/>
          <w:highlight w:val="none"/>
          <w:lang w:val="en-US" w:eastAsia="zh-CN"/>
        </w:rPr>
        <w:t>四</w:t>
      </w:r>
      <w:r>
        <w:rPr>
          <w:rFonts w:hint="eastAsia" w:hAnsi="宋体" w:cs="宋体"/>
          <w:b/>
          <w:szCs w:val="21"/>
          <w:highlight w:val="none"/>
        </w:rPr>
        <w:t>、交货条件：</w:t>
      </w:r>
    </w:p>
    <w:p w14:paraId="5225DE40">
      <w:pPr>
        <w:tabs>
          <w:tab w:val="left" w:pos="480"/>
          <w:tab w:val="left" w:pos="6090"/>
        </w:tabs>
        <w:spacing w:line="360" w:lineRule="auto"/>
        <w:jc w:val="left"/>
        <w:rPr>
          <w:rFonts w:hAnsi="宋体" w:cs="宋体"/>
          <w:szCs w:val="21"/>
          <w:highlight w:val="none"/>
        </w:rPr>
      </w:pPr>
      <w:r>
        <w:rPr>
          <w:rFonts w:hint="eastAsia" w:hAnsi="宋体" w:cs="宋体"/>
          <w:szCs w:val="21"/>
          <w:highlight w:val="none"/>
        </w:rPr>
        <w:t>（一）交货地点：甲方指定地点。</w:t>
      </w:r>
    </w:p>
    <w:p w14:paraId="6E350266">
      <w:pPr>
        <w:tabs>
          <w:tab w:val="left" w:pos="480"/>
        </w:tabs>
        <w:spacing w:line="460" w:lineRule="exact"/>
        <w:jc w:val="left"/>
        <w:rPr>
          <w:rFonts w:hint="eastAsia" w:hAnsi="宋体" w:eastAsia="宋体" w:cs="宋体"/>
          <w:szCs w:val="21"/>
          <w:highlight w:val="none"/>
          <w:lang w:eastAsia="zh-CN"/>
        </w:rPr>
      </w:pPr>
      <w:r>
        <w:rPr>
          <w:rFonts w:hint="eastAsia" w:hAnsi="宋体" w:cs="宋体"/>
          <w:szCs w:val="21"/>
          <w:highlight w:val="none"/>
        </w:rPr>
        <w:t>（二）</w:t>
      </w:r>
      <w:r>
        <w:rPr>
          <w:rFonts w:hint="eastAsia" w:ascii="宋体" w:hAnsi="宋体" w:cs="宋体"/>
          <w:szCs w:val="21"/>
          <w:highlight w:val="none"/>
          <w:lang w:eastAsia="zh-CN"/>
        </w:rPr>
        <w:t>交货</w:t>
      </w:r>
      <w:r>
        <w:rPr>
          <w:rFonts w:hint="eastAsia" w:ascii="宋体" w:hAnsi="宋体" w:cs="宋体"/>
          <w:szCs w:val="21"/>
          <w:highlight w:val="none"/>
          <w:lang w:val="en-US" w:eastAsia="zh-CN"/>
        </w:rPr>
        <w:t>期</w:t>
      </w:r>
      <w:r>
        <w:rPr>
          <w:rFonts w:hint="eastAsia" w:ascii="宋体" w:hAnsi="宋体" w:cs="宋体"/>
          <w:szCs w:val="21"/>
          <w:highlight w:val="none"/>
          <w:lang w:eastAsia="zh-CN"/>
        </w:rPr>
        <w:t xml:space="preserve">：自合同签订之日起 </w:t>
      </w:r>
      <w:r>
        <w:rPr>
          <w:rFonts w:hint="eastAsia" w:ascii="宋体" w:hAnsi="宋体" w:cs="宋体"/>
          <w:szCs w:val="21"/>
          <w:highlight w:val="none"/>
          <w:u w:val="single"/>
          <w:lang w:val="en-US" w:eastAsia="zh-CN"/>
        </w:rPr>
        <w:t xml:space="preserve">     </w:t>
      </w:r>
      <w:r>
        <w:rPr>
          <w:rFonts w:hint="eastAsia" w:ascii="宋体" w:hAnsi="宋体" w:cs="宋体"/>
          <w:szCs w:val="21"/>
          <w:highlight w:val="none"/>
          <w:lang w:eastAsia="zh-CN"/>
        </w:rPr>
        <w:t xml:space="preserve"> 个日历日内完成供货、配送、安装、调试</w:t>
      </w:r>
      <w:r>
        <w:rPr>
          <w:rFonts w:hint="eastAsia" w:ascii="宋体" w:hAnsi="宋体" w:cs="宋体"/>
          <w:szCs w:val="21"/>
          <w:highlight w:val="none"/>
          <w:lang w:val="en-US" w:eastAsia="zh-CN"/>
        </w:rPr>
        <w:t>及系统对接</w:t>
      </w:r>
      <w:r>
        <w:rPr>
          <w:rFonts w:hint="eastAsia" w:ascii="宋体" w:hAnsi="宋体" w:cs="宋体"/>
          <w:szCs w:val="21"/>
          <w:highlight w:val="none"/>
          <w:lang w:eastAsia="zh-CN"/>
        </w:rPr>
        <w:t>，并交付甲方验收合格</w:t>
      </w:r>
      <w:r>
        <w:rPr>
          <w:rFonts w:hint="eastAsia" w:ascii="宋体" w:hAnsi="宋体" w:cs="宋体"/>
          <w:szCs w:val="21"/>
          <w:highlight w:val="none"/>
        </w:rPr>
        <w:t>。</w:t>
      </w:r>
    </w:p>
    <w:p w14:paraId="38A8F7BB">
      <w:pPr>
        <w:tabs>
          <w:tab w:val="left" w:pos="480"/>
        </w:tabs>
        <w:spacing w:line="360" w:lineRule="auto"/>
        <w:jc w:val="left"/>
        <w:rPr>
          <w:rFonts w:hAnsi="宋体" w:cs="宋体"/>
          <w:b/>
          <w:szCs w:val="21"/>
          <w:highlight w:val="none"/>
        </w:rPr>
      </w:pPr>
      <w:r>
        <w:rPr>
          <w:rFonts w:hint="eastAsia" w:hAnsi="宋体" w:cs="宋体"/>
          <w:b/>
          <w:szCs w:val="21"/>
          <w:highlight w:val="none"/>
          <w:lang w:val="en-US" w:eastAsia="zh-CN"/>
        </w:rPr>
        <w:t>五</w:t>
      </w:r>
      <w:r>
        <w:rPr>
          <w:rFonts w:hint="eastAsia" w:hAnsi="宋体" w:cs="宋体"/>
          <w:b/>
          <w:szCs w:val="21"/>
          <w:highlight w:val="none"/>
        </w:rPr>
        <w:t>、运输</w:t>
      </w:r>
    </w:p>
    <w:p w14:paraId="4304AF8E">
      <w:pPr>
        <w:tabs>
          <w:tab w:val="left" w:pos="480"/>
        </w:tabs>
        <w:spacing w:line="360" w:lineRule="auto"/>
        <w:jc w:val="left"/>
        <w:rPr>
          <w:rFonts w:hint="eastAsia" w:hAnsi="宋体" w:cs="宋体"/>
          <w:szCs w:val="21"/>
          <w:highlight w:val="none"/>
        </w:rPr>
      </w:pPr>
      <w:r>
        <w:rPr>
          <w:rFonts w:hint="eastAsia" w:hAnsi="宋体" w:cs="宋体"/>
          <w:szCs w:val="21"/>
          <w:highlight w:val="none"/>
        </w:rPr>
        <w:t>（一）涉及的商品包装和快递包装，均应符合《商品包装政府采购需求标准（试行）》《快递包装政府采购需求标准（试行）》的要求，包装应适应于远距离运输、防潮、防震、防锈和防野蛮装卸，以确保货物安全无损运抵指定地点。</w:t>
      </w:r>
    </w:p>
    <w:p w14:paraId="163C5E17">
      <w:pPr>
        <w:tabs>
          <w:tab w:val="left" w:pos="480"/>
        </w:tabs>
        <w:spacing w:line="360" w:lineRule="auto"/>
        <w:jc w:val="left"/>
        <w:rPr>
          <w:rFonts w:hAnsi="宋体" w:cs="宋体"/>
          <w:szCs w:val="21"/>
          <w:highlight w:val="none"/>
        </w:rPr>
      </w:pPr>
      <w:r>
        <w:rPr>
          <w:rFonts w:hint="eastAsia" w:hAnsi="宋体" w:cs="宋体"/>
          <w:szCs w:val="21"/>
          <w:highlight w:val="none"/>
        </w:rPr>
        <w:t>（二）运输由供应商负责，运杂费已包含在合同总价内，包括从货物供应地点所含的运输费、装卸费、仓储费、保险费等全部费用。运输方式由</w:t>
      </w:r>
      <w:r>
        <w:rPr>
          <w:rFonts w:hint="eastAsia" w:hAnsi="宋体" w:cs="宋体"/>
          <w:szCs w:val="21"/>
          <w:highlight w:val="none"/>
          <w:lang w:eastAsia="zh-CN"/>
        </w:rPr>
        <w:t>乙方</w:t>
      </w:r>
      <w:r>
        <w:rPr>
          <w:rFonts w:hint="eastAsia" w:hAnsi="宋体" w:cs="宋体"/>
          <w:szCs w:val="21"/>
          <w:highlight w:val="none"/>
        </w:rPr>
        <w:t>自行选择，但必须保证按期交货。运输过程中的产品质量及风险由</w:t>
      </w:r>
      <w:r>
        <w:rPr>
          <w:rFonts w:hint="eastAsia" w:hAnsi="宋体" w:cs="宋体"/>
          <w:szCs w:val="21"/>
          <w:highlight w:val="none"/>
          <w:lang w:eastAsia="zh-CN"/>
        </w:rPr>
        <w:t>乙方</w:t>
      </w:r>
      <w:r>
        <w:rPr>
          <w:rFonts w:hint="eastAsia" w:hAnsi="宋体" w:cs="宋体"/>
          <w:szCs w:val="21"/>
          <w:highlight w:val="none"/>
        </w:rPr>
        <w:t>全部承担。</w:t>
      </w:r>
    </w:p>
    <w:p w14:paraId="65031281">
      <w:pPr>
        <w:tabs>
          <w:tab w:val="left" w:pos="480"/>
        </w:tabs>
        <w:spacing w:line="360" w:lineRule="auto"/>
        <w:jc w:val="left"/>
        <w:rPr>
          <w:rFonts w:hAnsi="宋体" w:cs="宋体"/>
          <w:b/>
          <w:szCs w:val="21"/>
          <w:highlight w:val="none"/>
        </w:rPr>
      </w:pPr>
      <w:r>
        <w:rPr>
          <w:rFonts w:hint="eastAsia" w:hAnsi="宋体" w:cs="宋体"/>
          <w:b/>
          <w:szCs w:val="21"/>
          <w:highlight w:val="none"/>
          <w:lang w:val="en-US" w:eastAsia="zh-CN"/>
        </w:rPr>
        <w:t>六</w:t>
      </w:r>
      <w:r>
        <w:rPr>
          <w:rFonts w:hint="eastAsia" w:hAnsi="宋体" w:cs="宋体"/>
          <w:b/>
          <w:szCs w:val="21"/>
          <w:highlight w:val="none"/>
        </w:rPr>
        <w:t>、质量保证</w:t>
      </w:r>
    </w:p>
    <w:p w14:paraId="48E35A85">
      <w:pPr>
        <w:tabs>
          <w:tab w:val="left" w:pos="480"/>
        </w:tabs>
        <w:spacing w:line="360" w:lineRule="auto"/>
        <w:jc w:val="left"/>
        <w:rPr>
          <w:rFonts w:hint="eastAsia" w:hAnsi="宋体" w:cs="宋体"/>
          <w:szCs w:val="21"/>
          <w:highlight w:val="none"/>
        </w:rPr>
      </w:pPr>
      <w:r>
        <w:rPr>
          <w:rFonts w:hint="eastAsia" w:hAnsi="宋体" w:cs="宋体"/>
          <w:szCs w:val="21"/>
          <w:highlight w:val="none"/>
        </w:rPr>
        <w:t>乙方所供货物必须执行下列条款：</w:t>
      </w:r>
    </w:p>
    <w:p w14:paraId="72E641AD">
      <w:pPr>
        <w:tabs>
          <w:tab w:val="left" w:pos="480"/>
        </w:tabs>
        <w:spacing w:line="360" w:lineRule="auto"/>
        <w:jc w:val="left"/>
        <w:rPr>
          <w:rFonts w:hint="eastAsia" w:hAnsi="宋体" w:cs="宋体"/>
          <w:szCs w:val="21"/>
          <w:highlight w:val="none"/>
        </w:rPr>
      </w:pPr>
      <w:r>
        <w:rPr>
          <w:rFonts w:hint="eastAsia" w:hAnsi="宋体" w:cs="宋体"/>
          <w:szCs w:val="21"/>
          <w:highlight w:val="none"/>
        </w:rPr>
        <w:t>（一）保证</w:t>
      </w:r>
      <w:r>
        <w:rPr>
          <w:rFonts w:hint="eastAsia" w:hAnsi="宋体" w:cs="宋体"/>
          <w:szCs w:val="21"/>
          <w:highlight w:val="none"/>
          <w:lang w:eastAsia="zh-CN"/>
        </w:rPr>
        <w:t>产品</w:t>
      </w:r>
      <w:r>
        <w:rPr>
          <w:rFonts w:hint="eastAsia" w:hAnsi="宋体" w:cs="宋体"/>
          <w:szCs w:val="21"/>
          <w:highlight w:val="none"/>
        </w:rPr>
        <w:t>技术指标先进、产品全新、质量性能可靠、进货渠道正常，配置合理，全面满足甲方要求。</w:t>
      </w:r>
    </w:p>
    <w:p w14:paraId="0A6921EA">
      <w:pPr>
        <w:tabs>
          <w:tab w:val="left" w:pos="480"/>
        </w:tabs>
        <w:spacing w:line="360" w:lineRule="auto"/>
        <w:jc w:val="left"/>
        <w:rPr>
          <w:rFonts w:hint="eastAsia" w:hAnsi="宋体" w:cs="宋体"/>
          <w:szCs w:val="21"/>
          <w:highlight w:val="none"/>
        </w:rPr>
      </w:pPr>
      <w:r>
        <w:rPr>
          <w:rFonts w:hint="eastAsia" w:hAnsi="宋体" w:cs="宋体"/>
          <w:szCs w:val="21"/>
          <w:highlight w:val="none"/>
        </w:rPr>
        <w:t>（二）符合国家有关规范要求和技术标准，确保达到最佳运行状态。</w:t>
      </w:r>
    </w:p>
    <w:p w14:paraId="30E75FF7">
      <w:pPr>
        <w:tabs>
          <w:tab w:val="left" w:pos="480"/>
        </w:tabs>
        <w:spacing w:line="360" w:lineRule="auto"/>
        <w:jc w:val="left"/>
        <w:rPr>
          <w:rFonts w:hint="eastAsia" w:hAnsi="宋体" w:cs="宋体"/>
          <w:szCs w:val="21"/>
          <w:highlight w:val="none"/>
        </w:rPr>
      </w:pPr>
      <w:r>
        <w:rPr>
          <w:rFonts w:hint="eastAsia" w:hAnsi="宋体" w:cs="宋体"/>
          <w:szCs w:val="21"/>
          <w:highlight w:val="none"/>
        </w:rPr>
        <w:t>（三）具有良好的外观，适合安装场所的使用。</w:t>
      </w:r>
    </w:p>
    <w:p w14:paraId="194431A6">
      <w:pPr>
        <w:tabs>
          <w:tab w:val="left" w:pos="480"/>
        </w:tabs>
        <w:spacing w:line="360" w:lineRule="auto"/>
        <w:jc w:val="left"/>
        <w:rPr>
          <w:rFonts w:hint="eastAsia" w:hAnsi="宋体" w:cs="宋体"/>
          <w:szCs w:val="21"/>
          <w:highlight w:val="none"/>
          <w:u w:val="single"/>
        </w:rPr>
      </w:pPr>
      <w:r>
        <w:rPr>
          <w:rFonts w:hint="eastAsia" w:hAnsi="宋体" w:cs="宋体"/>
          <w:szCs w:val="21"/>
          <w:highlight w:val="none"/>
        </w:rPr>
        <w:t>（四）乙方为甲方提供的</w:t>
      </w:r>
      <w:r>
        <w:rPr>
          <w:rFonts w:hint="eastAsia" w:hAnsi="宋体" w:cs="宋体"/>
          <w:szCs w:val="21"/>
          <w:highlight w:val="none"/>
          <w:lang w:eastAsia="zh-CN"/>
        </w:rPr>
        <w:t>产品</w:t>
      </w:r>
      <w:r>
        <w:rPr>
          <w:rFonts w:hint="eastAsia" w:hAnsi="宋体" w:cs="宋体"/>
          <w:szCs w:val="21"/>
          <w:highlight w:val="none"/>
        </w:rPr>
        <w:t>须为原厂生产全新产品，如果乙方提供产品非原厂生产全新产品，一经查实，甲方有权要求乙方更换符合</w:t>
      </w:r>
      <w:r>
        <w:rPr>
          <w:rFonts w:hint="eastAsia" w:hAnsi="宋体" w:cs="宋体"/>
          <w:szCs w:val="21"/>
          <w:highlight w:val="none"/>
          <w:lang w:val="en-US" w:eastAsia="zh-CN"/>
        </w:rPr>
        <w:t>谈判</w:t>
      </w:r>
      <w:r>
        <w:rPr>
          <w:rFonts w:hint="eastAsia" w:hAnsi="宋体" w:cs="宋体"/>
          <w:szCs w:val="21"/>
          <w:highlight w:val="none"/>
        </w:rPr>
        <w:t>文件所要求的全新产品，一切经济损失由乙方全部承担。</w:t>
      </w:r>
    </w:p>
    <w:p w14:paraId="7795E2F5">
      <w:pPr>
        <w:tabs>
          <w:tab w:val="left" w:pos="480"/>
        </w:tabs>
        <w:spacing w:line="360" w:lineRule="auto"/>
        <w:jc w:val="left"/>
        <w:rPr>
          <w:rFonts w:hAnsi="宋体" w:cs="宋体"/>
          <w:b/>
          <w:szCs w:val="21"/>
          <w:highlight w:val="none"/>
        </w:rPr>
      </w:pPr>
      <w:r>
        <w:rPr>
          <w:rFonts w:hint="eastAsia" w:hAnsi="宋体" w:cs="宋体"/>
          <w:b/>
          <w:szCs w:val="21"/>
          <w:highlight w:val="none"/>
          <w:lang w:val="en-US" w:eastAsia="zh-CN"/>
        </w:rPr>
        <w:t>七</w:t>
      </w:r>
      <w:r>
        <w:rPr>
          <w:rFonts w:hint="eastAsia" w:hAnsi="宋体" w:cs="宋体"/>
          <w:b/>
          <w:szCs w:val="21"/>
          <w:highlight w:val="none"/>
        </w:rPr>
        <w:t>、售后服务</w:t>
      </w:r>
    </w:p>
    <w:p w14:paraId="654695C9">
      <w:pPr>
        <w:tabs>
          <w:tab w:val="left" w:pos="480"/>
        </w:tabs>
        <w:spacing w:line="360" w:lineRule="auto"/>
        <w:jc w:val="left"/>
        <w:rPr>
          <w:rFonts w:hint="eastAsia" w:hAnsi="宋体" w:cs="宋体"/>
          <w:szCs w:val="21"/>
          <w:highlight w:val="none"/>
          <w:lang w:val="en-US" w:eastAsia="zh-CN"/>
        </w:rPr>
      </w:pPr>
      <w:r>
        <w:rPr>
          <w:rFonts w:hint="eastAsia" w:hAnsi="宋体" w:cs="宋体"/>
          <w:szCs w:val="21"/>
          <w:highlight w:val="none"/>
          <w:lang w:val="en-US" w:eastAsia="zh-CN"/>
        </w:rPr>
        <w:t>（一）质保期内产品发生质量问题，在接到甲方通知后，乙方服务响应时间不超过半小时，2小时内派出专业的维修人员进行现场检测维修，解决问题不超过8小时。对问题较大、短期内不能解决的，为不影响甲方正常工作，乙方在7日内免费提供替代产品，所发生的全部费用由供应商承担。若需返厂维修，相关一切费用由供应商承担。20个工作日内仍无法修复的，需免费更换同规格、同型号原厂全新产品，更换产品所产生的相关费用均由乙方承担。质保期内产品停机时间自动计算为免费质保延长时间。</w:t>
      </w:r>
    </w:p>
    <w:p w14:paraId="2F69F455">
      <w:pPr>
        <w:tabs>
          <w:tab w:val="left" w:pos="480"/>
        </w:tabs>
        <w:spacing w:line="360" w:lineRule="auto"/>
        <w:jc w:val="left"/>
        <w:rPr>
          <w:rFonts w:hint="eastAsia" w:hAnsi="宋体" w:cs="宋体"/>
          <w:szCs w:val="21"/>
          <w:highlight w:val="none"/>
          <w:lang w:val="en-US" w:eastAsia="zh-CN"/>
        </w:rPr>
      </w:pPr>
      <w:r>
        <w:rPr>
          <w:rFonts w:hint="eastAsia" w:hAnsi="宋体" w:cs="宋体"/>
          <w:szCs w:val="21"/>
          <w:highlight w:val="none"/>
          <w:lang w:val="en-US" w:eastAsia="zh-CN"/>
        </w:rPr>
        <w:t>（二）使用培训：产品安装调试完成后，乙方须安排对产品使用人员进行免费的产品安装调试及操作应用等技术培训，直至使用人员熟练掌握该产品的全部功能操作。</w:t>
      </w:r>
    </w:p>
    <w:p w14:paraId="16B14239">
      <w:pPr>
        <w:tabs>
          <w:tab w:val="left" w:pos="480"/>
        </w:tabs>
        <w:spacing w:line="360" w:lineRule="auto"/>
        <w:jc w:val="left"/>
        <w:rPr>
          <w:rFonts w:hint="eastAsia" w:hAnsi="宋体" w:cs="宋体"/>
          <w:szCs w:val="21"/>
          <w:highlight w:val="none"/>
          <w:lang w:val="en-US" w:eastAsia="zh-CN"/>
        </w:rPr>
      </w:pPr>
      <w:r>
        <w:rPr>
          <w:rFonts w:hint="eastAsia" w:hAnsi="宋体" w:cs="宋体"/>
          <w:szCs w:val="21"/>
          <w:highlight w:val="none"/>
          <w:lang w:val="en-US" w:eastAsia="zh-CN"/>
        </w:rPr>
        <w:t>（三）质保期（自最终验收合格之日起）结束后，若甲方继续采购乙方提供的维保服务，年度维保费用（含软件维护、升级服务，服务内容与质保期内相同）不得超过本合同软件部分合同价格的10%。</w:t>
      </w:r>
    </w:p>
    <w:p w14:paraId="53B7495F">
      <w:pPr>
        <w:tabs>
          <w:tab w:val="left" w:pos="480"/>
        </w:tabs>
        <w:spacing w:line="360" w:lineRule="auto"/>
        <w:jc w:val="left"/>
        <w:rPr>
          <w:rFonts w:hint="eastAsia" w:hAnsi="宋体" w:cs="宋体" w:eastAsiaTheme="minorEastAsia"/>
          <w:b/>
          <w:szCs w:val="21"/>
          <w:highlight w:val="none"/>
          <w:lang w:eastAsia="zh-CN"/>
        </w:rPr>
      </w:pPr>
      <w:r>
        <w:rPr>
          <w:rFonts w:hint="eastAsia" w:hAnsi="宋体" w:cs="宋体"/>
          <w:b/>
          <w:szCs w:val="21"/>
          <w:highlight w:val="none"/>
          <w:lang w:val="en-US" w:eastAsia="zh-CN"/>
        </w:rPr>
        <w:t>八</w:t>
      </w:r>
      <w:r>
        <w:rPr>
          <w:rFonts w:hint="eastAsia" w:hAnsi="宋体" w:cs="宋体"/>
          <w:b/>
          <w:szCs w:val="21"/>
          <w:highlight w:val="none"/>
        </w:rPr>
        <w:t>、技术</w:t>
      </w:r>
      <w:r>
        <w:rPr>
          <w:rFonts w:hint="eastAsia" w:hAnsi="宋体" w:cs="宋体"/>
          <w:b/>
          <w:szCs w:val="21"/>
          <w:highlight w:val="none"/>
          <w:lang w:val="en-US" w:eastAsia="zh-CN"/>
        </w:rPr>
        <w:t>资料</w:t>
      </w:r>
    </w:p>
    <w:p w14:paraId="2343BF97">
      <w:pPr>
        <w:tabs>
          <w:tab w:val="left" w:pos="480"/>
        </w:tabs>
        <w:spacing w:line="360" w:lineRule="auto"/>
        <w:rPr>
          <w:rFonts w:hint="eastAsia" w:hAnsi="宋体" w:cs="宋体"/>
          <w:szCs w:val="21"/>
          <w:highlight w:val="none"/>
          <w:lang w:eastAsia="zh-CN"/>
        </w:rPr>
      </w:pPr>
      <w:r>
        <w:rPr>
          <w:rFonts w:hint="eastAsia" w:hAnsi="宋体" w:cs="宋体"/>
          <w:szCs w:val="21"/>
          <w:highlight w:val="none"/>
          <w:lang w:val="en-US" w:eastAsia="zh-CN"/>
        </w:rPr>
        <w:t>（一）</w:t>
      </w:r>
      <w:r>
        <w:rPr>
          <w:rFonts w:hint="eastAsia" w:hAnsi="宋体" w:cs="宋体"/>
          <w:szCs w:val="21"/>
          <w:highlight w:val="none"/>
          <w:lang w:eastAsia="zh-CN"/>
        </w:rPr>
        <w:t>货物合格证；</w:t>
      </w:r>
    </w:p>
    <w:p w14:paraId="68E7ACF0">
      <w:pPr>
        <w:tabs>
          <w:tab w:val="left" w:pos="480"/>
        </w:tabs>
        <w:spacing w:line="360" w:lineRule="auto"/>
        <w:rPr>
          <w:rFonts w:hint="eastAsia" w:hAnsi="宋体" w:cs="宋体"/>
          <w:szCs w:val="21"/>
          <w:highlight w:val="none"/>
          <w:lang w:eastAsia="zh-CN"/>
        </w:rPr>
      </w:pPr>
      <w:r>
        <w:rPr>
          <w:rFonts w:hint="eastAsia" w:hAnsi="宋体" w:cs="宋体"/>
          <w:szCs w:val="21"/>
          <w:highlight w:val="none"/>
          <w:lang w:val="en-US" w:eastAsia="zh-CN"/>
        </w:rPr>
        <w:t>（二）</w:t>
      </w:r>
      <w:r>
        <w:rPr>
          <w:rFonts w:hint="eastAsia" w:hAnsi="宋体" w:cs="宋体"/>
          <w:szCs w:val="21"/>
          <w:highlight w:val="none"/>
          <w:lang w:eastAsia="zh-CN"/>
        </w:rPr>
        <w:t>货物使用说明书（中文）；</w:t>
      </w:r>
    </w:p>
    <w:p w14:paraId="19EC637A">
      <w:pPr>
        <w:tabs>
          <w:tab w:val="left" w:pos="480"/>
        </w:tabs>
        <w:spacing w:line="360" w:lineRule="auto"/>
        <w:rPr>
          <w:rFonts w:hint="eastAsia" w:hAnsi="宋体" w:cs="宋体"/>
          <w:szCs w:val="21"/>
          <w:highlight w:val="none"/>
          <w:lang w:eastAsia="zh-CN"/>
        </w:rPr>
      </w:pPr>
      <w:r>
        <w:rPr>
          <w:rFonts w:hint="eastAsia" w:hAnsi="宋体" w:cs="宋体"/>
          <w:szCs w:val="21"/>
          <w:highlight w:val="none"/>
        </w:rPr>
        <w:t>（三）</w:t>
      </w:r>
      <w:r>
        <w:rPr>
          <w:rFonts w:hint="eastAsia" w:hAnsi="宋体" w:cs="宋体"/>
          <w:szCs w:val="21"/>
          <w:highlight w:val="none"/>
          <w:lang w:eastAsia="zh-CN"/>
        </w:rPr>
        <w:t>检验测试报告(厂家出厂带就有，如厂家不带的话就没有，以合格证为主）；</w:t>
      </w:r>
    </w:p>
    <w:p w14:paraId="6704F7AE">
      <w:pPr>
        <w:tabs>
          <w:tab w:val="left" w:pos="480"/>
        </w:tabs>
        <w:spacing w:line="360" w:lineRule="auto"/>
        <w:rPr>
          <w:rFonts w:hint="default" w:hAnsi="宋体" w:cs="宋体"/>
          <w:szCs w:val="21"/>
          <w:highlight w:val="none"/>
          <w:lang w:val="en-US" w:eastAsia="zh-CN"/>
        </w:rPr>
      </w:pPr>
      <w:r>
        <w:rPr>
          <w:rFonts w:hint="eastAsia" w:hAnsi="宋体" w:cs="宋体"/>
          <w:szCs w:val="21"/>
          <w:highlight w:val="none"/>
        </w:rPr>
        <w:t>（四）</w:t>
      </w:r>
      <w:r>
        <w:rPr>
          <w:rFonts w:hint="eastAsia" w:hAnsi="宋体" w:cs="宋体"/>
          <w:szCs w:val="21"/>
          <w:highlight w:val="none"/>
          <w:lang w:eastAsia="zh-CN"/>
        </w:rPr>
        <w:t>其它资料</w:t>
      </w:r>
      <w:r>
        <w:rPr>
          <w:rFonts w:hint="eastAsia" w:hAnsi="宋体" w:cs="宋体"/>
          <w:szCs w:val="21"/>
          <w:highlight w:val="none"/>
          <w:lang w:val="en-US" w:eastAsia="zh-CN"/>
        </w:rPr>
        <w:t>。</w:t>
      </w:r>
    </w:p>
    <w:p w14:paraId="282743C9">
      <w:pPr>
        <w:tabs>
          <w:tab w:val="left" w:pos="480"/>
        </w:tabs>
        <w:spacing w:line="360" w:lineRule="auto"/>
        <w:jc w:val="left"/>
        <w:rPr>
          <w:rFonts w:hAnsi="宋体" w:cs="宋体"/>
          <w:b/>
          <w:szCs w:val="21"/>
          <w:highlight w:val="none"/>
        </w:rPr>
      </w:pPr>
      <w:r>
        <w:rPr>
          <w:rFonts w:hint="eastAsia" w:hAnsi="宋体" w:cs="宋体"/>
          <w:b/>
          <w:szCs w:val="21"/>
          <w:highlight w:val="none"/>
          <w:lang w:val="en-US" w:eastAsia="zh-CN"/>
        </w:rPr>
        <w:t>九</w:t>
      </w:r>
      <w:r>
        <w:rPr>
          <w:rFonts w:hint="eastAsia" w:hAnsi="宋体" w:cs="宋体"/>
          <w:b/>
          <w:szCs w:val="21"/>
          <w:highlight w:val="none"/>
        </w:rPr>
        <w:t>、验收</w:t>
      </w:r>
    </w:p>
    <w:p w14:paraId="69167997">
      <w:pPr>
        <w:tabs>
          <w:tab w:val="left" w:pos="480"/>
        </w:tabs>
        <w:spacing w:line="360" w:lineRule="auto"/>
        <w:rPr>
          <w:rFonts w:hint="eastAsia" w:hAnsi="宋体" w:cs="宋体"/>
          <w:szCs w:val="21"/>
          <w:highlight w:val="none"/>
          <w:lang w:val="en-US" w:eastAsia="zh-CN"/>
        </w:rPr>
      </w:pPr>
      <w:r>
        <w:rPr>
          <w:rFonts w:hint="eastAsia" w:hAnsi="宋体" w:cs="宋体"/>
          <w:szCs w:val="21"/>
          <w:highlight w:val="none"/>
          <w:lang w:val="en-US" w:eastAsia="zh-CN"/>
        </w:rPr>
        <w:t>（一）样品初验：乙方需携带一套样品至甲方指定地点，由甲方对各产品进行初验与测试，其结果应与采购需求和乙方响应内容保持一致。初验通过后，乙方可正常供货。</w:t>
      </w:r>
    </w:p>
    <w:p w14:paraId="30898DFD">
      <w:pPr>
        <w:tabs>
          <w:tab w:val="left" w:pos="480"/>
        </w:tabs>
        <w:spacing w:line="360" w:lineRule="auto"/>
        <w:rPr>
          <w:rFonts w:hint="eastAsia" w:hAnsi="宋体" w:cs="宋体"/>
          <w:szCs w:val="21"/>
          <w:highlight w:val="none"/>
          <w:lang w:val="en-US" w:eastAsia="zh-CN"/>
        </w:rPr>
      </w:pPr>
      <w:r>
        <w:rPr>
          <w:rFonts w:hint="eastAsia" w:hAnsi="宋体" w:cs="宋体"/>
          <w:szCs w:val="21"/>
          <w:highlight w:val="none"/>
          <w:lang w:val="en-US" w:eastAsia="zh-CN"/>
        </w:rPr>
        <w:t>（二）货物到达甲方指定地点后，甲方根据合同要求，进行外观验收，确认品牌、规格、型号和数量。甲方、乙方双方须在约定的时间和地点共同开箱检验。</w:t>
      </w:r>
    </w:p>
    <w:p w14:paraId="3458261D">
      <w:pPr>
        <w:tabs>
          <w:tab w:val="left" w:pos="480"/>
        </w:tabs>
        <w:spacing w:line="360" w:lineRule="auto"/>
        <w:rPr>
          <w:rFonts w:hint="eastAsia" w:hAnsi="宋体" w:cs="宋体"/>
          <w:szCs w:val="21"/>
          <w:highlight w:val="none"/>
          <w:lang w:val="en-US" w:eastAsia="zh-CN"/>
        </w:rPr>
      </w:pPr>
      <w:r>
        <w:rPr>
          <w:rFonts w:hint="eastAsia" w:hAnsi="宋体" w:cs="宋体"/>
          <w:szCs w:val="21"/>
          <w:highlight w:val="none"/>
          <w:lang w:val="en-US" w:eastAsia="zh-CN"/>
        </w:rPr>
        <w:t>（三）产品安装、调试、自检正常，且可正常使用后，由乙方书面通知甲方。</w:t>
      </w:r>
    </w:p>
    <w:p w14:paraId="219962A8">
      <w:pPr>
        <w:tabs>
          <w:tab w:val="left" w:pos="480"/>
        </w:tabs>
        <w:spacing w:line="360" w:lineRule="auto"/>
        <w:rPr>
          <w:rFonts w:hint="eastAsia" w:hAnsi="宋体" w:cs="宋体"/>
          <w:szCs w:val="21"/>
          <w:highlight w:val="none"/>
          <w:lang w:val="en-US" w:eastAsia="zh-CN"/>
        </w:rPr>
      </w:pPr>
      <w:r>
        <w:rPr>
          <w:rFonts w:hint="eastAsia" w:hAnsi="宋体" w:cs="宋体"/>
          <w:szCs w:val="21"/>
          <w:highlight w:val="none"/>
          <w:lang w:val="en-US" w:eastAsia="zh-CN"/>
        </w:rPr>
        <w:t>（四）甲方核查乙方提供的产品自检正常报告后，开始进行验收。验收合格后，出具验收报告作为对货物的最终认可。</w:t>
      </w:r>
    </w:p>
    <w:p w14:paraId="33116BA3">
      <w:pPr>
        <w:tabs>
          <w:tab w:val="left" w:pos="480"/>
        </w:tabs>
        <w:spacing w:line="360" w:lineRule="auto"/>
        <w:rPr>
          <w:rFonts w:hint="eastAsia" w:hAnsi="宋体" w:cs="宋体"/>
          <w:szCs w:val="21"/>
          <w:highlight w:val="none"/>
          <w:lang w:val="en-US" w:eastAsia="zh-CN"/>
        </w:rPr>
      </w:pPr>
      <w:r>
        <w:rPr>
          <w:rFonts w:hint="eastAsia" w:hAnsi="宋体" w:cs="宋体"/>
          <w:szCs w:val="21"/>
          <w:highlight w:val="none"/>
          <w:lang w:val="en-US" w:eastAsia="zh-CN"/>
        </w:rPr>
        <w:t>（五）乙方须向甲方提交货物实施过程中的所有资料，以便甲方日后管理和维护。</w:t>
      </w:r>
    </w:p>
    <w:p w14:paraId="7124BE0D">
      <w:pPr>
        <w:tabs>
          <w:tab w:val="left" w:pos="480"/>
        </w:tabs>
        <w:spacing w:line="360" w:lineRule="auto"/>
        <w:rPr>
          <w:rFonts w:hint="eastAsia" w:hAnsi="宋体" w:cs="宋体"/>
          <w:szCs w:val="21"/>
          <w:highlight w:val="none"/>
          <w:lang w:val="en-US" w:eastAsia="zh-CN"/>
        </w:rPr>
      </w:pPr>
      <w:r>
        <w:rPr>
          <w:rFonts w:hint="eastAsia" w:hAnsi="宋体" w:cs="宋体"/>
          <w:szCs w:val="21"/>
          <w:highlight w:val="none"/>
          <w:lang w:val="en-US" w:eastAsia="zh-CN"/>
        </w:rPr>
        <w:t>（六）验收依据：</w:t>
      </w:r>
    </w:p>
    <w:p w14:paraId="5AFBA102">
      <w:pPr>
        <w:tabs>
          <w:tab w:val="left" w:pos="480"/>
        </w:tabs>
        <w:spacing w:line="360" w:lineRule="auto"/>
        <w:rPr>
          <w:rFonts w:hint="eastAsia" w:hAnsi="宋体" w:cs="宋体"/>
          <w:szCs w:val="21"/>
          <w:highlight w:val="none"/>
          <w:lang w:val="en-US" w:eastAsia="zh-CN"/>
        </w:rPr>
      </w:pPr>
      <w:r>
        <w:rPr>
          <w:rFonts w:hint="eastAsia" w:hAnsi="宋体" w:cs="宋体"/>
          <w:szCs w:val="21"/>
          <w:highlight w:val="none"/>
          <w:lang w:val="en-US" w:eastAsia="zh-CN"/>
        </w:rPr>
        <w:t>1、本合同及附件文本；</w:t>
      </w:r>
    </w:p>
    <w:p w14:paraId="1C79303D">
      <w:pPr>
        <w:tabs>
          <w:tab w:val="left" w:pos="480"/>
        </w:tabs>
        <w:spacing w:line="360" w:lineRule="auto"/>
        <w:rPr>
          <w:rFonts w:hint="eastAsia" w:hAnsi="宋体" w:cs="宋体"/>
          <w:szCs w:val="21"/>
          <w:highlight w:val="none"/>
          <w:lang w:val="en-US" w:eastAsia="zh-CN"/>
        </w:rPr>
      </w:pPr>
      <w:r>
        <w:rPr>
          <w:rFonts w:hint="eastAsia" w:hAnsi="宋体" w:cs="宋体"/>
          <w:szCs w:val="21"/>
          <w:highlight w:val="none"/>
          <w:lang w:val="en-US" w:eastAsia="zh-CN"/>
        </w:rPr>
        <w:t>2、国家相应的标准、规范；</w:t>
      </w:r>
    </w:p>
    <w:p w14:paraId="6F2B2D57">
      <w:pPr>
        <w:tabs>
          <w:tab w:val="left" w:pos="480"/>
        </w:tabs>
        <w:spacing w:line="360" w:lineRule="auto"/>
        <w:rPr>
          <w:rFonts w:hint="eastAsia" w:hAnsi="宋体" w:cs="宋体"/>
          <w:szCs w:val="21"/>
          <w:highlight w:val="none"/>
          <w:lang w:val="en-US" w:eastAsia="zh-CN"/>
        </w:rPr>
      </w:pPr>
      <w:r>
        <w:rPr>
          <w:rFonts w:hint="eastAsia" w:hAnsi="宋体" w:cs="宋体"/>
          <w:szCs w:val="21"/>
          <w:highlight w:val="none"/>
          <w:lang w:val="en-US" w:eastAsia="zh-CN"/>
        </w:rPr>
        <w:t>3、竞争性谈判文件、响应文件、澄清表（函）；</w:t>
      </w:r>
    </w:p>
    <w:p w14:paraId="25FDD688">
      <w:pPr>
        <w:tabs>
          <w:tab w:val="left" w:pos="480"/>
        </w:tabs>
        <w:spacing w:line="360" w:lineRule="auto"/>
        <w:jc w:val="left"/>
        <w:rPr>
          <w:rFonts w:hint="eastAsia" w:hAnsi="宋体" w:cs="宋体"/>
          <w:b/>
          <w:szCs w:val="21"/>
          <w:highlight w:val="none"/>
          <w:lang w:val="en-US" w:eastAsia="zh-CN"/>
        </w:rPr>
      </w:pPr>
      <w:r>
        <w:rPr>
          <w:rFonts w:hint="eastAsia" w:hAnsi="宋体" w:cs="宋体"/>
          <w:b/>
          <w:szCs w:val="21"/>
          <w:highlight w:val="none"/>
          <w:lang w:val="en-US" w:eastAsia="zh-CN"/>
        </w:rPr>
        <w:t>十、违约责任</w:t>
      </w:r>
    </w:p>
    <w:p w14:paraId="67104353">
      <w:pPr>
        <w:tabs>
          <w:tab w:val="left" w:pos="480"/>
        </w:tabs>
        <w:spacing w:line="360" w:lineRule="auto"/>
        <w:jc w:val="left"/>
        <w:rPr>
          <w:rFonts w:hint="eastAsia" w:hAnsi="宋体" w:cs="宋体"/>
          <w:szCs w:val="21"/>
          <w:highlight w:val="none"/>
        </w:rPr>
      </w:pPr>
      <w:r>
        <w:rPr>
          <w:rFonts w:hint="eastAsia" w:hAnsi="宋体" w:cs="宋体"/>
          <w:szCs w:val="21"/>
          <w:highlight w:val="none"/>
        </w:rPr>
        <w:t>（一）按《中华人民共和国政府采购法》、《中华人民共和国民法典》中的相关条款执行。</w:t>
      </w:r>
    </w:p>
    <w:p w14:paraId="171C627F">
      <w:pPr>
        <w:tabs>
          <w:tab w:val="left" w:pos="480"/>
        </w:tabs>
        <w:spacing w:line="360" w:lineRule="auto"/>
        <w:jc w:val="left"/>
        <w:rPr>
          <w:rFonts w:hint="eastAsia" w:hAnsi="宋体" w:cs="宋体"/>
          <w:szCs w:val="21"/>
          <w:highlight w:val="none"/>
        </w:rPr>
      </w:pPr>
      <w:r>
        <w:rPr>
          <w:rFonts w:hint="eastAsia" w:hAnsi="宋体" w:cs="宋体"/>
          <w:szCs w:val="21"/>
          <w:highlight w:val="none"/>
        </w:rPr>
        <w:t>（二）</w:t>
      </w:r>
      <w:r>
        <w:rPr>
          <w:rFonts w:hint="eastAsia" w:hAnsi="宋体" w:cs="宋体"/>
          <w:szCs w:val="21"/>
          <w:highlight w:val="none"/>
          <w:lang w:val="en-US" w:eastAsia="zh-CN"/>
        </w:rPr>
        <w:t>乙方</w:t>
      </w:r>
      <w:r>
        <w:rPr>
          <w:rFonts w:hint="eastAsia" w:hAnsi="宋体" w:cs="宋体"/>
          <w:szCs w:val="21"/>
          <w:highlight w:val="none"/>
        </w:rPr>
        <w:t>所交的产品经</w:t>
      </w:r>
      <w:r>
        <w:rPr>
          <w:rFonts w:hint="eastAsia" w:hAnsi="宋体" w:cs="宋体"/>
          <w:szCs w:val="21"/>
          <w:highlight w:val="none"/>
          <w:lang w:val="en-US" w:eastAsia="zh-CN"/>
        </w:rPr>
        <w:t>甲方</w:t>
      </w:r>
      <w:r>
        <w:rPr>
          <w:rFonts w:hint="eastAsia" w:hAnsi="宋体" w:cs="宋体"/>
          <w:szCs w:val="21"/>
          <w:highlight w:val="none"/>
        </w:rPr>
        <w:t>验收不符合合同约定或规定标准的，</w:t>
      </w:r>
      <w:r>
        <w:rPr>
          <w:rFonts w:hint="eastAsia" w:hAnsi="宋体" w:cs="宋体"/>
          <w:szCs w:val="21"/>
          <w:highlight w:val="none"/>
          <w:lang w:val="en-US" w:eastAsia="zh-CN"/>
        </w:rPr>
        <w:t>甲方</w:t>
      </w:r>
      <w:r>
        <w:rPr>
          <w:rFonts w:hint="eastAsia" w:hAnsi="宋体" w:cs="宋体"/>
          <w:szCs w:val="21"/>
          <w:highlight w:val="none"/>
        </w:rPr>
        <w:t>有权拒收，</w:t>
      </w:r>
      <w:r>
        <w:rPr>
          <w:rFonts w:hint="eastAsia" w:hAnsi="宋体" w:cs="宋体"/>
          <w:szCs w:val="21"/>
          <w:highlight w:val="none"/>
          <w:lang w:val="en-US" w:eastAsia="zh-CN"/>
        </w:rPr>
        <w:t>乙方</w:t>
      </w:r>
      <w:r>
        <w:rPr>
          <w:rFonts w:hint="eastAsia" w:hAnsi="宋体" w:cs="宋体"/>
          <w:szCs w:val="21"/>
          <w:highlight w:val="none"/>
        </w:rPr>
        <w:t>应当在</w:t>
      </w:r>
      <w:r>
        <w:rPr>
          <w:rFonts w:hint="eastAsia" w:hAnsi="宋体" w:cs="宋体"/>
          <w:szCs w:val="21"/>
          <w:highlight w:val="none"/>
          <w:lang w:val="en-US" w:eastAsia="zh-CN"/>
        </w:rPr>
        <w:t>甲方</w:t>
      </w:r>
      <w:r>
        <w:rPr>
          <w:rFonts w:hint="eastAsia" w:hAnsi="宋体" w:cs="宋体"/>
          <w:szCs w:val="21"/>
          <w:highlight w:val="none"/>
        </w:rPr>
        <w:t>指定期限内更换，</w:t>
      </w:r>
      <w:r>
        <w:rPr>
          <w:rFonts w:hint="eastAsia" w:hAnsi="宋体" w:cs="宋体"/>
          <w:szCs w:val="21"/>
          <w:highlight w:val="none"/>
          <w:lang w:val="en-US" w:eastAsia="zh-CN"/>
        </w:rPr>
        <w:t>否则</w:t>
      </w:r>
      <w:r>
        <w:rPr>
          <w:rFonts w:hint="eastAsia" w:hAnsi="宋体" w:cs="宋体"/>
          <w:szCs w:val="21"/>
          <w:highlight w:val="none"/>
        </w:rPr>
        <w:t>，</w:t>
      </w:r>
      <w:r>
        <w:rPr>
          <w:rFonts w:hint="eastAsia" w:hAnsi="宋体" w:cs="宋体"/>
          <w:szCs w:val="21"/>
          <w:highlight w:val="none"/>
          <w:lang w:val="en-US" w:eastAsia="zh-CN"/>
        </w:rPr>
        <w:t>甲方会将乙方的</w:t>
      </w:r>
      <w:r>
        <w:rPr>
          <w:rFonts w:hint="eastAsia" w:hAnsi="宋体" w:cs="宋体"/>
          <w:szCs w:val="21"/>
          <w:highlight w:val="none"/>
        </w:rPr>
        <w:t>违约</w:t>
      </w:r>
      <w:r>
        <w:rPr>
          <w:rFonts w:hint="eastAsia" w:hAnsi="宋体" w:cs="宋体"/>
          <w:szCs w:val="21"/>
          <w:highlight w:val="none"/>
          <w:lang w:val="en-US" w:eastAsia="zh-CN"/>
        </w:rPr>
        <w:t>行为</w:t>
      </w:r>
      <w:r>
        <w:rPr>
          <w:rFonts w:hint="eastAsia" w:hAnsi="宋体" w:cs="宋体"/>
          <w:szCs w:val="21"/>
          <w:highlight w:val="none"/>
        </w:rPr>
        <w:t>以书面形式报政府采购监管部门，根据政府采购监管部门的处理意见，甲方有权依据《中华人民共和国民法典》有关条款及合同约定解除合同，</w:t>
      </w:r>
      <w:r>
        <w:rPr>
          <w:rFonts w:hint="eastAsia" w:hAnsi="宋体" w:cs="宋体"/>
          <w:szCs w:val="21"/>
          <w:highlight w:val="none"/>
          <w:lang w:val="en-US" w:eastAsia="zh-CN"/>
        </w:rPr>
        <w:t>乙方</w:t>
      </w:r>
      <w:r>
        <w:rPr>
          <w:rFonts w:hint="eastAsia" w:hAnsi="宋体" w:cs="宋体"/>
          <w:szCs w:val="21"/>
          <w:highlight w:val="none"/>
        </w:rPr>
        <w:t>应向</w:t>
      </w:r>
      <w:r>
        <w:rPr>
          <w:rFonts w:hint="eastAsia" w:hAnsi="宋体" w:cs="宋体"/>
          <w:szCs w:val="21"/>
          <w:highlight w:val="none"/>
          <w:lang w:val="en-US" w:eastAsia="zh-CN"/>
        </w:rPr>
        <w:t>甲方</w:t>
      </w:r>
      <w:r>
        <w:rPr>
          <w:rFonts w:hint="eastAsia" w:hAnsi="宋体" w:cs="宋体"/>
          <w:szCs w:val="21"/>
          <w:highlight w:val="none"/>
        </w:rPr>
        <w:t>支付合同总价款</w:t>
      </w:r>
      <w:r>
        <w:rPr>
          <w:rFonts w:hint="eastAsia" w:hAnsi="宋体" w:cs="宋体"/>
          <w:szCs w:val="21"/>
          <w:highlight w:val="none"/>
          <w:lang w:val="en-US" w:eastAsia="zh-CN"/>
        </w:rPr>
        <w:t>30</w:t>
      </w:r>
      <w:r>
        <w:rPr>
          <w:rFonts w:hint="eastAsia" w:hAnsi="宋体" w:cs="宋体"/>
          <w:szCs w:val="21"/>
          <w:highlight w:val="none"/>
        </w:rPr>
        <w:t>％的违约金。同时，政府采购监管部门有权依据《中华人民共和国政府采购法》及相关法律法规对</w:t>
      </w:r>
      <w:r>
        <w:rPr>
          <w:rFonts w:hint="eastAsia" w:hAnsi="宋体" w:cs="宋体"/>
          <w:szCs w:val="21"/>
          <w:highlight w:val="none"/>
          <w:lang w:val="en-US" w:eastAsia="zh-CN"/>
        </w:rPr>
        <w:t>乙方</w:t>
      </w:r>
      <w:r>
        <w:rPr>
          <w:rFonts w:hint="eastAsia" w:hAnsi="宋体" w:cs="宋体"/>
          <w:szCs w:val="21"/>
          <w:highlight w:val="none"/>
        </w:rPr>
        <w:t>的违法行为进行相应的处罚。</w:t>
      </w:r>
    </w:p>
    <w:p w14:paraId="501D76ED">
      <w:pPr>
        <w:tabs>
          <w:tab w:val="left" w:pos="480"/>
        </w:tabs>
        <w:spacing w:line="360" w:lineRule="auto"/>
        <w:jc w:val="left"/>
        <w:rPr>
          <w:rFonts w:hint="eastAsia" w:hAnsi="宋体" w:cs="宋体"/>
          <w:szCs w:val="21"/>
          <w:highlight w:val="none"/>
        </w:rPr>
      </w:pPr>
      <w:r>
        <w:rPr>
          <w:rFonts w:hint="eastAsia" w:hAnsi="宋体" w:cs="宋体"/>
          <w:szCs w:val="21"/>
          <w:highlight w:val="none"/>
        </w:rPr>
        <w:t>（三）</w:t>
      </w:r>
      <w:r>
        <w:rPr>
          <w:rFonts w:hint="eastAsia" w:hAnsi="宋体" w:cs="宋体"/>
          <w:szCs w:val="21"/>
          <w:highlight w:val="none"/>
          <w:lang w:val="en-US" w:eastAsia="zh-CN"/>
        </w:rPr>
        <w:t>乙方</w:t>
      </w:r>
      <w:r>
        <w:rPr>
          <w:rFonts w:hint="eastAsia" w:hAnsi="宋体" w:cs="宋体"/>
          <w:szCs w:val="21"/>
          <w:highlight w:val="none"/>
        </w:rPr>
        <w:t>未按合同要求</w:t>
      </w:r>
      <w:r>
        <w:rPr>
          <w:rFonts w:hint="eastAsia" w:hAnsi="宋体" w:cs="宋体"/>
          <w:szCs w:val="21"/>
          <w:highlight w:val="none"/>
          <w:lang w:eastAsia="zh-CN"/>
        </w:rPr>
        <w:t>交货时间</w:t>
      </w:r>
      <w:r>
        <w:rPr>
          <w:rFonts w:hint="eastAsia" w:hAnsi="宋体" w:cs="宋体"/>
          <w:szCs w:val="21"/>
          <w:highlight w:val="none"/>
        </w:rPr>
        <w:t>送达</w:t>
      </w:r>
      <w:r>
        <w:rPr>
          <w:rFonts w:hint="eastAsia" w:hAnsi="宋体" w:cs="宋体"/>
          <w:szCs w:val="21"/>
          <w:highlight w:val="none"/>
          <w:lang w:val="en-US" w:eastAsia="zh-CN"/>
        </w:rPr>
        <w:t>甲方</w:t>
      </w:r>
      <w:r>
        <w:rPr>
          <w:rFonts w:hint="eastAsia" w:hAnsi="宋体" w:cs="宋体"/>
          <w:szCs w:val="21"/>
          <w:highlight w:val="none"/>
        </w:rPr>
        <w:t>指定地点的（包括返修、更换、补交等），按每逾期1日，扣除合同总金额的1%。逾期超过10个工作日，</w:t>
      </w:r>
      <w:r>
        <w:rPr>
          <w:rFonts w:hint="eastAsia" w:hAnsi="宋体" w:cs="宋体"/>
          <w:szCs w:val="21"/>
          <w:highlight w:val="none"/>
          <w:lang w:val="en-US" w:eastAsia="zh-CN"/>
        </w:rPr>
        <w:t>甲方</w:t>
      </w:r>
      <w:r>
        <w:rPr>
          <w:rFonts w:hint="eastAsia" w:hAnsi="宋体" w:cs="宋体"/>
          <w:szCs w:val="21"/>
          <w:highlight w:val="none"/>
        </w:rPr>
        <w:t>有权解除合同，合同自</w:t>
      </w:r>
      <w:r>
        <w:rPr>
          <w:rFonts w:hint="eastAsia" w:hAnsi="宋体" w:cs="宋体"/>
          <w:szCs w:val="21"/>
          <w:highlight w:val="none"/>
          <w:lang w:val="en-US" w:eastAsia="zh-CN"/>
        </w:rPr>
        <w:t>甲方</w:t>
      </w:r>
      <w:r>
        <w:rPr>
          <w:rFonts w:hint="eastAsia" w:hAnsi="宋体" w:cs="宋体"/>
          <w:szCs w:val="21"/>
          <w:highlight w:val="none"/>
        </w:rPr>
        <w:t>书面解除通知到达</w:t>
      </w:r>
      <w:r>
        <w:rPr>
          <w:rFonts w:hint="eastAsia" w:hAnsi="宋体" w:cs="宋体"/>
          <w:szCs w:val="21"/>
          <w:highlight w:val="none"/>
          <w:lang w:val="en-US" w:eastAsia="zh-CN"/>
        </w:rPr>
        <w:t>乙方</w:t>
      </w:r>
      <w:r>
        <w:rPr>
          <w:rFonts w:hint="eastAsia" w:hAnsi="宋体" w:cs="宋体"/>
          <w:szCs w:val="21"/>
          <w:highlight w:val="none"/>
        </w:rPr>
        <w:t>时解除，且</w:t>
      </w:r>
      <w:r>
        <w:rPr>
          <w:rFonts w:hint="eastAsia" w:hAnsi="宋体" w:cs="宋体"/>
          <w:szCs w:val="21"/>
          <w:highlight w:val="none"/>
          <w:lang w:val="en-US" w:eastAsia="zh-CN"/>
        </w:rPr>
        <w:t>乙方</w:t>
      </w:r>
      <w:r>
        <w:rPr>
          <w:rFonts w:hint="eastAsia" w:hAnsi="宋体" w:cs="宋体"/>
          <w:szCs w:val="21"/>
          <w:highlight w:val="none"/>
        </w:rPr>
        <w:t>应按照合同总价的30%向</w:t>
      </w:r>
      <w:r>
        <w:rPr>
          <w:rFonts w:hint="eastAsia" w:hAnsi="宋体" w:cs="宋体"/>
          <w:szCs w:val="21"/>
          <w:highlight w:val="none"/>
          <w:lang w:val="en-US" w:eastAsia="zh-CN"/>
        </w:rPr>
        <w:t>甲方</w:t>
      </w:r>
      <w:r>
        <w:rPr>
          <w:rFonts w:hint="eastAsia" w:hAnsi="宋体" w:cs="宋体"/>
          <w:szCs w:val="21"/>
          <w:highlight w:val="none"/>
        </w:rPr>
        <w:t>支付违约金。如给</w:t>
      </w:r>
      <w:r>
        <w:rPr>
          <w:rFonts w:hint="eastAsia" w:hAnsi="宋体" w:cs="宋体"/>
          <w:szCs w:val="21"/>
          <w:highlight w:val="none"/>
          <w:lang w:val="en-US" w:eastAsia="zh-CN"/>
        </w:rPr>
        <w:t>甲方</w:t>
      </w:r>
      <w:r>
        <w:rPr>
          <w:rFonts w:hint="eastAsia" w:hAnsi="宋体" w:cs="宋体"/>
          <w:szCs w:val="21"/>
          <w:highlight w:val="none"/>
        </w:rPr>
        <w:t>造成损失的，还应根据损失情况赔偿损失，包括但不限于律师费、诉讼费、差旅费等</w:t>
      </w:r>
      <w:r>
        <w:rPr>
          <w:rFonts w:hint="eastAsia" w:hAnsi="宋体" w:cs="宋体"/>
          <w:szCs w:val="21"/>
          <w:highlight w:val="none"/>
          <w:lang w:val="en-US" w:eastAsia="zh-CN"/>
        </w:rPr>
        <w:t>一切维权发生的</w:t>
      </w:r>
      <w:r>
        <w:rPr>
          <w:rFonts w:hint="eastAsia" w:hAnsi="宋体" w:cs="宋体"/>
          <w:szCs w:val="21"/>
          <w:highlight w:val="none"/>
        </w:rPr>
        <w:t>费用。</w:t>
      </w:r>
    </w:p>
    <w:p w14:paraId="4BA6D881">
      <w:pPr>
        <w:tabs>
          <w:tab w:val="left" w:pos="480"/>
        </w:tabs>
        <w:spacing w:line="360" w:lineRule="auto"/>
        <w:rPr>
          <w:rFonts w:hAnsi="宋体" w:cs="宋体"/>
          <w:b/>
          <w:szCs w:val="21"/>
          <w:highlight w:val="none"/>
        </w:rPr>
      </w:pPr>
      <w:r>
        <w:rPr>
          <w:rFonts w:hint="eastAsia" w:hAnsi="宋体" w:cs="宋体"/>
          <w:b/>
          <w:szCs w:val="21"/>
          <w:highlight w:val="none"/>
        </w:rPr>
        <w:t>十</w:t>
      </w:r>
      <w:r>
        <w:rPr>
          <w:rFonts w:hint="eastAsia" w:hAnsi="宋体" w:cs="宋体"/>
          <w:b/>
          <w:szCs w:val="21"/>
          <w:highlight w:val="none"/>
          <w:lang w:val="en-US" w:eastAsia="zh-CN"/>
        </w:rPr>
        <w:t>一</w:t>
      </w:r>
      <w:r>
        <w:rPr>
          <w:rFonts w:hint="eastAsia" w:hAnsi="宋体" w:cs="宋体"/>
          <w:b/>
          <w:szCs w:val="21"/>
          <w:highlight w:val="none"/>
        </w:rPr>
        <w:t>、合同争议解决的方式</w:t>
      </w:r>
    </w:p>
    <w:p w14:paraId="0705AB5C">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本合同在履行过程中发生的争议，由甲、乙双方当事人协商解决，协商不成的依法向甲方所在地人民法院起诉。</w:t>
      </w:r>
    </w:p>
    <w:p w14:paraId="22BF9A6D">
      <w:pPr>
        <w:tabs>
          <w:tab w:val="left" w:pos="480"/>
        </w:tabs>
        <w:spacing w:line="360" w:lineRule="auto"/>
        <w:rPr>
          <w:rFonts w:hAnsi="宋体" w:cs="宋体"/>
          <w:b/>
          <w:szCs w:val="21"/>
          <w:highlight w:val="none"/>
        </w:rPr>
      </w:pPr>
      <w:r>
        <w:rPr>
          <w:rFonts w:hint="eastAsia" w:hAnsi="宋体" w:cs="宋体"/>
          <w:b/>
          <w:szCs w:val="21"/>
          <w:highlight w:val="none"/>
        </w:rPr>
        <w:t>十</w:t>
      </w:r>
      <w:r>
        <w:rPr>
          <w:rFonts w:hint="eastAsia" w:hAnsi="宋体" w:cs="宋体"/>
          <w:b/>
          <w:szCs w:val="21"/>
          <w:highlight w:val="none"/>
          <w:lang w:val="en-US" w:eastAsia="zh-CN"/>
        </w:rPr>
        <w:t>二</w:t>
      </w:r>
      <w:r>
        <w:rPr>
          <w:rFonts w:hint="eastAsia" w:hAnsi="宋体" w:cs="宋体"/>
          <w:b/>
          <w:szCs w:val="21"/>
          <w:highlight w:val="none"/>
        </w:rPr>
        <w:t>、合同生效</w:t>
      </w:r>
    </w:p>
    <w:p w14:paraId="1023BBF8">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u w:val="single"/>
        </w:rPr>
        <w:t xml:space="preserve"> </w:t>
      </w:r>
      <w:r>
        <w:rPr>
          <w:rFonts w:hAnsi="宋体" w:cs="宋体"/>
          <w:szCs w:val="21"/>
          <w:highlight w:val="none"/>
          <w:u w:val="single"/>
        </w:rPr>
        <w:t xml:space="preserve">  </w:t>
      </w:r>
      <w:r>
        <w:rPr>
          <w:rFonts w:hint="eastAsia" w:hAnsi="宋体" w:cs="宋体"/>
          <w:szCs w:val="21"/>
          <w:highlight w:val="none"/>
        </w:rPr>
        <w:t>份，甲方</w:t>
      </w:r>
      <w:r>
        <w:rPr>
          <w:rFonts w:hint="eastAsia" w:hAnsi="宋体" w:cs="宋体"/>
          <w:szCs w:val="21"/>
          <w:highlight w:val="none"/>
          <w:u w:val="single"/>
        </w:rPr>
        <w:t xml:space="preserve"> </w:t>
      </w:r>
      <w:r>
        <w:rPr>
          <w:rFonts w:hAnsi="宋体" w:cs="宋体"/>
          <w:szCs w:val="21"/>
          <w:highlight w:val="none"/>
          <w:u w:val="single"/>
        </w:rPr>
        <w:t xml:space="preserve">   </w:t>
      </w:r>
      <w:r>
        <w:rPr>
          <w:rFonts w:hint="eastAsia" w:hAnsi="宋体" w:cs="宋体"/>
          <w:szCs w:val="21"/>
          <w:highlight w:val="none"/>
        </w:rPr>
        <w:t>份，乙方</w:t>
      </w:r>
      <w:r>
        <w:rPr>
          <w:rFonts w:hint="eastAsia" w:hAnsi="宋体" w:cs="宋体"/>
          <w:szCs w:val="21"/>
          <w:highlight w:val="none"/>
          <w:u w:val="single"/>
        </w:rPr>
        <w:t xml:space="preserve">    </w:t>
      </w:r>
      <w:r>
        <w:rPr>
          <w:rFonts w:hint="eastAsia" w:hAnsi="宋体" w:cs="宋体"/>
          <w:szCs w:val="21"/>
          <w:highlight w:val="none"/>
        </w:rPr>
        <w:t>份，本合同经甲方、乙方双方签字盖章后生效。</w:t>
      </w:r>
    </w:p>
    <w:p w14:paraId="550B847A">
      <w:pPr>
        <w:tabs>
          <w:tab w:val="left" w:pos="480"/>
        </w:tabs>
        <w:spacing w:line="360" w:lineRule="auto"/>
        <w:rPr>
          <w:rFonts w:hAnsi="宋体" w:cs="宋体"/>
          <w:szCs w:val="21"/>
          <w:highlight w:val="none"/>
        </w:rPr>
      </w:pPr>
      <w:r>
        <w:rPr>
          <w:rFonts w:hint="eastAsia" w:hAnsi="宋体" w:cs="宋体"/>
          <w:b/>
          <w:szCs w:val="21"/>
          <w:highlight w:val="none"/>
        </w:rPr>
        <w:t>十</w:t>
      </w:r>
      <w:r>
        <w:rPr>
          <w:rFonts w:hint="eastAsia" w:hAnsi="宋体" w:cs="宋体"/>
          <w:b/>
          <w:szCs w:val="21"/>
          <w:highlight w:val="none"/>
          <w:lang w:val="en-US" w:eastAsia="zh-CN"/>
        </w:rPr>
        <w:t>三</w:t>
      </w:r>
      <w:r>
        <w:rPr>
          <w:rFonts w:hint="eastAsia" w:hAnsi="宋体" w:cs="宋体"/>
          <w:b/>
          <w:szCs w:val="21"/>
          <w:highlight w:val="none"/>
        </w:rPr>
        <w:t>、其他事项</w:t>
      </w:r>
    </w:p>
    <w:p w14:paraId="68FF4A86">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（一）合同未尽事宜，由甲、乙双方协商确认后，签订补充协议，与原合同具有同等法律效力。</w:t>
      </w:r>
    </w:p>
    <w:p w14:paraId="43C152C7">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（二）合同一经签订，不得擅自变更、中止或终止合同。对确需变更、调整或中止、终止合同的，有法律规定的按照法律规定，除合同约定外，由甲乙双方再行协商，协商一致前，原合同或条款继续履行。</w:t>
      </w:r>
    </w:p>
    <w:p w14:paraId="47DF80F1">
      <w:pPr>
        <w:tabs>
          <w:tab w:val="left" w:pos="480"/>
        </w:tabs>
        <w:spacing w:line="360" w:lineRule="auto"/>
        <w:ind w:firstLine="420" w:firstLineChars="200"/>
        <w:rPr>
          <w:rFonts w:hAnsi="宋体" w:cs="宋体"/>
          <w:szCs w:val="21"/>
          <w:highlight w:val="none"/>
        </w:rPr>
      </w:pPr>
      <w:r>
        <w:rPr>
          <w:rFonts w:hint="eastAsia" w:hAnsi="宋体" w:cs="宋体"/>
          <w:szCs w:val="21"/>
          <w:highlight w:val="none"/>
        </w:rPr>
        <w:t>（三）本合同按照中华人民共和国的现行法律进行解释。</w:t>
      </w:r>
    </w:p>
    <w:p w14:paraId="47134267">
      <w:pPr>
        <w:tabs>
          <w:tab w:val="left" w:pos="480"/>
        </w:tabs>
        <w:spacing w:line="360" w:lineRule="auto"/>
        <w:ind w:firstLine="420" w:firstLineChars="200"/>
        <w:rPr>
          <w:rFonts w:hint="eastAsia" w:hAnsi="宋体" w:cs="宋体"/>
          <w:szCs w:val="21"/>
          <w:highlight w:val="none"/>
        </w:rPr>
      </w:pPr>
      <w:r>
        <w:rPr>
          <w:rFonts w:hint="eastAsia" w:hAnsi="宋体" w:cs="宋体"/>
          <w:szCs w:val="21"/>
          <w:highlight w:val="none"/>
        </w:rPr>
        <w:t>（四）本合同附件作为本合同的组成部分，与本合同具有同等法律效力。</w:t>
      </w:r>
    </w:p>
    <w:p w14:paraId="109A4EE4">
      <w:pPr>
        <w:tabs>
          <w:tab w:val="left" w:pos="480"/>
        </w:tabs>
        <w:spacing w:line="360" w:lineRule="auto"/>
        <w:ind w:firstLine="420" w:firstLineChars="200"/>
        <w:rPr>
          <w:rFonts w:ascii="宋体" w:hAnsi="宋体" w:cs="宋体"/>
          <w:szCs w:val="21"/>
          <w:highlight w:val="none"/>
        </w:rPr>
      </w:pPr>
      <w:r>
        <w:rPr>
          <w:rFonts w:hint="eastAsia" w:hAnsi="宋体" w:cs="宋体"/>
          <w:szCs w:val="21"/>
          <w:highlight w:val="none"/>
        </w:rPr>
        <w:t>（以下无正文）</w:t>
      </w:r>
    </w:p>
    <w:p w14:paraId="0D3E2653">
      <w:pPr>
        <w:tabs>
          <w:tab w:val="left" w:pos="480"/>
        </w:tabs>
        <w:spacing w:line="360" w:lineRule="auto"/>
        <w:rPr>
          <w:rFonts w:ascii="宋体" w:hAnsi="宋体" w:cs="宋体"/>
          <w:szCs w:val="21"/>
          <w:highlight w:val="none"/>
        </w:rPr>
      </w:pPr>
    </w:p>
    <w:p w14:paraId="72017BC8">
      <w:pPr>
        <w:tabs>
          <w:tab w:val="left" w:pos="480"/>
        </w:tabs>
        <w:spacing w:line="360" w:lineRule="auto"/>
        <w:rPr>
          <w:rFonts w:ascii="宋体" w:hAnsi="宋体" w:cs="宋体"/>
          <w:szCs w:val="21"/>
          <w:highlight w:val="none"/>
        </w:rPr>
      </w:pPr>
      <w:r>
        <w:rPr>
          <w:rFonts w:hint="eastAsia" w:ascii="宋体" w:hAnsi="宋体" w:cs="宋体"/>
          <w:szCs w:val="21"/>
          <w:highlight w:val="none"/>
        </w:rPr>
        <w:t>甲  方（盖章）                          乙  方（盖章）</w:t>
      </w:r>
    </w:p>
    <w:p w14:paraId="09B89331">
      <w:pPr>
        <w:tabs>
          <w:tab w:val="left" w:pos="480"/>
        </w:tabs>
        <w:spacing w:line="360" w:lineRule="auto"/>
        <w:rPr>
          <w:rFonts w:ascii="宋体" w:hAnsi="宋体" w:cs="宋体"/>
          <w:szCs w:val="21"/>
          <w:highlight w:val="none"/>
        </w:rPr>
      </w:pPr>
      <w:r>
        <w:rPr>
          <w:rFonts w:hint="eastAsia" w:ascii="宋体" w:hAnsi="宋体" w:cs="宋体"/>
          <w:szCs w:val="21"/>
          <w:highlight w:val="none"/>
        </w:rPr>
        <w:t>单位名称：</w:t>
      </w:r>
      <w:r>
        <w:rPr>
          <w:rFonts w:hint="eastAsia" w:ascii="宋体" w:hAnsi="宋体" w:cs="宋体"/>
          <w:szCs w:val="21"/>
          <w:highlight w:val="none"/>
          <w:lang w:eastAsia="zh-CN"/>
        </w:rPr>
        <w:t>西安市第三十中学</w:t>
      </w:r>
      <w:r>
        <w:rPr>
          <w:rFonts w:hint="eastAsia" w:ascii="宋体" w:hAnsi="宋体" w:cs="宋体"/>
          <w:szCs w:val="21"/>
          <w:highlight w:val="none"/>
        </w:rPr>
        <w:t xml:space="preserve">            </w:t>
      </w:r>
      <w:r>
        <w:rPr>
          <w:rFonts w:ascii="宋体" w:hAnsi="宋体" w:cs="宋体"/>
          <w:szCs w:val="21"/>
          <w:highlight w:val="none"/>
        </w:rPr>
        <w:t xml:space="preserve">  </w:t>
      </w:r>
      <w:r>
        <w:rPr>
          <w:rFonts w:hint="eastAsia" w:ascii="宋体" w:hAnsi="宋体" w:cs="宋体"/>
          <w:szCs w:val="21"/>
          <w:highlight w:val="none"/>
        </w:rPr>
        <w:t>单位名称:xxxx</w:t>
      </w:r>
    </w:p>
    <w:p w14:paraId="2F23BAD3">
      <w:pPr>
        <w:tabs>
          <w:tab w:val="left" w:pos="480"/>
        </w:tabs>
        <w:spacing w:line="360" w:lineRule="auto"/>
        <w:rPr>
          <w:rFonts w:ascii="宋体" w:hAnsi="宋体" w:cs="宋体"/>
          <w:szCs w:val="21"/>
          <w:highlight w:val="none"/>
        </w:rPr>
      </w:pPr>
      <w:r>
        <w:rPr>
          <w:rFonts w:hint="eastAsia" w:ascii="宋体" w:hAnsi="宋体" w:cs="宋体"/>
          <w:szCs w:val="21"/>
          <w:highlight w:val="none"/>
        </w:rPr>
        <w:t xml:space="preserve">地  址：                               </w:t>
      </w:r>
      <w:r>
        <w:rPr>
          <w:rFonts w:ascii="宋体" w:hAnsi="宋体" w:cs="宋体"/>
          <w:szCs w:val="21"/>
          <w:highlight w:val="none"/>
        </w:rPr>
        <w:t xml:space="preserve"> </w:t>
      </w:r>
      <w:r>
        <w:rPr>
          <w:rFonts w:hint="eastAsia" w:ascii="宋体" w:hAnsi="宋体" w:cs="宋体"/>
          <w:szCs w:val="21"/>
          <w:highlight w:val="none"/>
        </w:rPr>
        <w:t>地  址：xxxx</w:t>
      </w:r>
    </w:p>
    <w:p w14:paraId="4331BDD4">
      <w:pPr>
        <w:tabs>
          <w:tab w:val="left" w:pos="480"/>
        </w:tabs>
        <w:spacing w:line="360" w:lineRule="auto"/>
        <w:rPr>
          <w:rFonts w:ascii="宋体" w:hAnsi="宋体" w:cs="宋体"/>
          <w:szCs w:val="21"/>
          <w:highlight w:val="none"/>
        </w:rPr>
      </w:pPr>
      <w:r>
        <w:rPr>
          <w:rFonts w:hint="eastAsia" w:ascii="宋体" w:hAnsi="宋体" w:cs="宋体"/>
          <w:szCs w:val="21"/>
          <w:highlight w:val="none"/>
        </w:rPr>
        <w:t xml:space="preserve">法定代表（负责）人：（签字或盖章）      法定代表（负责）人：（签字或盖章） </w:t>
      </w:r>
    </w:p>
    <w:p w14:paraId="29294628">
      <w:pPr>
        <w:tabs>
          <w:tab w:val="left" w:pos="480"/>
        </w:tabs>
        <w:spacing w:line="360" w:lineRule="auto"/>
        <w:rPr>
          <w:rFonts w:ascii="宋体" w:hAnsi="宋体" w:cs="宋体"/>
          <w:szCs w:val="21"/>
          <w:highlight w:val="none"/>
        </w:rPr>
      </w:pPr>
      <w:r>
        <w:rPr>
          <w:rFonts w:hint="eastAsia" w:ascii="宋体" w:hAnsi="宋体" w:cs="宋体"/>
          <w:szCs w:val="21"/>
          <w:highlight w:val="none"/>
        </w:rPr>
        <w:t>代理人：（签字或盖章）                  代理人：（签字或盖章）</w:t>
      </w:r>
    </w:p>
    <w:p w14:paraId="6CEE5E55">
      <w:pPr>
        <w:tabs>
          <w:tab w:val="left" w:pos="480"/>
        </w:tabs>
        <w:spacing w:line="360" w:lineRule="auto"/>
        <w:ind w:firstLine="2940" w:firstLineChars="1400"/>
        <w:rPr>
          <w:rFonts w:ascii="宋体" w:hAnsi="宋体" w:cs="宋体"/>
          <w:szCs w:val="21"/>
          <w:highlight w:val="none"/>
        </w:rPr>
      </w:pPr>
      <w:r>
        <w:rPr>
          <w:rFonts w:hint="eastAsia" w:ascii="宋体" w:hAnsi="宋体" w:cs="宋体"/>
          <w:szCs w:val="21"/>
          <w:highlight w:val="none"/>
        </w:rPr>
        <w:t xml:space="preserve">            开户银行:xxxx</w:t>
      </w:r>
    </w:p>
    <w:p w14:paraId="2069F590">
      <w:pPr>
        <w:tabs>
          <w:tab w:val="left" w:pos="480"/>
        </w:tabs>
        <w:spacing w:line="360" w:lineRule="auto"/>
        <w:ind w:firstLine="4200" w:firstLineChars="2000"/>
        <w:rPr>
          <w:rFonts w:ascii="宋体" w:hAnsi="宋体" w:cs="宋体"/>
          <w:szCs w:val="21"/>
          <w:highlight w:val="none"/>
        </w:rPr>
      </w:pPr>
      <w:r>
        <w:rPr>
          <w:rFonts w:hint="eastAsia" w:ascii="宋体" w:hAnsi="宋体" w:cs="宋体"/>
          <w:szCs w:val="21"/>
          <w:highlight w:val="none"/>
        </w:rPr>
        <w:t>帐    号：xxxx</w:t>
      </w:r>
    </w:p>
    <w:p w14:paraId="1440DCA0">
      <w:pPr>
        <w:tabs>
          <w:tab w:val="left" w:pos="480"/>
        </w:tabs>
        <w:spacing w:line="360" w:lineRule="auto"/>
        <w:rPr>
          <w:rFonts w:hint="eastAsia"/>
          <w:highlight w:val="none"/>
          <w:lang w:val="en-US" w:eastAsia="zh-Hans"/>
        </w:rPr>
      </w:pPr>
      <w:r>
        <w:rPr>
          <w:rFonts w:hint="eastAsia" w:ascii="宋体" w:hAnsi="宋体" w:cs="宋体"/>
          <w:szCs w:val="21"/>
          <w:highlight w:val="none"/>
        </w:rPr>
        <w:t>签订日期：202</w:t>
      </w:r>
      <w:r>
        <w:rPr>
          <w:rFonts w:hint="eastAsia" w:ascii="宋体" w:hAnsi="宋体" w:cs="宋体"/>
          <w:szCs w:val="21"/>
          <w:highlight w:val="none"/>
          <w:lang w:val="en-US" w:eastAsia="zh-CN"/>
        </w:rPr>
        <w:t>6</w:t>
      </w:r>
      <w:r>
        <w:rPr>
          <w:rFonts w:hint="eastAsia" w:ascii="宋体" w:hAnsi="宋体" w:cs="宋体"/>
          <w:szCs w:val="21"/>
          <w:highlight w:val="none"/>
        </w:rPr>
        <w:t>年  月  日                签订日期：202</w:t>
      </w:r>
      <w:r>
        <w:rPr>
          <w:rFonts w:hint="eastAsia" w:ascii="宋体" w:hAnsi="宋体" w:cs="宋体"/>
          <w:szCs w:val="21"/>
          <w:highlight w:val="none"/>
          <w:lang w:val="en-US" w:eastAsia="zh-CN"/>
        </w:rPr>
        <w:t>6</w:t>
      </w:r>
      <w:r>
        <w:rPr>
          <w:rFonts w:hint="eastAsia" w:ascii="宋体" w:hAnsi="宋体" w:cs="宋体"/>
          <w:szCs w:val="21"/>
          <w:highlight w:val="none"/>
        </w:rPr>
        <w:t>年  月  日</w:t>
      </w:r>
    </w:p>
    <w:p w14:paraId="3E81A22C"/>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FA6B0F"/>
    <w:rsid w:val="7B433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2606</Words>
  <Characters>2692</Characters>
  <Lines>0</Lines>
  <Paragraphs>0</Paragraphs>
  <TotalTime>0</TotalTime>
  <ScaleCrop>false</ScaleCrop>
  <LinksUpToDate>false</LinksUpToDate>
  <CharactersWithSpaces>2859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2026-06-25T02:07:00Z</dcterms:created>
  <dc:creator>Administrator</dc:creator>
  <cp:lastModifiedBy>庞冰倩</cp:lastModifiedBy>
  <dcterms:modified xsi:type="dcterms:W3CDTF">2026-07-10T01:38:04Z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EDACA20252E44B95B1E23B8FCED2BF29_12</vt:lpwstr>
  </property>
</Properties>
</file>