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版本号：HSGJ2026-167.1B220260721001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社会组织综合服务平台（孵化基地）运营(三次)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HSGJ2026-167.1B2</w:t>
      </w:r>
      <w:r>
        <w:br/>
      </w:r>
      <w:r>
        <w:br/>
      </w:r>
      <w:r>
        <w:br/>
      </w:r>
    </w:p>
    <w:p>
      <w:pPr>
        <w:pStyle w:val="null3"/>
        <w:jc w:val="center"/>
        <w:outlineLvl w:val="2"/>
      </w:pPr>
      <w:r>
        <w:rPr>
          <w:rFonts w:ascii="仿宋_GB2312" w:hAnsi="仿宋_GB2312" w:cs="仿宋_GB2312" w:eastAsia="仿宋_GB2312"/>
          <w:sz w:val="28"/>
          <w:b/>
        </w:rPr>
        <w:t>西安市民政局（本级）</w:t>
      </w:r>
    </w:p>
    <w:p>
      <w:pPr>
        <w:pStyle w:val="null3"/>
        <w:jc w:val="center"/>
        <w:outlineLvl w:val="2"/>
      </w:pPr>
      <w:r>
        <w:rPr>
          <w:rFonts w:ascii="仿宋_GB2312" w:hAnsi="仿宋_GB2312" w:cs="仿宋_GB2312" w:eastAsia="仿宋_GB2312"/>
          <w:sz w:val="28"/>
          <w:b/>
        </w:rPr>
        <w:t>华晟国际项目管理有限公司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华晟国际项目管理有限公司</w:t>
      </w:r>
      <w:r>
        <w:rPr>
          <w:rFonts w:ascii="仿宋_GB2312" w:hAnsi="仿宋_GB2312" w:cs="仿宋_GB2312" w:eastAsia="仿宋_GB2312"/>
        </w:rPr>
        <w:t>（以下简称“代理机构”）受</w:t>
      </w:r>
      <w:r>
        <w:rPr>
          <w:rFonts w:ascii="仿宋_GB2312" w:hAnsi="仿宋_GB2312" w:cs="仿宋_GB2312" w:eastAsia="仿宋_GB2312"/>
        </w:rPr>
        <w:t>西安市民政局（本级）</w:t>
      </w:r>
      <w:r>
        <w:rPr>
          <w:rFonts w:ascii="仿宋_GB2312" w:hAnsi="仿宋_GB2312" w:cs="仿宋_GB2312" w:eastAsia="仿宋_GB2312"/>
        </w:rPr>
        <w:t>委托，拟对</w:t>
      </w:r>
      <w:r>
        <w:rPr>
          <w:rFonts w:ascii="仿宋_GB2312" w:hAnsi="仿宋_GB2312" w:cs="仿宋_GB2312" w:eastAsia="仿宋_GB2312"/>
        </w:rPr>
        <w:t>社会组织综合服务平台（孵化基地）运营(三次)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HSGJ2026-167.1B2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社会组织综合服务平台（孵化基地）运营(三次)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社会组织综合服务平台（孵化基地）运营，具体内容详见第三章。</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1、有效的主体资格证明：提供合格有效的法人或者其他组织的营业执照等证明文件或自然人的身份证明；</w:t>
      </w:r>
    </w:p>
    <w:p>
      <w:pPr>
        <w:pStyle w:val="null3"/>
      </w:pPr>
      <w:r>
        <w:rPr>
          <w:rFonts w:ascii="仿宋_GB2312" w:hAnsi="仿宋_GB2312" w:cs="仿宋_GB2312" w:eastAsia="仿宋_GB2312"/>
        </w:rPr>
        <w:t>2、财务状况报告：提供2025年度的财务审计报告（报告需在注册会计师行业统一监管平台备案赋码）或开标前六个月内其基本存款账户开户银行出具的资信证明（附开户许可证或开户备案证明或基本账户信息）；</w:t>
      </w:r>
    </w:p>
    <w:p>
      <w:pPr>
        <w:pStyle w:val="null3"/>
      </w:pPr>
      <w:r>
        <w:rPr>
          <w:rFonts w:ascii="仿宋_GB2312" w:hAnsi="仿宋_GB2312" w:cs="仿宋_GB2312" w:eastAsia="仿宋_GB2312"/>
        </w:rPr>
        <w:t>3、社会保障资金缴纳证明：提供2026年1月至今已缴存的至少一个月的社会保障资金缴存单据或社保机构开具的社会保险参保缴费情况证明，依法不需要缴纳社会保障资金的单位应提供相关证明材料；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4、税收缴纳证明：提供2026年1月至今已缴纳的至少一个月的纳税证明，依法免税的单位应提供相关证明材料；</w:t>
      </w:r>
    </w:p>
    <w:p>
      <w:pPr>
        <w:pStyle w:val="null3"/>
      </w:pPr>
      <w:r>
        <w:rPr>
          <w:rFonts w:ascii="仿宋_GB2312" w:hAnsi="仿宋_GB2312" w:cs="仿宋_GB2312" w:eastAsia="仿宋_GB2312"/>
        </w:rPr>
        <w:t>5、无重大违法记录声明：近3年内在经营活动中没有重大违法记录的书面声明；</w:t>
      </w:r>
    </w:p>
    <w:p>
      <w:pPr>
        <w:pStyle w:val="null3"/>
      </w:pPr>
      <w:r>
        <w:rPr>
          <w:rFonts w:ascii="仿宋_GB2312" w:hAnsi="仿宋_GB2312" w:cs="仿宋_GB2312" w:eastAsia="仿宋_GB2312"/>
        </w:rPr>
        <w:t>6、专业技术能力证明：具备履行合同所必需的设备和专业技术能力的证明材料(由供应商根据项目需求提供说明材料或者承诺)；</w:t>
      </w:r>
    </w:p>
    <w:p>
      <w:pPr>
        <w:pStyle w:val="null3"/>
      </w:pPr>
      <w:r>
        <w:rPr>
          <w:rFonts w:ascii="仿宋_GB2312" w:hAnsi="仿宋_GB2312" w:cs="仿宋_GB2312" w:eastAsia="仿宋_GB2312"/>
        </w:rPr>
        <w:t>7、信用查询：在“信用中国”网站（www.creditchina.gov.cn）和“中国政府采购网”（ccgp.gov.cn）对响应单位信用信息进行查询，如果响应单位被查实在开标前已列入失信被执行人、重大税收违法失信主体、政府采购严重违法失信行为记录名单，其响应为无效；（以磋商当天代理机构核查为准）。</w:t>
      </w:r>
    </w:p>
    <w:p>
      <w:pPr>
        <w:pStyle w:val="null3"/>
      </w:pPr>
      <w:r>
        <w:rPr>
          <w:rFonts w:ascii="仿宋_GB2312" w:hAnsi="仿宋_GB2312" w:cs="仿宋_GB2312" w:eastAsia="仿宋_GB2312"/>
        </w:rPr>
        <w:t>8、法定代表人委托授权书\身份证明：供应商应授权合法的人员参加磋商全过程，其中法定代表人直接参加磋商的，须出具法定代表人身份证，并与营业执照上信息一致。法定代表人授权代表参加磋商的，须出具法定代表人授权书及授权代表身份证。（其他组织或自然人参照执行）</w:t>
      </w:r>
    </w:p>
    <w:p>
      <w:pPr>
        <w:pStyle w:val="null3"/>
      </w:pPr>
      <w:r>
        <w:rPr>
          <w:rFonts w:ascii="仿宋_GB2312" w:hAnsi="仿宋_GB2312" w:cs="仿宋_GB2312" w:eastAsia="仿宋_GB2312"/>
        </w:rPr>
        <w:t>9、关联关系：单位负责人为同一人或者存在直接控股、管理关系的不同供应商不得参加同一合同项下的政府采购活动；为本项目提供整体设计、规范编制或者项目管理、监理、检测等服务的供应商 ，不得再参加该采购项目的其他采购活动。</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西安市民政局（本级）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西安市凤城八路109号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田老师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029- 67096730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华晟国际项目管理有限公司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西安市高新路88号尚品国际B幢25层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屈晨、杨帆、贾娜娜</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029-81779899转8009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采购包1：850,000.00元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代理服务费收费标准：按照国家计委颁布的《招标代理服务收费管理暂行办法》（计价格 [2002]1980号）和（发改办价格[2003]857号）收费标准计取。银行户名：华晟国际项目管理有限公司 开户银行：建设银行西安劳动路支行 账 号：610501 740015 00000 427 转账事由：HSGJ2026-167项目代理服务费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西安市民政局（本级）</w:t>
      </w:r>
      <w:r>
        <w:rPr>
          <w:rFonts w:ascii="仿宋_GB2312" w:hAnsi="仿宋_GB2312" w:cs="仿宋_GB2312" w:eastAsia="仿宋_GB2312"/>
        </w:rPr>
        <w:t>和</w:t>
      </w:r>
      <w:r>
        <w:rPr>
          <w:rFonts w:ascii="仿宋_GB2312" w:hAnsi="仿宋_GB2312" w:cs="仿宋_GB2312" w:eastAsia="仿宋_GB2312"/>
        </w:rPr>
        <w:t>华晟国际项目管理有限公司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西安市民政局（本级）</w:t>
      </w:r>
      <w:r>
        <w:rPr>
          <w:rFonts w:ascii="仿宋_GB2312" w:hAnsi="仿宋_GB2312" w:cs="仿宋_GB2312" w:eastAsia="仿宋_GB2312"/>
        </w:rPr>
        <w:t>负责解释。除上述磋商文件内容，其他内容由</w:t>
      </w:r>
      <w:r>
        <w:rPr>
          <w:rFonts w:ascii="仿宋_GB2312" w:hAnsi="仿宋_GB2312" w:cs="仿宋_GB2312" w:eastAsia="仿宋_GB2312"/>
        </w:rPr>
        <w:t>华晟国际项目管理有限公司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西安市民政局（本级）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华晟国际项目管理有限公司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详见合同</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60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详见磋商文件及合同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华晟国际项目管理有限公司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华晟国际项目管理有限公司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华晟国际项目管理有限公司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联系人：屈晨、杨帆、贾娜娜</w:t>
      </w:r>
    </w:p>
    <w:p>
      <w:pPr>
        <w:pStyle w:val="null3"/>
      </w:pPr>
      <w:r>
        <w:rPr>
          <w:rFonts w:ascii="仿宋_GB2312" w:hAnsi="仿宋_GB2312" w:cs="仿宋_GB2312" w:eastAsia="仿宋_GB2312"/>
        </w:rPr>
        <w:t>联系电话：029-81779899转8009</w:t>
      </w:r>
    </w:p>
    <w:p>
      <w:pPr>
        <w:pStyle w:val="null3"/>
      </w:pPr>
      <w:r>
        <w:rPr>
          <w:rFonts w:ascii="仿宋_GB2312" w:hAnsi="仿宋_GB2312" w:cs="仿宋_GB2312" w:eastAsia="仿宋_GB2312"/>
        </w:rPr>
        <w:t>地址：西安市高新路88号尚品国际B幢25层</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社会组织综合服务平台（孵化基地）运营</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850,000.00</w:t>
      </w:r>
    </w:p>
    <w:p>
      <w:pPr>
        <w:pStyle w:val="null3"/>
      </w:pPr>
      <w:r>
        <w:rPr>
          <w:rFonts w:ascii="仿宋_GB2312" w:hAnsi="仿宋_GB2312" w:cs="仿宋_GB2312" w:eastAsia="仿宋_GB2312"/>
        </w:rPr>
        <w:t>采购包最高限价（元）: 850,000.00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社会组织综合服务平台（孵化基地）运营</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850,000.00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租赁和商务服务业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标的名称：社会组织综合服务平台（孵化基地）运营</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b/>
              </w:rPr>
              <w:t>一、服务内容</w:t>
            </w:r>
          </w:p>
          <w:p>
            <w:pPr>
              <w:pStyle w:val="null3"/>
              <w:ind w:firstLine="480"/>
              <w:jc w:val="both"/>
            </w:pPr>
            <w:r>
              <w:rPr>
                <w:rFonts w:ascii="仿宋_GB2312" w:hAnsi="仿宋_GB2312" w:cs="仿宋_GB2312" w:eastAsia="仿宋_GB2312"/>
                <w:sz w:val="24"/>
              </w:rPr>
              <w:t>本项目为西安市社会组织综合服务平台（社会组织孵化基地）运营服务采购，采用竞争性磋商方式实施。服务承接主体须严格遵循非营利原则，运营收支仅用于维持场所正常运转，实行保本经营。本次采购依托社会组织孵化基地第三方专业运营优势，联动民政登记管理机关，破解社会组织监管薄弱、培育不足、数字化滞后等问题，落实</w:t>
            </w:r>
            <w:r>
              <w:rPr>
                <w:rFonts w:ascii="仿宋_GB2312" w:hAnsi="仿宋_GB2312" w:cs="仿宋_GB2312" w:eastAsia="仿宋_GB2312"/>
                <w:sz w:val="24"/>
              </w:rPr>
              <w:t>“十五五” 规划中社会组织培育管理、党建引领、数字化治理相关要求，构建 “登记管理机关统筹监管 + 孵化基地实操服务” 协同治理格局，全面提升全市社会组织管理规范化、精细化、数字化水平。本项目择优遴选资源充足、人员配置到位、履约能力强、积极履行社会责任的机构承接平台整体运营及各类服务工作。</w:t>
            </w:r>
          </w:p>
          <w:p>
            <w:pPr>
              <w:pStyle w:val="null3"/>
              <w:jc w:val="both"/>
            </w:pPr>
            <w:r>
              <w:rPr>
                <w:rFonts w:ascii="仿宋_GB2312" w:hAnsi="仿宋_GB2312" w:cs="仿宋_GB2312" w:eastAsia="仿宋_GB2312"/>
                <w:sz w:val="24"/>
                <w:b/>
              </w:rPr>
              <w:t>二、服务要求</w:t>
            </w:r>
          </w:p>
          <w:p>
            <w:pPr>
              <w:pStyle w:val="null3"/>
              <w:ind w:firstLine="480"/>
              <w:jc w:val="both"/>
            </w:pPr>
            <w:r>
              <w:rPr>
                <w:rFonts w:ascii="仿宋_GB2312" w:hAnsi="仿宋_GB2312" w:cs="仿宋_GB2312" w:eastAsia="仿宋_GB2312"/>
                <w:sz w:val="24"/>
              </w:rPr>
              <w:t>（一）基础运营与基础设施配套服务</w:t>
            </w:r>
          </w:p>
          <w:p>
            <w:pPr>
              <w:pStyle w:val="null3"/>
              <w:ind w:firstLine="480"/>
              <w:jc w:val="both"/>
            </w:pPr>
            <w:r>
              <w:rPr>
                <w:rFonts w:ascii="仿宋_GB2312" w:hAnsi="仿宋_GB2312" w:cs="仿宋_GB2312" w:eastAsia="仿宋_GB2312"/>
                <w:sz w:val="24"/>
              </w:rPr>
              <w:t>1.场地及设施运维管理</w:t>
            </w:r>
          </w:p>
          <w:p>
            <w:pPr>
              <w:pStyle w:val="null3"/>
              <w:ind w:firstLine="480"/>
              <w:jc w:val="both"/>
            </w:pPr>
            <w:r>
              <w:rPr>
                <w:rFonts w:ascii="仿宋_GB2312" w:hAnsi="仿宋_GB2312" w:cs="仿宋_GB2312" w:eastAsia="仿宋_GB2312"/>
                <w:sz w:val="24"/>
              </w:rPr>
              <w:t>打造集办公、培训、孵化、展示、交流于一体的综合性社会组织服务阵地，规范设置多功能会议室、共享办公区、路演区、接待服务区、休息区等功能区域。建立完善平台运营管理制度与标准化服务流程，将</w:t>
            </w:r>
            <w:r>
              <w:rPr>
                <w:rFonts w:ascii="仿宋_GB2312" w:hAnsi="仿宋_GB2312" w:cs="仿宋_GB2312" w:eastAsia="仿宋_GB2312"/>
                <w:sz w:val="24"/>
              </w:rPr>
              <w:t>综合服务平台</w:t>
            </w:r>
            <w:r>
              <w:rPr>
                <w:rFonts w:ascii="仿宋_GB2312" w:hAnsi="仿宋_GB2312" w:cs="仿宋_GB2312" w:eastAsia="仿宋_GB2312"/>
                <w:sz w:val="24"/>
              </w:rPr>
              <w:t>办事大厅打造为</w:t>
            </w:r>
            <w:r>
              <w:rPr>
                <w:rFonts w:ascii="仿宋_GB2312" w:hAnsi="仿宋_GB2312" w:cs="仿宋_GB2312" w:eastAsia="仿宋_GB2312"/>
                <w:sz w:val="24"/>
              </w:rPr>
              <w:t>“客厅式” 服务阵地，提供热情、便民、高效服务。</w:t>
            </w:r>
          </w:p>
          <w:p>
            <w:pPr>
              <w:pStyle w:val="null3"/>
              <w:ind w:firstLine="480"/>
              <w:jc w:val="both"/>
            </w:pPr>
            <w:r>
              <w:rPr>
                <w:rFonts w:ascii="仿宋_GB2312" w:hAnsi="仿宋_GB2312" w:cs="仿宋_GB2312" w:eastAsia="仿宋_GB2312"/>
                <w:sz w:val="24"/>
              </w:rPr>
              <w:t>落实设施设备日常巡检、维保工作，建立</w:t>
            </w:r>
            <w:r>
              <w:rPr>
                <w:rFonts w:ascii="仿宋_GB2312" w:hAnsi="仿宋_GB2312" w:cs="仿宋_GB2312" w:eastAsia="仿宋_GB2312"/>
                <w:sz w:val="24"/>
              </w:rPr>
              <w:t>7×24 小时维修响应机制，制定安全管理及应急处置预案，定期开展安全隐患排查，确保平台公共设施、办公设备、智能化系统完好率不低于 98%，保障场地环境整洁、运行安全有序。结合年度工作重点，按需设计制作主题展示墙，展示社会组织发展成果、政策内容、优秀案例等。</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人员配置要求</w:t>
            </w:r>
            <w:r>
              <w:br/>
            </w:r>
            <w:r>
              <w:rPr>
                <w:rFonts w:ascii="仿宋_GB2312" w:hAnsi="仿宋_GB2312" w:cs="仿宋_GB2312" w:eastAsia="仿宋_GB2312"/>
                <w:sz w:val="21"/>
              </w:rPr>
              <w:t xml:space="preserve">     </w:t>
            </w:r>
            <w:r>
              <w:rPr>
                <w:rFonts w:ascii="仿宋_GB2312" w:hAnsi="仿宋_GB2312" w:cs="仿宋_GB2312" w:eastAsia="仿宋_GB2312"/>
                <w:sz w:val="24"/>
              </w:rPr>
              <w:t>承接方须配备不少于</w:t>
            </w:r>
            <w:r>
              <w:rPr>
                <w:rFonts w:ascii="仿宋_GB2312" w:hAnsi="仿宋_GB2312" w:cs="仿宋_GB2312" w:eastAsia="仿宋_GB2312"/>
                <w:sz w:val="24"/>
              </w:rPr>
              <w:t>5</w:t>
            </w:r>
            <w:r>
              <w:rPr>
                <w:rFonts w:ascii="仿宋_GB2312" w:hAnsi="仿宋_GB2312" w:cs="仿宋_GB2312" w:eastAsia="仿宋_GB2312"/>
                <w:sz w:val="24"/>
              </w:rPr>
              <w:t>名专职工作人员，全程负责平台日常管理、窗口接待、事务对接、后勤保障等工作，实行</w:t>
            </w:r>
            <w:r>
              <w:rPr>
                <w:rFonts w:ascii="仿宋_GB2312" w:hAnsi="仿宋_GB2312" w:cs="仿宋_GB2312" w:eastAsia="仿宋_GB2312"/>
                <w:sz w:val="24"/>
              </w:rPr>
              <w:t>AB岗值守制度，保障岗位不缺位、服务不间断。工作人员需熟悉社会组织相关政策法规，具备政务服务、活动组织、数字化操作等专业能力。</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二）</w:t>
            </w:r>
            <w:r>
              <w:rPr>
                <w:rFonts w:ascii="仿宋_GB2312" w:hAnsi="仿宋_GB2312" w:cs="仿宋_GB2312" w:eastAsia="仿宋_GB2312"/>
                <w:sz w:val="24"/>
              </w:rPr>
              <w:t>全周期培育与专业化能力建设服务</w:t>
            </w:r>
          </w:p>
          <w:p>
            <w:pPr>
              <w:pStyle w:val="null3"/>
              <w:ind w:firstLine="480"/>
              <w:jc w:val="both"/>
            </w:pPr>
            <w:r>
              <w:rPr>
                <w:rFonts w:ascii="仿宋_GB2312" w:hAnsi="仿宋_GB2312" w:cs="仿宋_GB2312" w:eastAsia="仿宋_GB2312"/>
                <w:sz w:val="24"/>
              </w:rPr>
              <w:t>构建</w:t>
            </w:r>
            <w:r>
              <w:rPr>
                <w:rFonts w:ascii="仿宋_GB2312" w:hAnsi="仿宋_GB2312" w:cs="仿宋_GB2312" w:eastAsia="仿宋_GB2312"/>
                <w:sz w:val="24"/>
              </w:rPr>
              <w:t>“前置</w:t>
            </w:r>
            <w:r>
              <w:rPr>
                <w:rFonts w:ascii="仿宋_GB2312" w:hAnsi="仿宋_GB2312" w:cs="仿宋_GB2312" w:eastAsia="仿宋_GB2312"/>
                <w:sz w:val="24"/>
              </w:rPr>
              <w:t>服务</w:t>
            </w:r>
            <w:r>
              <w:rPr>
                <w:rFonts w:ascii="仿宋_GB2312" w:hAnsi="仿宋_GB2312" w:cs="仿宋_GB2312" w:eastAsia="仿宋_GB2312"/>
                <w:sz w:val="24"/>
              </w:rPr>
              <w:t xml:space="preserve"> </w:t>
            </w:r>
            <w:r>
              <w:rPr>
                <w:rFonts w:ascii="仿宋_GB2312" w:hAnsi="仿宋_GB2312" w:cs="仿宋_GB2312" w:eastAsia="仿宋_GB2312"/>
                <w:sz w:val="24"/>
              </w:rPr>
              <w:t>+ 在岗培育 + 精准帮扶”全周期培育体系，补齐社会组织培育短板，提升机构规范运营能力。</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登记前置一站式指导。在社会组织成立登记阶段，提供材料填报、流程咨询等全流程前置服务，参照政务服务标准模板规范申报材料，从源头提升登记质量。</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常态化专题培训服务。结合民政工作部署，围绕政策法规、内部治理、财务规范、项目运营、风险防控、党建工作、年检年报、合规运营等内容制定年度培训计划，采用线上线下相结合形式开展培训，年度累计培训人次不少于</w:t>
            </w:r>
            <w:r>
              <w:rPr>
                <w:rFonts w:ascii="仿宋_GB2312" w:hAnsi="仿宋_GB2312" w:cs="仿宋_GB2312" w:eastAsia="仿宋_GB2312"/>
                <w:sz w:val="24"/>
              </w:rPr>
              <w:t>2</w:t>
            </w:r>
            <w:r>
              <w:rPr>
                <w:rFonts w:ascii="仿宋_GB2312" w:hAnsi="仿宋_GB2312" w:cs="仿宋_GB2312" w:eastAsia="仿宋_GB2312"/>
                <w:sz w:val="24"/>
              </w:rPr>
              <w:t>5</w:t>
            </w:r>
            <w:r>
              <w:rPr>
                <w:rFonts w:ascii="仿宋_GB2312" w:hAnsi="仿宋_GB2312" w:cs="仿宋_GB2312" w:eastAsia="仿宋_GB2312"/>
                <w:sz w:val="24"/>
              </w:rPr>
              <w:t>00人次。针对治理薄弱、运营不规范的社会组织，开展“一对一”专项辅导。</w:t>
            </w:r>
            <w:r>
              <w:br/>
            </w:r>
            <w:r>
              <w:rPr>
                <w:rFonts w:ascii="仿宋_GB2312" w:hAnsi="仿宋_GB2312" w:cs="仿宋_GB2312" w:eastAsia="仿宋_GB2312"/>
                <w:sz w:val="21"/>
              </w:rPr>
              <w:t xml:space="preserve">    </w:t>
            </w:r>
            <w:r>
              <w:rPr>
                <w:rFonts w:ascii="仿宋_GB2312" w:hAnsi="仿宋_GB2312" w:cs="仿宋_GB2312" w:eastAsia="仿宋_GB2312"/>
                <w:sz w:val="24"/>
              </w:rPr>
              <w:t>所有培训须留存签到表、课程表、现场影像资料，培训经费按照市财政统一标准执行，涵盖师资、资料、会务、餐费等相关费用。</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精准结对帮扶。针对排查出的内部治理混乱、活动开展不规范的社会组织，组建专项帮扶小组，制定个性化帮扶方案，协助完善章程、健全管理制度、规范活动流程。搭建</w:t>
            </w:r>
            <w:r>
              <w:rPr>
                <w:rFonts w:ascii="仿宋_GB2312" w:hAnsi="仿宋_GB2312" w:cs="仿宋_GB2312" w:eastAsia="仿宋_GB2312"/>
                <w:sz w:val="24"/>
              </w:rPr>
              <w:t>社会组织</w:t>
            </w:r>
            <w:r>
              <w:rPr>
                <w:rFonts w:ascii="仿宋_GB2312" w:hAnsi="仿宋_GB2312" w:cs="仿宋_GB2312" w:eastAsia="仿宋_GB2312"/>
                <w:sz w:val="24"/>
              </w:rPr>
              <w:t>交流渠道，组织优秀社会组织与薄弱机构结对共建，分享运营管理经验，实现整体能力提升。</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三</w:t>
            </w:r>
            <w:r>
              <w:rPr>
                <w:rFonts w:ascii="仿宋_GB2312" w:hAnsi="仿宋_GB2312" w:cs="仿宋_GB2312" w:eastAsia="仿宋_GB2312"/>
                <w:sz w:val="24"/>
              </w:rPr>
              <w:t>）资源整合、品牌打造与宣传运营</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资源整合与交流活动</w:t>
            </w:r>
          </w:p>
          <w:p>
            <w:pPr>
              <w:pStyle w:val="null3"/>
              <w:ind w:firstLine="480"/>
              <w:jc w:val="both"/>
            </w:pPr>
            <w:r>
              <w:rPr>
                <w:rFonts w:ascii="仿宋_GB2312" w:hAnsi="仿宋_GB2312" w:cs="仿宋_GB2312" w:eastAsia="仿宋_GB2312"/>
                <w:sz w:val="24"/>
              </w:rPr>
              <w:t>搭建</w:t>
            </w:r>
            <w:r>
              <w:rPr>
                <w:rFonts w:ascii="仿宋_GB2312" w:hAnsi="仿宋_GB2312" w:cs="仿宋_GB2312" w:eastAsia="仿宋_GB2312"/>
                <w:sz w:val="24"/>
              </w:rPr>
              <w:t>“政社校企” 联动服务平台，组建社会组织专家智库，引导社会组织深度参与基层党建、养老助残、儿童关爱、基层治理等民生服务领域。按要求开展各类交流展示活动：</w:t>
            </w:r>
            <w:r>
              <w:br/>
            </w:r>
            <w:r>
              <w:rPr>
                <w:rFonts w:ascii="仿宋_GB2312" w:hAnsi="仿宋_GB2312" w:cs="仿宋_GB2312" w:eastAsia="仿宋_GB2312"/>
                <w:sz w:val="21"/>
              </w:rPr>
              <w:t xml:space="preserve">     </w:t>
            </w:r>
            <w:r>
              <w:rPr>
                <w:rFonts w:ascii="仿宋_GB2312" w:hAnsi="仿宋_GB2312" w:cs="仿宋_GB2312" w:eastAsia="仿宋_GB2312"/>
                <w:sz w:val="24"/>
              </w:rPr>
              <w:t>（</w:t>
            </w:r>
            <w:r>
              <w:rPr>
                <w:rFonts w:ascii="仿宋_GB2312" w:hAnsi="仿宋_GB2312" w:cs="仿宋_GB2312" w:eastAsia="仿宋_GB2312"/>
                <w:sz w:val="24"/>
              </w:rPr>
              <w:t>1）举办西安市社会组织高质量发展品牌展示交流活动不少于 4 期，每期邀请不少于 30 家行业标杆社会组织负责人参与，促进资源互通、经验共享；</w:t>
            </w:r>
            <w:r>
              <w:br/>
            </w:r>
            <w:r>
              <w:rPr>
                <w:rFonts w:ascii="仿宋_GB2312" w:hAnsi="仿宋_GB2312" w:cs="仿宋_GB2312" w:eastAsia="仿宋_GB2312"/>
                <w:sz w:val="21"/>
              </w:rPr>
              <w:t xml:space="preserve">     </w:t>
            </w:r>
            <w:r>
              <w:rPr>
                <w:rFonts w:ascii="仿宋_GB2312" w:hAnsi="仿宋_GB2312" w:cs="仿宋_GB2312" w:eastAsia="仿宋_GB2312"/>
                <w:sz w:val="24"/>
              </w:rPr>
              <w:t>（</w:t>
            </w:r>
            <w:r>
              <w:rPr>
                <w:rFonts w:ascii="仿宋_GB2312" w:hAnsi="仿宋_GB2312" w:cs="仿宋_GB2312" w:eastAsia="仿宋_GB2312"/>
                <w:sz w:val="24"/>
              </w:rPr>
              <w:t>2）打造“社启长安”特色品牌活动不少于 6 期，孵化落地可落地、有实效的民生服务项目，提升社会组织服务覆盖面与专业性；</w:t>
            </w:r>
            <w:r>
              <w:br/>
            </w:r>
            <w:r>
              <w:rPr>
                <w:rFonts w:ascii="仿宋_GB2312" w:hAnsi="仿宋_GB2312" w:cs="仿宋_GB2312" w:eastAsia="仿宋_GB2312"/>
                <w:sz w:val="21"/>
              </w:rPr>
              <w:t xml:space="preserve">     </w:t>
            </w:r>
            <w:r>
              <w:rPr>
                <w:rFonts w:ascii="仿宋_GB2312" w:hAnsi="仿宋_GB2312" w:cs="仿宋_GB2312" w:eastAsia="仿宋_GB2312"/>
                <w:sz w:val="24"/>
              </w:rPr>
              <w:t>（</w:t>
            </w:r>
            <w:r>
              <w:rPr>
                <w:rFonts w:ascii="仿宋_GB2312" w:hAnsi="仿宋_GB2312" w:cs="仿宋_GB2312" w:eastAsia="仿宋_GB2312"/>
                <w:sz w:val="24"/>
              </w:rPr>
              <w:t>3）组织优秀品牌社会组织负责人外出交流学习1次，遴选不少于 15名机构代表赴先进地区考察学习，形成专项调研报告。</w:t>
            </w:r>
            <w:r>
              <w:br/>
            </w:r>
            <w:r>
              <w:rPr>
                <w:rFonts w:ascii="仿宋_GB2312" w:hAnsi="仿宋_GB2312" w:cs="仿宋_GB2312" w:eastAsia="仿宋_GB2312"/>
                <w:sz w:val="24"/>
              </w:rPr>
              <w:t>以上活动均需留存签到册、影像资料、成果材料，费用按照市财政标准据实结算。</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外出学习要求。外出交流学习活动结束后，须整理考察资料、总结先进经验，形成完整调研报告，供全市社会组织参考借鉴。</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官方宣传运营。专人负责</w:t>
            </w:r>
            <w:r>
              <w:rPr>
                <w:rFonts w:ascii="仿宋_GB2312" w:hAnsi="仿宋_GB2312" w:cs="仿宋_GB2312" w:eastAsia="仿宋_GB2312"/>
                <w:sz w:val="24"/>
              </w:rPr>
              <w:t>“西安社会组织动态” 官方公众号日常运营，聚焦政策解读、机构动态、公益项目、组织风采、典型案例等内容，开设优秀负责人专访、特色活动展示等专栏，通过图文、短视频等形式开展宣传，将公众号打造为政府、社会组织、社会公众互动交流的信息枢纽与形象窗口。</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四</w:t>
            </w:r>
            <w:r>
              <w:rPr>
                <w:rFonts w:ascii="仿宋_GB2312" w:hAnsi="仿宋_GB2312" w:cs="仿宋_GB2312" w:eastAsia="仿宋_GB2312"/>
                <w:sz w:val="24"/>
              </w:rPr>
              <w:t>）</w:t>
            </w:r>
            <w:r>
              <w:rPr>
                <w:rFonts w:ascii="仿宋_GB2312" w:hAnsi="仿宋_GB2312" w:cs="仿宋_GB2312" w:eastAsia="仿宋_GB2312"/>
                <w:sz w:val="24"/>
              </w:rPr>
              <w:t>党建工作</w:t>
            </w:r>
          </w:p>
          <w:p>
            <w:pPr>
              <w:pStyle w:val="null3"/>
              <w:ind w:firstLine="480"/>
              <w:jc w:val="both"/>
            </w:pPr>
            <w:r>
              <w:rPr>
                <w:rFonts w:ascii="仿宋_GB2312" w:hAnsi="仿宋_GB2312" w:cs="仿宋_GB2312" w:eastAsia="仿宋_GB2312"/>
                <w:sz w:val="24"/>
              </w:rPr>
              <w:t>积极搭建党建工作交流平台，定期组织内外党建经验研讨、观摩学习活动，结合全年开展不少于</w:t>
            </w:r>
            <w:r>
              <w:rPr>
                <w:rFonts w:ascii="仿宋_GB2312" w:hAnsi="仿宋_GB2312" w:cs="仿宋_GB2312" w:eastAsia="仿宋_GB2312"/>
                <w:sz w:val="24"/>
              </w:rPr>
              <w:t>6次党建培训开展互动交流，依托星级党组织专项培训互通工作方法。在交流互鉴中补齐短板、提炼亮点，持续深化特色党建品牌建设，推动党建工作提质增效、走深走实。</w:t>
            </w:r>
          </w:p>
          <w:p>
            <w:pPr>
              <w:pStyle w:val="null3"/>
              <w:jc w:val="both"/>
            </w:pPr>
            <w:r>
              <w:rPr>
                <w:rFonts w:ascii="仿宋_GB2312" w:hAnsi="仿宋_GB2312" w:cs="仿宋_GB2312" w:eastAsia="仿宋_GB2312"/>
                <w:sz w:val="24"/>
                <w:b/>
              </w:rPr>
              <w:t>三、服务标准</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所有服务工作严格遵守《社会组织登记管理条例》《民办非企业单位登记管理暂行条例》《慈善法》及国家、省、市关于社会组织管理、档案管理、政务服务、安全生产等现行法律法规、行业规范及民政部门各项工作要求。</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服务流程标准化、服务态度文明规范，各项台账、档案、培训、活动资料完整规范，做到全程可查、可追溯。</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数据采集、信息上报真实、准确、及时，严格落实数据安全与保密要求，严禁信息泄露</w:t>
            </w:r>
          </w:p>
          <w:p>
            <w:pPr>
              <w:pStyle w:val="null3"/>
              <w:ind w:firstLine="480"/>
              <w:jc w:val="both"/>
            </w:pPr>
            <w:r>
              <w:rPr>
                <w:rFonts w:ascii="仿宋_GB2312" w:hAnsi="仿宋_GB2312" w:cs="仿宋_GB2312" w:eastAsia="仿宋_GB2312"/>
                <w:sz w:val="24"/>
              </w:rPr>
              <w:t>4.</w:t>
            </w:r>
            <w:r>
              <w:rPr>
                <w:rFonts w:ascii="仿宋_GB2312" w:hAnsi="仿宋_GB2312" w:cs="仿宋_GB2312" w:eastAsia="仿宋_GB2312"/>
                <w:sz w:val="24"/>
              </w:rPr>
              <w:t>各项培训、品牌活动、交流学习按时保质完成，达到既定服务成效。</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供应商根据服务要求自行响应</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供应商根据服务要求自行响应</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详见磋商文件及合同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预付款，合同签订后，达到付款条件起15个工作日内，支付合同总金额的50.0%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进度款，服务期满半年且履约考核合格后，达到付款条件起15个工作日内，支付合同总金额的35.0%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进度款，服务期满、整体项目验收合格后，达到付款条件起15个工作日内，支付合同总金额的15.0%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详见磋商文件及合同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（1）服务范围：社会组织综合服务平台（孵化基地）运营；（2）服务要求：满足采购需求及磋商文件要求； （3）服务标准： 满足采购需求及磋商文件要求。</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4资质证明文件（参考格式）.docx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提供合格有效的法人或者其他组织的营业执照等证明文件或自然人的身份证明；</w:t>
            </w:r>
          </w:p>
        </w:tc>
        <w:tc>
          <w:tcPr>
            <w:tcW w:type="dxa" w:w="1661"/>
          </w:tcPr>
          <w:p>
            <w:pPr>
              <w:pStyle w:val="null3"/>
            </w:pPr>
            <w:r>
              <w:rPr>
                <w:rFonts w:ascii="仿宋_GB2312" w:hAnsi="仿宋_GB2312" w:cs="仿宋_GB2312" w:eastAsia="仿宋_GB2312"/>
              </w:rPr>
              <w:t>4资质证明文件（参考格式）.docx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提供2025年度的财务审计报告（报告需在注册会计师行业统一监管平台备案赋码）或开标前六个月内其基本存款账户开户银行出具的资信证明（附开户许可证或开户备案证明或基本账户信息）；</w:t>
            </w:r>
          </w:p>
        </w:tc>
        <w:tc>
          <w:tcPr>
            <w:tcW w:type="dxa" w:w="1661"/>
          </w:tcPr>
          <w:p>
            <w:pPr>
              <w:pStyle w:val="null3"/>
            </w:pPr>
            <w:r>
              <w:rPr>
                <w:rFonts w:ascii="仿宋_GB2312" w:hAnsi="仿宋_GB2312" w:cs="仿宋_GB2312" w:eastAsia="仿宋_GB2312"/>
              </w:rPr>
              <w:t>4资质证明文件（参考格式）.docx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提供2026年1月至今已缴存的至少一个月的社会保障资金缴存单据或社保机构开具的社会保险参保缴费情况证明，依法不需要缴纳社会保障资金的单位应提供相关证明材料；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4资质证明文件（参考格式）.docx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提供2026年1月至今已缴纳的至少一个月的纳税证明，依法免税的单位应提供相关证明材料；</w:t>
            </w:r>
          </w:p>
        </w:tc>
        <w:tc>
          <w:tcPr>
            <w:tcW w:type="dxa" w:w="1661"/>
          </w:tcPr>
          <w:p>
            <w:pPr>
              <w:pStyle w:val="null3"/>
            </w:pPr>
            <w:r>
              <w:rPr>
                <w:rFonts w:ascii="仿宋_GB2312" w:hAnsi="仿宋_GB2312" w:cs="仿宋_GB2312" w:eastAsia="仿宋_GB2312"/>
              </w:rPr>
              <w:t>4资质证明文件（参考格式）.docx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近3年内在经营活动中没有重大违法记录的书面声明；</w:t>
            </w:r>
          </w:p>
        </w:tc>
        <w:tc>
          <w:tcPr>
            <w:tcW w:type="dxa" w:w="1661"/>
          </w:tcPr>
          <w:p>
            <w:pPr>
              <w:pStyle w:val="null3"/>
            </w:pPr>
            <w:r>
              <w:rPr>
                <w:rFonts w:ascii="仿宋_GB2312" w:hAnsi="仿宋_GB2312" w:cs="仿宋_GB2312" w:eastAsia="仿宋_GB2312"/>
              </w:rPr>
              <w:t>4资质证明文件（参考格式）.docx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专业技术能力证明</w:t>
            </w:r>
          </w:p>
        </w:tc>
        <w:tc>
          <w:tcPr>
            <w:tcW w:type="dxa" w:w="3322"/>
          </w:tcPr>
          <w:p>
            <w:pPr>
              <w:pStyle w:val="null3"/>
            </w:pPr>
            <w:r>
              <w:rPr>
                <w:rFonts w:ascii="仿宋_GB2312" w:hAnsi="仿宋_GB2312" w:cs="仿宋_GB2312" w:eastAsia="仿宋_GB2312"/>
              </w:rPr>
              <w:t>具备履行合同所必需的设备和专业技术能力的证明材料(由供应商根据项目需求提供说明材料或者承诺)；</w:t>
            </w:r>
          </w:p>
        </w:tc>
        <w:tc>
          <w:tcPr>
            <w:tcW w:type="dxa" w:w="1661"/>
          </w:tcPr>
          <w:p>
            <w:pPr>
              <w:pStyle w:val="null3"/>
            </w:pPr>
            <w:r>
              <w:rPr>
                <w:rFonts w:ascii="仿宋_GB2312" w:hAnsi="仿宋_GB2312" w:cs="仿宋_GB2312" w:eastAsia="仿宋_GB2312"/>
              </w:rPr>
              <w:t>4资质证明文件（参考格式）.docx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在“信用中国”网站（www.creditchina.gov.cn）和“中国政府采购网”（ccgp.gov.cn）对响应单位信用信息进行查询，如果响应单位被查实在开标前已列入失信被执行人、重大税收违法失信主体、政府采购严重违法失信行为记录名单，其响应为无效；（以磋商当天代理机构核查为准）。</w:t>
            </w:r>
          </w:p>
        </w:tc>
        <w:tc>
          <w:tcPr>
            <w:tcW w:type="dxa" w:w="1661"/>
          </w:tcPr>
          <w:p>
            <w:pPr>
              <w:pStyle w:val="null3"/>
            </w:pPr>
            <w:r>
              <w:rPr>
                <w:rFonts w:ascii="仿宋_GB2312" w:hAnsi="仿宋_GB2312" w:cs="仿宋_GB2312" w:eastAsia="仿宋_GB2312"/>
              </w:rPr>
              <w:t>4资质证明文件（参考格式）.docx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法定代表人委托授权书\身份证明</w:t>
            </w:r>
          </w:p>
        </w:tc>
        <w:tc>
          <w:tcPr>
            <w:tcW w:type="dxa" w:w="3322"/>
          </w:tcPr>
          <w:p>
            <w:pPr>
              <w:pStyle w:val="null3"/>
            </w:pPr>
            <w:r>
              <w:rPr>
                <w:rFonts w:ascii="仿宋_GB2312" w:hAnsi="仿宋_GB2312" w:cs="仿宋_GB2312" w:eastAsia="仿宋_GB2312"/>
              </w:rPr>
              <w:t>供应商应授权合法的人员参加磋商全过程，其中法定代表人直接参加磋商的，须出具法定代表人身份证，并与营业执照上信息一致。法定代表人授权代表参加磋商的，须出具法定代表人授权书及授权代表身份证。（其他组织或自然人参照执行）</w:t>
            </w:r>
          </w:p>
        </w:tc>
        <w:tc>
          <w:tcPr>
            <w:tcW w:type="dxa" w:w="1661"/>
          </w:tcPr>
          <w:p>
            <w:pPr>
              <w:pStyle w:val="null3"/>
            </w:pPr>
            <w:r>
              <w:rPr>
                <w:rFonts w:ascii="仿宋_GB2312" w:hAnsi="仿宋_GB2312" w:cs="仿宋_GB2312" w:eastAsia="仿宋_GB2312"/>
              </w:rPr>
              <w:t>4资质证明文件（参考格式）.docx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关联关系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单位负责人为同一人或者存在直接控股、管理关系的不同供应商不得参加同一合同项下的政府采购活动；为本项目提供整体设计、规范编制或者项目管理、监理、检测等服务的供应商 ，不得再参加该采购项目的其他采购活动。</w:t>
            </w:r>
          </w:p>
        </w:tc>
        <w:tc>
          <w:tcPr>
            <w:tcW w:type="dxa" w:w="1661"/>
          </w:tcPr>
          <w:p>
            <w:pPr>
              <w:pStyle w:val="null3"/>
            </w:pPr>
            <w:r>
              <w:rPr>
                <w:rFonts w:ascii="仿宋_GB2312" w:hAnsi="仿宋_GB2312" w:cs="仿宋_GB2312" w:eastAsia="仿宋_GB2312"/>
              </w:rPr>
              <w:t>4资质证明文件（参考格式）.docx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与项目的一致性</w:t>
            </w:r>
          </w:p>
        </w:tc>
        <w:tc>
          <w:tcPr>
            <w:tcW w:type="dxa" w:w="3322"/>
          </w:tcPr>
          <w:p>
            <w:pPr>
              <w:pStyle w:val="null3"/>
            </w:pPr>
            <w:r>
              <w:rPr>
                <w:rFonts w:ascii="仿宋_GB2312" w:hAnsi="仿宋_GB2312" w:cs="仿宋_GB2312" w:eastAsia="仿宋_GB2312"/>
              </w:rPr>
              <w:t>磋商内容未出现漏项或数量与要求不符，未出现重大负偏差；</w:t>
            </w:r>
          </w:p>
        </w:tc>
        <w:tc>
          <w:tcPr>
            <w:tcW w:type="dxa" w:w="1661"/>
          </w:tcPr>
          <w:p>
            <w:pPr>
              <w:pStyle w:val="null3"/>
            </w:pPr>
            <w:r>
              <w:rPr>
                <w:rFonts w:ascii="仿宋_GB2312" w:hAnsi="仿宋_GB2312" w:cs="仿宋_GB2312" w:eastAsia="仿宋_GB2312"/>
              </w:rPr>
              <w:t>3商务响应表.docx 2服务要求响应表.docx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w:t>
            </w:r>
          </w:p>
        </w:tc>
        <w:tc>
          <w:tcPr>
            <w:tcW w:type="dxa" w:w="3322"/>
          </w:tcPr>
          <w:p>
            <w:pPr>
              <w:pStyle w:val="null3"/>
            </w:pPr>
            <w:r>
              <w:rPr>
                <w:rFonts w:ascii="仿宋_GB2312" w:hAnsi="仿宋_GB2312" w:cs="仿宋_GB2312" w:eastAsia="仿宋_GB2312"/>
              </w:rPr>
              <w:t>磋商响应文件的签署、加盖公章有效；</w:t>
            </w:r>
          </w:p>
        </w:tc>
        <w:tc>
          <w:tcPr>
            <w:tcW w:type="dxa" w:w="1661"/>
          </w:tcPr>
          <w:p>
            <w:pPr>
              <w:pStyle w:val="null3"/>
            </w:pPr>
            <w:r>
              <w:rPr>
                <w:rFonts w:ascii="仿宋_GB2312" w:hAnsi="仿宋_GB2312" w:cs="仿宋_GB2312" w:eastAsia="仿宋_GB2312"/>
              </w:rPr>
              <w:t>响应文件封面 6供应商拒绝政府采购领域商业贿赂承诺书.docx 1分项报价表.docx 4资质证明文件（参考格式）.docx 标的清单 报价表 响应函 3商务响应表.docx 2服务要求响应表.docx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磋商响应文件按有效期达到磋商文件的要求；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其他无效情形</w:t>
            </w:r>
          </w:p>
        </w:tc>
        <w:tc>
          <w:tcPr>
            <w:tcW w:type="dxa" w:w="3322"/>
          </w:tcPr>
          <w:p>
            <w:pPr>
              <w:pStyle w:val="null3"/>
            </w:pPr>
            <w:r>
              <w:rPr>
                <w:rFonts w:ascii="仿宋_GB2312" w:hAnsi="仿宋_GB2312" w:cs="仿宋_GB2312" w:eastAsia="仿宋_GB2312"/>
              </w:rPr>
              <w:t>完全理解并接受法律法规和磋商文件对供应商合法经营的各类规约和责任义务要求，未出现法律、法规或磋商文件规定的其他无效情形的；</w:t>
            </w:r>
          </w:p>
        </w:tc>
        <w:tc>
          <w:tcPr>
            <w:tcW w:type="dxa" w:w="1661"/>
          </w:tcPr>
          <w:p>
            <w:pPr>
              <w:pStyle w:val="null3"/>
            </w:pPr>
            <w:r>
              <w:rPr>
                <w:rFonts w:ascii="仿宋_GB2312" w:hAnsi="仿宋_GB2312" w:cs="仿宋_GB2312" w:eastAsia="仿宋_GB2312"/>
              </w:rPr>
              <w:t>响应文件封面 6供应商拒绝政府采购领域商业贿赂承诺书.docx 1分项报价表.docx 4资质证明文件（参考格式）.docx 标的清单 报价表 响应函 3商务响应表.docx 2服务要求响应表.docx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根据财政部《关于推动解决政府采购异常低价问题的通知》（财库〔2026〕2号）出现下列情形之一的，评审委员会应当启动异常低价投标（响应）审查程序：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相关法律法规对供应商报价有规定的，从其规定。 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1分项报价表.docx 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报价未超过磋商文件中规定的最高限价的。</w:t>
            </w:r>
          </w:p>
        </w:tc>
        <w:tc>
          <w:tcPr>
            <w:tcW w:type="dxa" w:w="1661"/>
          </w:tcPr>
          <w:p>
            <w:pPr>
              <w:pStyle w:val="null3"/>
            </w:pPr>
            <w:r>
              <w:rPr>
                <w:rFonts w:ascii="仿宋_GB2312" w:hAnsi="仿宋_GB2312" w:cs="仿宋_GB2312" w:eastAsia="仿宋_GB2312"/>
              </w:rPr>
              <w:t>1分项报价表.docx 标的清单 报价表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根据本项目实际需求及特点，制定实施方案，包括：①基础运营与基础设施配套服务方案；②全周期培育与专业化能力建设服务方案；③资源整合、品牌打造与宣传运营方案；④党建工作方案。 二、评审标准 1.完整性：方案必须全面，对评审内容中的各项要求有详细描述； 2.准确性：方案描述准确，没有实质性错误或明显的描述及逻辑错误； 3.可实施性：切合本项目实际情况，提出步骤清晰、合理的方案； 4.针对性：方案能够紧扣项目实际情况，内容科学合理。 三、赋分标准（满分16分） ①基础运营与基础设施配套服务方案：完全满足每个评审标准得1分，有瑕疵得0.5分，有缺项漏项得0分。满分4分。 ②全周期培育与专业化能力建设服务方案：完全满足每个评审标准得1分，有瑕疵得0.5分，有缺项漏项得0分。满分4分。 ③资源整合、品牌打造与宣传运营方案：完全满足每个评审标准得1分，有瑕疵得0.5分，有缺项漏项得0分。满分4分。 ④党建工作方案：完全满足每个评审标准得1分，有瑕疵得0.5分，有缺项漏项得0分。满分4分。 备注：瑕疵是指存在不完全满足评分标准，但项目仍可实施。缺项漏项是指不满足评分标准，严重影响项目实施。</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5服务方案.docx</w:t>
            </w:r>
          </w:p>
        </w:tc>
      </w:tr>
      <w:tr>
        <w:tc>
          <w:tcPr>
            <w:tcW w:type="dxa" w:w="831"/>
            <w:vMerge/>
          </w:tcPr>
          <w:p/>
        </w:tc>
        <w:tc>
          <w:tcPr>
            <w:tcW w:type="dxa" w:w="1661"/>
          </w:tcPr>
          <w:p>
            <w:pPr>
              <w:pStyle w:val="null3"/>
            </w:pPr>
            <w:r>
              <w:rPr>
                <w:rFonts w:ascii="仿宋_GB2312" w:hAnsi="仿宋_GB2312" w:cs="仿宋_GB2312" w:eastAsia="仿宋_GB2312"/>
              </w:rPr>
              <w:t>进度保障方案</w:t>
            </w:r>
          </w:p>
        </w:tc>
        <w:tc>
          <w:tcPr>
            <w:tcW w:type="dxa" w:w="2492"/>
          </w:tcPr>
          <w:p>
            <w:pPr>
              <w:pStyle w:val="null3"/>
            </w:pPr>
            <w:r>
              <w:rPr>
                <w:rFonts w:ascii="仿宋_GB2312" w:hAnsi="仿宋_GB2312" w:cs="仿宋_GB2312" w:eastAsia="仿宋_GB2312"/>
              </w:rPr>
              <w:t>一、评审内容 根据本项目实际需求及特点，制定进度保障方案，包括：①进度计划及目标；②进度控制措施。 二、评审标准 1.准确性：方案描述准确，没有实质性错误或明显的描述及逻辑错误； 2.可实施性：切合本项目实际情况，提出步骤清晰、合理的方案； 3针对性：方案能够紧扣项目实际情况，内容科学合理。 三、赋分标准（满分6分） ①进度计划及目标；完全满足每个评审标准得1分，有瑕疵得0.5分，有缺项漏项得0分。满分3分。 ②进度控制措施：完全满足每个评审标准得1分，有瑕疵得 0.5分，有缺项漏项得0分。满分3分。 备注：瑕疵是指存在不完全满足评分标准，但项目仍可实施。缺项漏项是指不满足评分标准，严重影响项目实施。</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5服务方案.docx</w:t>
            </w:r>
          </w:p>
        </w:tc>
      </w:tr>
      <w:tr>
        <w:tc>
          <w:tcPr>
            <w:tcW w:type="dxa" w:w="831"/>
            <w:vMerge/>
          </w:tcPr>
          <w:p/>
        </w:tc>
        <w:tc>
          <w:tcPr>
            <w:tcW w:type="dxa" w:w="1661"/>
          </w:tcPr>
          <w:p>
            <w:pPr>
              <w:pStyle w:val="null3"/>
            </w:pPr>
            <w:r>
              <w:rPr>
                <w:rFonts w:ascii="仿宋_GB2312" w:hAnsi="仿宋_GB2312" w:cs="仿宋_GB2312" w:eastAsia="仿宋_GB2312"/>
              </w:rPr>
              <w:t>培训制度</w:t>
            </w:r>
          </w:p>
        </w:tc>
        <w:tc>
          <w:tcPr>
            <w:tcW w:type="dxa" w:w="2492"/>
          </w:tcPr>
          <w:p>
            <w:pPr>
              <w:pStyle w:val="null3"/>
            </w:pPr>
            <w:r>
              <w:rPr>
                <w:rFonts w:ascii="仿宋_GB2312" w:hAnsi="仿宋_GB2312" w:cs="仿宋_GB2312" w:eastAsia="仿宋_GB2312"/>
              </w:rPr>
              <w:t>一、评审内容 根据本项目实际需求及特点，制定培训制度方案，包括①有实质性培训图文案例②保证培训人员的专业能力素质③有完善的专家智库。 二、评审标准 1.准确性：方案描述准确，没有实质性错误或明显的描述及逻辑错误； 2.可实施性：切合本项目实际情况，提出步骤清晰、合理的方案； 3.针对性：方案能够紧扣项目实际情况，内容科学合理。 三、赋分标准（满分9分） ①实质性培训图文案例：完全满足每个评审标准得1分，有瑕疵得0.5分，有缺项漏项得0分。满分3分。 ②保证培训人员的专业能力素质：完全满足每个评审标准得 1分，有瑕疵得0.5分，有缺项漏项得0分。满分3分。 ③完善的专家智库：完全满足每个评审标准得1分，有瑕疵得0.5分，有缺项漏项得0分。满分3分。 备注：瑕疵是指存在不完全满足评分标准，但项目仍可实施。缺项漏项是指不满足评分标准，严重影响项目实施。</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5服务方案.docx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 根据本项目实际需求及特点。提供应急预案，包括①公众号设施设备的瘫痪②敏感内容③培训时的突发状况（人员的安全） 二、评审标准 1.准确性：方案描述准确，没有实质性错误或明显的描述及逻辑错误； 2.可实施性：切合本项目实际情况，提出步骤清晰、合理的方案； 3.针对性：方案能够紧扣项目实际情况，内容科学合理。 三、赋分标准（满分9分） ①公众号设施设备的瘫痪：完全满足每个评审标准得 1 分，有瑕疵得0.5分，有缺项漏项得0分。满分3分。 ②敏感内容：完全满足每个评审标准得1分，有瑕疵得0.5分，有缺项漏项得0分。满分3分。 ③培训时的突发状况（人员的安全）：完全满足每个评审标准得1分，有瑕疵得0.5分，有缺项漏项得0分。满分3分。 备注：瑕疵是指存在不完全满足评分标准，但项目仍可实施。缺项漏项是指不满足评分标准，严重影响项目实施。</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5服务方案.docx</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一、评审内容及标准 1.项目负责人具有5年及以上的工作经验得3分； 2.项目负责人具有类似项目业绩得4分。 二、赋分标准： ①项目负责人工作经验：提供承诺函 ②项目负责人业绩：2022年1月1日至今业绩（以合同复印件加盖公章为准，合同应能显示项目负责人姓名)</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5服务方案.docx</w:t>
            </w:r>
          </w:p>
        </w:tc>
      </w:tr>
      <w:tr>
        <w:tc>
          <w:tcPr>
            <w:tcW w:type="dxa" w:w="831"/>
            <w:vMerge/>
          </w:tcPr>
          <w:p/>
        </w:tc>
        <w:tc>
          <w:tcPr>
            <w:tcW w:type="dxa" w:w="1661"/>
          </w:tcPr>
          <w:p>
            <w:pPr>
              <w:pStyle w:val="null3"/>
            </w:pPr>
            <w:r>
              <w:rPr>
                <w:rFonts w:ascii="仿宋_GB2312" w:hAnsi="仿宋_GB2312" w:cs="仿宋_GB2312" w:eastAsia="仿宋_GB2312"/>
              </w:rPr>
              <w:t>项目整体团队人员配备</w:t>
            </w:r>
          </w:p>
        </w:tc>
        <w:tc>
          <w:tcPr>
            <w:tcW w:type="dxa" w:w="2492"/>
          </w:tcPr>
          <w:p>
            <w:pPr>
              <w:pStyle w:val="null3"/>
            </w:pPr>
            <w:r>
              <w:rPr>
                <w:rFonts w:ascii="仿宋_GB2312" w:hAnsi="仿宋_GB2312" w:cs="仿宋_GB2312" w:eastAsia="仿宋_GB2312"/>
              </w:rPr>
              <w:t>一、评审内容及标准 根据本项目实际需求及特点，提供拟投入的人员，包括①拟投入的人员；②拟投入人员的工作经验。 二、评审标准 ①拟投入的人员：提供拟投入的人员团队清单 ②拟投入人员的工作经验：提供承诺函 三、赋分标准： ①拟投入的人员团队（不包含项目负责人，≥4人）清单（清单内容应包含：具体成员姓名、年龄、学历、专业技能、岗位）得6分。缺项或未提供不得分。 ②拟投入人员（不包含项目负责人）的工作经验：团队每位人员具备2年及以上工作经验得1分，满分4分。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5服务方案.docx</w:t>
            </w:r>
          </w:p>
        </w:tc>
      </w:tr>
      <w:tr>
        <w:tc>
          <w:tcPr>
            <w:tcW w:type="dxa" w:w="831"/>
            <w:vMerge/>
          </w:tcPr>
          <w:p/>
        </w:tc>
        <w:tc>
          <w:tcPr>
            <w:tcW w:type="dxa" w:w="1661"/>
          </w:tcPr>
          <w:p>
            <w:pPr>
              <w:pStyle w:val="null3"/>
            </w:pPr>
            <w:r>
              <w:rPr>
                <w:rFonts w:ascii="仿宋_GB2312" w:hAnsi="仿宋_GB2312" w:cs="仿宋_GB2312" w:eastAsia="仿宋_GB2312"/>
              </w:rPr>
              <w:t>专题培训</w:t>
            </w:r>
          </w:p>
        </w:tc>
        <w:tc>
          <w:tcPr>
            <w:tcW w:type="dxa" w:w="2492"/>
          </w:tcPr>
          <w:p>
            <w:pPr>
              <w:pStyle w:val="null3"/>
            </w:pPr>
            <w:r>
              <w:rPr>
                <w:rFonts w:ascii="仿宋_GB2312" w:hAnsi="仿宋_GB2312" w:cs="仿宋_GB2312" w:eastAsia="仿宋_GB2312"/>
              </w:rPr>
              <w:t>一、评审内容 ①常态化专题培训 ②高质量发展品牌展示交流活动 二、赋分标准： ①供应商需承诺常态化专题培训2500人次，每增加50人次得1分，最高得3分.（需提供承诺函） ②供应商需承诺举办西安市社会组织高质量发展品牌展示交流活动4期，每增加1期得2分，最高得4分（需提供承诺函）</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5服务方案.docx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1.接受采购人对服务的考核、监督及管理，并对服务质量加以改进，确保服务工作的优质高效，得3分。无承诺不得分。（需提供承诺函） 2.团队人员因事、病不能及时上岗时，请调其他服务人员补充，确保各项服务工作正常进行，得3分。无承诺不得分。（需提供承诺函）</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5服务方案.docx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提供2022年1月1日至今类似项目业绩，响应文件中附有其业绩证明材料，业绩以合同或中标（成交）通知书为依据，每提供一个计2分，满分10分。 注：项目负责人业绩不重复计分。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5服务方案.docx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（1）1.投标（响应）报价低于全部通过符合性审查供应商投标（响应）报价平均值50%的，即投标（响应）报价&lt;全部 通过符合性审查供应商投标（响应）报价平均值×50%； 2.投标（响应）报价低于通过符合性审查的次低报价供应商投标（响应）报价50%的，即投标（响应）报价&lt;通过符合性审查的次低报价供应商投标（响应）报价×50%； 3.投标（响应）报价低于采购项⽬最⾼限价45%的，即投标（响应）报价&lt;采购项⽬最⾼限价×45%； 4.评审委员会基于专业判断，认为供应商报价过低，有可能影响产品质量或者不能诚信履约的其他情形。 相关法律法规对供应商报价有规定的，从其规定。 评审委员会启动异常低价投标（响应）审查后，属于前述第1项⾄第4项情形的，应当要求相关供应商在评审现场合理的时间内对投标（响应）价格作出解释，提供项⽬具体成本测算等与报价合理性相关的书⾯说明及必要的证明材料，包括但不限于原材料成本、⼈⼯成本、制造费⽤等，给予相关供应商的合理时间⼀般不少于30分钟。其中，属于第3项情形，供应商已随投标（响应）⽂件⼀并提交相关书⾯说明及必要的证明材料的，在评审现场可不再重复提交。 评审委员会依据专业经验，参考同类项⽬中标（成交）价格、类似产品市场价格⽔平、⾏业⼈⼯费⽤标准、国家有关部⻔指导⾏业协会发布的⾏业平均成本等情况，对报价合理性进⾏判断。投标（响应 ）供应商不能提供书⾯说明、证明材料，或者提供的书⾯说明、证明材料不能证明其报价合理性的，评审委员会应当将其作为⽆效投标（响应）处理。 评审委员会启动异常低价投标（响应）审查后，应当要求相关供应商在评审现场合理的时间内提供书面说明及必要的证明材料，对投标（响应）价格作出解释。 评审委员会启动异常低价投标（响应）审查后，应当要求相关供应商在评审现场合理的时间内提供书面说明及必要的证明材料，对投标（响应）价格作出解释。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1分项报价表.docx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经资格审查、符合性审查合格的响应文件，其磋商报价为有效磋商报价，对符合政策性扣减的供应商的有效磋商价格进行政策性扣减，并依据扣减后的价格（评审价格）进行价格评审。 满足磋商文件要求且最终磋商报价最低的磋商报价为评标基准价，其价格分为满分。价格分按照下列公式计算。 报价得分=（评标基准价/有效报价）×价格权重（20%）×100 符合磋商文件规定的小微企业或监狱企业或残疾人福利性单位优惠条件的供应商，价格给予10%的扣除，用扣除后的价格参与评审。</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1分项报价表.docx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详见附件：1分项报价表.docx</w:t>
      </w:r>
    </w:p>
    <w:p>
      <w:pPr>
        <w:pStyle w:val="null3"/>
        <w:ind w:firstLine="960"/>
      </w:pPr>
      <w:r>
        <w:rPr>
          <w:rFonts w:ascii="仿宋_GB2312" w:hAnsi="仿宋_GB2312" w:cs="仿宋_GB2312" w:eastAsia="仿宋_GB2312"/>
        </w:rPr>
        <w:t>详见附件：2服务要求响应表.docx</w:t>
      </w:r>
    </w:p>
    <w:p>
      <w:pPr>
        <w:pStyle w:val="null3"/>
        <w:ind w:firstLine="960"/>
      </w:pPr>
      <w:r>
        <w:rPr>
          <w:rFonts w:ascii="仿宋_GB2312" w:hAnsi="仿宋_GB2312" w:cs="仿宋_GB2312" w:eastAsia="仿宋_GB2312"/>
        </w:rPr>
        <w:t>详见附件：3商务响应表.docx</w:t>
      </w:r>
    </w:p>
    <w:p>
      <w:pPr>
        <w:pStyle w:val="null3"/>
        <w:ind w:firstLine="960"/>
      </w:pPr>
      <w:r>
        <w:rPr>
          <w:rFonts w:ascii="仿宋_GB2312" w:hAnsi="仿宋_GB2312" w:cs="仿宋_GB2312" w:eastAsia="仿宋_GB2312"/>
        </w:rPr>
        <w:t>详见附件：4资质证明文件（参考格式）.docx</w:t>
      </w:r>
    </w:p>
    <w:p>
      <w:pPr>
        <w:pStyle w:val="null3"/>
        <w:ind w:firstLine="960"/>
      </w:pPr>
      <w:r>
        <w:rPr>
          <w:rFonts w:ascii="仿宋_GB2312" w:hAnsi="仿宋_GB2312" w:cs="仿宋_GB2312" w:eastAsia="仿宋_GB2312"/>
        </w:rPr>
        <w:t>详见附件：5服务方案.docx</w:t>
      </w:r>
    </w:p>
    <w:p>
      <w:pPr>
        <w:pStyle w:val="null3"/>
        <w:ind w:firstLine="960"/>
      </w:pPr>
      <w:r>
        <w:rPr>
          <w:rFonts w:ascii="仿宋_GB2312" w:hAnsi="仿宋_GB2312" w:cs="仿宋_GB2312" w:eastAsia="仿宋_GB2312"/>
        </w:rPr>
        <w:t>详见附件：6供应商拒绝政府采购领域商业贿赂承诺书.docx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