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版本号：SXSC-2026ZB-02920260604001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汉中市南郑区中小学视力监测设备及配套软件采购项目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SXSC-2026ZB-029</w:t>
      </w:r>
      <w:r>
        <w:br/>
      </w:r>
      <w:r>
        <w:br/>
      </w:r>
      <w:r>
        <w:br/>
      </w:r>
    </w:p>
    <w:p>
      <w:pPr>
        <w:pStyle w:val="null3"/>
        <w:jc w:val="center"/>
        <w:outlineLvl w:val="2"/>
      </w:pPr>
      <w:r>
        <w:rPr>
          <w:rFonts w:ascii="仿宋_GB2312" w:hAnsi="仿宋_GB2312" w:cs="仿宋_GB2312" w:eastAsia="仿宋_GB2312"/>
          <w:sz w:val="28"/>
          <w:b/>
        </w:rPr>
        <w:t>汉中市南郑区卫生健康局</w:t>
      </w:r>
    </w:p>
    <w:p>
      <w:pPr>
        <w:pStyle w:val="null3"/>
        <w:jc w:val="center"/>
        <w:outlineLvl w:val="2"/>
      </w:pPr>
      <w:r>
        <w:rPr>
          <w:rFonts w:ascii="仿宋_GB2312" w:hAnsi="仿宋_GB2312" w:cs="仿宋_GB2312" w:eastAsia="仿宋_GB2312"/>
          <w:sz w:val="28"/>
          <w:b/>
        </w:rPr>
        <w:t>陕西顺成项目管理有限公司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陕西顺成项目管理有限公司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汉中市南郑区卫生健康局</w:t>
      </w:r>
      <w:r>
        <w:rPr>
          <w:rFonts w:ascii="仿宋_GB2312" w:hAnsi="仿宋_GB2312" w:cs="仿宋_GB2312" w:eastAsia="仿宋_GB2312"/>
        </w:rPr>
        <w:t>委托，拟对</w:t>
      </w:r>
      <w:r>
        <w:rPr>
          <w:rFonts w:ascii="仿宋_GB2312" w:hAnsi="仿宋_GB2312" w:cs="仿宋_GB2312" w:eastAsia="仿宋_GB2312"/>
        </w:rPr>
        <w:t>汉中市南郑区中小学视力监测设备及配套软件采购项目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SXSC-2026ZB-029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汉中市南郑区中小学视力监测设备及配套软件采购项目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采购包1（汉中市南郑区中小学视力监测设备及配套软件采购项目）：属于专门面向中小企业采购。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或其他组织或自然人，提供营业执照原件（事业单位须事业单位法人证、组织机构代码证等证明文件；其他组织应提供合法证明文件,自然人提供身份证明文件）</w:t>
      </w:r>
    </w:p>
    <w:p>
      <w:pPr>
        <w:pStyle w:val="null3"/>
      </w:pPr>
      <w:r>
        <w:rPr>
          <w:rFonts w:ascii="仿宋_GB2312" w:hAnsi="仿宋_GB2312" w:cs="仿宋_GB2312" w:eastAsia="仿宋_GB2312"/>
        </w:rPr>
        <w:t>2、法定代表人或委托代理人身份证明：供应商应授权合法的授权代表参加谈判全过程，其中法定代表人直接参加谈判的，须出具法人身份证并与营业执照信息一致，法定代表人授权代表参加谈判的，须出具法定代表人授权书、授权代表本人身份证</w:t>
      </w:r>
    </w:p>
    <w:p>
      <w:pPr>
        <w:pStyle w:val="null3"/>
      </w:pPr>
      <w:r>
        <w:rPr>
          <w:rFonts w:ascii="仿宋_GB2312" w:hAnsi="仿宋_GB2312" w:cs="仿宋_GB2312" w:eastAsia="仿宋_GB2312"/>
        </w:rPr>
        <w:t>3、资格承诺函：供应商具有良好的商业信誉和健全的财务会计制度,具有履行合同所必需的设备和专业技术能力，具有依法缴纳税收和社会保障金的良好记录，参加本项目采购活动前三年内无重大违法活动记录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汉山街道办西大街25号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汉中市南郑区卫生健康局经办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13098216867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陕西顺成项目管理有限公司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陕西省汉中市汉台区陕西省汉中市汉台区东关街道办事处东新街地王熙苑二期二楼商铺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王钰净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0916-8820909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开户名称：陕西顺成项目管理有限公司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 0216 0920 0127 722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代理服务费收费标准：招标代理费依据《国家计委关于印发&lt;招标代理服务收费管理暂行办法&gt;的通知》（计价格【2002】1980号）及（发改办价格）【2011】534号》按中标价计取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汉中市南郑区卫生健康局</w:t>
      </w:r>
      <w:r>
        <w:rPr>
          <w:rFonts w:ascii="仿宋_GB2312" w:hAnsi="仿宋_GB2312" w:cs="仿宋_GB2312" w:eastAsia="仿宋_GB2312"/>
        </w:rPr>
        <w:t>和</w:t>
      </w:r>
      <w:r>
        <w:rPr>
          <w:rFonts w:ascii="仿宋_GB2312" w:hAnsi="仿宋_GB2312" w:cs="仿宋_GB2312" w:eastAsia="仿宋_GB2312"/>
        </w:rPr>
        <w:t>陕西顺成项目管理有限公司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汉中市南郑区卫生健康局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陕西顺成项目管理有限公司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汉中市南郑区卫生健康局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陕西顺成项目管理有限公司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符合国家（或行业）规定标准。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联系人：王钰净</w:t>
      </w:r>
    </w:p>
    <w:p>
      <w:pPr>
        <w:pStyle w:val="null3"/>
      </w:pPr>
      <w:r>
        <w:rPr>
          <w:rFonts w:ascii="仿宋_GB2312" w:hAnsi="仿宋_GB2312" w:cs="仿宋_GB2312" w:eastAsia="仿宋_GB2312"/>
        </w:rPr>
        <w:t>联系电话：0916-8820909</w:t>
      </w:r>
    </w:p>
    <w:p>
      <w:pPr>
        <w:pStyle w:val="null3"/>
      </w:pPr>
      <w:r>
        <w:rPr>
          <w:rFonts w:ascii="仿宋_GB2312" w:hAnsi="仿宋_GB2312" w:cs="仿宋_GB2312" w:eastAsia="仿宋_GB2312"/>
        </w:rPr>
        <w:t>地址：汉中市汉台区东关街道办事处东新街地王熙苑二期二楼商铺</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详见采购清单及技术参数要求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汉中市南郑区中小学视力监测设备及配套软件采购项目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标的名称：汉中市南郑区中小学视力监测设备及配套软件采购项目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验光设备仪器技术参数</w:t>
            </w:r>
          </w:p>
          <w:tbl>
            <w:tblPr>
              <w:tblInd w:type="dxa" w:w="135"/>
              <w:tblBorders>
                <w:top w:val="none" w:color="000000" w:sz="4"/>
                <w:left w:val="none" w:color="000000" w:sz="4"/>
                <w:bottom w:val="none" w:color="000000" w:sz="4"/>
                <w:right w:val="none" w:color="000000" w:sz="4"/>
                <w:insideH w:val="none"/>
                <w:insideV w:val="none"/>
              </w:tblBorders>
            </w:tblPr>
            <w:tblGrid>
              <w:gridCol w:w="192"/>
              <w:gridCol w:w="278"/>
              <w:gridCol w:w="1712"/>
              <w:gridCol w:w="360"/>
            </w:tblGrid>
            <w:tr>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仪器</w:t>
                  </w:r>
                </w:p>
                <w:p>
                  <w:pPr>
                    <w:pStyle w:val="null3"/>
                    <w:jc w:val="center"/>
                  </w:pPr>
                  <w:r>
                    <w:rPr>
                      <w:rFonts w:ascii="仿宋_GB2312" w:hAnsi="仿宋_GB2312" w:cs="仿宋_GB2312" w:eastAsia="仿宋_GB2312"/>
                      <w:sz w:val="24"/>
                      <w:b/>
                      <w:color w:val="000000"/>
                    </w:rPr>
                    <w:t>名称</w:t>
                  </w:r>
                </w:p>
              </w:tc>
              <w:tc>
                <w:tcPr>
                  <w:tcW w:type="dxa" w:w="17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功能</w:t>
                  </w:r>
                  <w:r>
                    <w:rPr>
                      <w:rFonts w:ascii="仿宋_GB2312" w:hAnsi="仿宋_GB2312" w:cs="仿宋_GB2312" w:eastAsia="仿宋_GB2312"/>
                      <w:sz w:val="24"/>
                      <w:b/>
                      <w:color w:val="000000"/>
                    </w:rPr>
                    <w:t>及主要技术参数</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w:t>
                  </w:r>
                </w:p>
                <w:p>
                  <w:pPr>
                    <w:pStyle w:val="null3"/>
                    <w:jc w:val="center"/>
                  </w:pPr>
                  <w:r>
                    <w:rPr>
                      <w:rFonts w:ascii="仿宋_GB2312" w:hAnsi="仿宋_GB2312" w:cs="仿宋_GB2312" w:eastAsia="仿宋_GB2312"/>
                      <w:sz w:val="24"/>
                    </w:rPr>
                    <w:t>脑</w:t>
                  </w:r>
                </w:p>
                <w:p>
                  <w:pPr>
                    <w:pStyle w:val="null3"/>
                    <w:jc w:val="center"/>
                  </w:pPr>
                  <w:r>
                    <w:rPr>
                      <w:rFonts w:ascii="仿宋_GB2312" w:hAnsi="仿宋_GB2312" w:cs="仿宋_GB2312" w:eastAsia="仿宋_GB2312"/>
                      <w:sz w:val="24"/>
                    </w:rPr>
                    <w:t>验</w:t>
                  </w:r>
                </w:p>
                <w:p>
                  <w:pPr>
                    <w:pStyle w:val="null3"/>
                    <w:jc w:val="center"/>
                  </w:pPr>
                  <w:r>
                    <w:rPr>
                      <w:rFonts w:ascii="仿宋_GB2312" w:hAnsi="仿宋_GB2312" w:cs="仿宋_GB2312" w:eastAsia="仿宋_GB2312"/>
                      <w:sz w:val="24"/>
                    </w:rPr>
                    <w:t>光</w:t>
                  </w:r>
                </w:p>
                <w:p>
                  <w:pPr>
                    <w:pStyle w:val="null3"/>
                    <w:jc w:val="center"/>
                  </w:pPr>
                  <w:r>
                    <w:rPr>
                      <w:rFonts w:ascii="仿宋_GB2312" w:hAnsi="仿宋_GB2312" w:cs="仿宋_GB2312" w:eastAsia="仿宋_GB2312"/>
                      <w:sz w:val="24"/>
                    </w:rPr>
                    <w:t>仪</w:t>
                  </w:r>
                </w:p>
              </w:tc>
              <w:tc>
                <w:tcPr>
                  <w:tcW w:type="dxa" w:w="1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功能要求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rPr>
                    <w:t>设备具备球镜、柱镜、散光轴位、瞳距、角膜曲率全自动测量功能，支持双眼同步测量。</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具备自动对焦、自动跟踪、自动测量功能，可识别测量状态并提示</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支持测量结果实时屏幕显示、内置热敏打印、</w:t>
                  </w:r>
                  <w:r>
                    <w:rPr>
                      <w:rFonts w:ascii="仿宋_GB2312" w:hAnsi="仿宋_GB2312" w:cs="仿宋_GB2312" w:eastAsia="仿宋_GB2312"/>
                      <w:sz w:val="24"/>
                      <w:color w:val="000000"/>
                    </w:rPr>
                    <w:t>USB</w:t>
                  </w:r>
                  <w:r>
                    <w:rPr>
                      <w:rFonts w:ascii="仿宋_GB2312" w:hAnsi="仿宋_GB2312" w:cs="仿宋_GB2312" w:eastAsia="仿宋_GB2312"/>
                      <w:sz w:val="24"/>
                      <w:color w:val="000000"/>
                    </w:rPr>
                    <w:t>数据导出，数据可保存、查询</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具备测量异常提示功能，对测量结果不稳定、瞳孔过小等情况进行提示</w:t>
                  </w:r>
                  <w:r>
                    <w:rPr>
                      <w:rFonts w:ascii="仿宋_GB2312" w:hAnsi="仿宋_GB2312" w:cs="仿宋_GB2312" w:eastAsia="仿宋_GB2312"/>
                      <w:sz w:val="24"/>
                      <w:color w:val="000000"/>
                    </w:rPr>
                    <w:t>6、</w:t>
                  </w:r>
                  <w:r>
                    <w:rPr>
                      <w:rFonts w:ascii="仿宋_GB2312" w:hAnsi="仿宋_GB2312" w:cs="仿宋_GB2312" w:eastAsia="仿宋_GB2312"/>
                      <w:sz w:val="24"/>
                      <w:color w:val="000000"/>
                    </w:rPr>
                    <w:t>最小离地间隙</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380mm</w:t>
                  </w:r>
                </w:p>
                <w:p>
                  <w:pPr>
                    <w:pStyle w:val="null3"/>
                    <w:jc w:val="left"/>
                  </w:pPr>
                  <w:r>
                    <w:rPr>
                      <w:rFonts w:ascii="仿宋_GB2312" w:hAnsi="仿宋_GB2312" w:cs="仿宋_GB2312" w:eastAsia="仿宋_GB2312"/>
                      <w:sz w:val="24"/>
                    </w:rPr>
                    <w:t>二、主要技术参数</w:t>
                  </w:r>
                </w:p>
                <w:p>
                  <w:pPr>
                    <w:pStyle w:val="null3"/>
                    <w:ind w:firstLine="480"/>
                    <w:jc w:val="both"/>
                  </w:pPr>
                  <w:r>
                    <w:rPr>
                      <w:rFonts w:ascii="仿宋_GB2312" w:hAnsi="仿宋_GB2312" w:cs="仿宋_GB2312" w:eastAsia="仿宋_GB2312"/>
                      <w:sz w:val="24"/>
                      <w:color w:val="FF0000"/>
                    </w:rPr>
                    <w:t>★</w:t>
                  </w:r>
                  <w:r>
                    <w:rPr>
                      <w:rFonts w:ascii="仿宋_GB2312" w:hAnsi="仿宋_GB2312" w:cs="仿宋_GB2312" w:eastAsia="仿宋_GB2312"/>
                      <w:sz w:val="24"/>
                    </w:rPr>
                    <w:t>1、球镜（SPH）：测量范围：-25.00D ～ +20.00D，最小分度值：0.12D/0.25D</w:t>
                  </w:r>
                </w:p>
                <w:p>
                  <w:pPr>
                    <w:pStyle w:val="null3"/>
                    <w:ind w:firstLine="480"/>
                    <w:jc w:val="both"/>
                  </w:pPr>
                  <w:r>
                    <w:rPr>
                      <w:rFonts w:ascii="仿宋_GB2312" w:hAnsi="仿宋_GB2312" w:cs="仿宋_GB2312" w:eastAsia="仿宋_GB2312"/>
                      <w:sz w:val="24"/>
                      <w:color w:val="FF0000"/>
                    </w:rPr>
                    <w:t>★</w:t>
                  </w:r>
                  <w:r>
                    <w:rPr>
                      <w:rFonts w:ascii="仿宋_GB2312" w:hAnsi="仿宋_GB2312" w:cs="仿宋_GB2312" w:eastAsia="仿宋_GB2312"/>
                      <w:sz w:val="24"/>
                    </w:rPr>
                    <w:t>2、柱镜（CYL）：测量范围：0.00D ～ ±10.00D，最小分度值：0.12D/0.25D</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散光轴位（</w:t>
                  </w:r>
                  <w:r>
                    <w:rPr>
                      <w:rFonts w:ascii="仿宋_GB2312" w:hAnsi="仿宋_GB2312" w:cs="仿宋_GB2312" w:eastAsia="仿宋_GB2312"/>
                      <w:sz w:val="24"/>
                    </w:rPr>
                    <w:t>AX）：测量范围：0°～180°，分度值：1°</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瞳距（</w:t>
                  </w:r>
                  <w:r>
                    <w:rPr>
                      <w:rFonts w:ascii="仿宋_GB2312" w:hAnsi="仿宋_GB2312" w:cs="仿宋_GB2312" w:eastAsia="仿宋_GB2312"/>
                      <w:sz w:val="24"/>
                    </w:rPr>
                    <w:t>PD）：测量范围：40mm～85mm，测量精度：≤±1mm</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角膜曲率（</w:t>
                  </w:r>
                  <w:r>
                    <w:rPr>
                      <w:rFonts w:ascii="仿宋_GB2312" w:hAnsi="仿宋_GB2312" w:cs="仿宋_GB2312" w:eastAsia="仿宋_GB2312"/>
                      <w:sz w:val="24"/>
                    </w:rPr>
                    <w:t>K值）：曲率半径：5.00mm～9.00mm，屈光度范围：37.00D～48.00D</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最小测量瞳孔直径：</w:t>
                  </w:r>
                  <w:r>
                    <w:rPr>
                      <w:rFonts w:ascii="仿宋_GB2312" w:hAnsi="仿宋_GB2312" w:cs="仿宋_GB2312" w:eastAsia="仿宋_GB2312"/>
                      <w:sz w:val="24"/>
                    </w:rPr>
                    <w:t>≤2.0mm，适用于小瞳孔人群测量</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测量光源：红外</w:t>
                  </w:r>
                  <w:r>
                    <w:rPr>
                      <w:rFonts w:ascii="仿宋_GB2312" w:hAnsi="仿宋_GB2312" w:cs="仿宋_GB2312" w:eastAsia="仿宋_GB2312"/>
                      <w:sz w:val="24"/>
                    </w:rPr>
                    <w:t>LED光源（850nm），无可见光刺激</w:t>
                  </w:r>
                </w:p>
                <w:p>
                  <w:pPr>
                    <w:pStyle w:val="null3"/>
                    <w:ind w:firstLine="480"/>
                    <w:jc w:val="both"/>
                  </w:pPr>
                  <w:r>
                    <w:rPr>
                      <w:rFonts w:ascii="仿宋_GB2312" w:hAnsi="仿宋_GB2312" w:cs="仿宋_GB2312" w:eastAsia="仿宋_GB2312"/>
                      <w:sz w:val="24"/>
                    </w:rPr>
                    <w:t>8. 测量精度： 球镜误差：≤±0.25D， 柱镜误差：≤±0.25D，轴位误差：≤±5°</w:t>
                  </w:r>
                </w:p>
                <w:p>
                  <w:pPr>
                    <w:pStyle w:val="null3"/>
                    <w:ind w:firstLine="480"/>
                    <w:jc w:val="both"/>
                  </w:pPr>
                  <w:r>
                    <w:rPr>
                      <w:rFonts w:ascii="仿宋_GB2312" w:hAnsi="仿宋_GB2312" w:cs="仿宋_GB2312" w:eastAsia="仿宋_GB2312"/>
                      <w:sz w:val="24"/>
                    </w:rPr>
                    <w:t>9、顶点距（VD）：</w:t>
                  </w:r>
                  <w:r>
                    <w:rPr>
                      <w:rFonts w:ascii="仿宋_GB2312" w:hAnsi="仿宋_GB2312" w:cs="仿宋_GB2312" w:eastAsia="仿宋_GB2312"/>
                      <w:sz w:val="24"/>
                    </w:rPr>
                    <w:t>0.0 , 12.0 , 13.75 , 15.0mm</w:t>
                  </w:r>
                </w:p>
                <w:p>
                  <w:pPr>
                    <w:pStyle w:val="null3"/>
                    <w:ind w:firstLine="480"/>
                    <w:jc w:val="both"/>
                  </w:pPr>
                  <w:r>
                    <w:rPr>
                      <w:rFonts w:ascii="仿宋_GB2312" w:hAnsi="仿宋_GB2312" w:cs="仿宋_GB2312" w:eastAsia="仿宋_GB2312"/>
                      <w:sz w:val="24"/>
                    </w:rPr>
                    <w:t>10、角膜散光度：</w:t>
                  </w:r>
                  <w:r>
                    <w:rPr>
                      <w:rFonts w:ascii="仿宋_GB2312" w:hAnsi="仿宋_GB2312" w:cs="仿宋_GB2312" w:eastAsia="仿宋_GB2312"/>
                      <w:sz w:val="24"/>
                    </w:rPr>
                    <w:t>0.00～-15.00D（0.12/0.25D步长）</w:t>
                  </w:r>
                </w:p>
                <w:p>
                  <w:pPr>
                    <w:pStyle w:val="null3"/>
                    <w:ind w:firstLine="480"/>
                    <w:jc w:val="both"/>
                  </w:pPr>
                  <w:r>
                    <w:rPr>
                      <w:rFonts w:ascii="仿宋_GB2312" w:hAnsi="仿宋_GB2312" w:cs="仿宋_GB2312" w:eastAsia="仿宋_GB2312"/>
                      <w:sz w:val="24"/>
                    </w:rPr>
                    <w:t>11、角膜直径：2～12mm</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硬件与配置要求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显示屏：</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英寸彩色液晶触摸屏</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内置高速热敏打印机，支持快速打印测量报告单</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具备</w:t>
                  </w:r>
                  <w:r>
                    <w:rPr>
                      <w:rFonts w:ascii="仿宋_GB2312" w:hAnsi="仿宋_GB2312" w:cs="仿宋_GB2312" w:eastAsia="仿宋_GB2312"/>
                      <w:sz w:val="24"/>
                    </w:rPr>
                    <w:t>USB接口，支持数据导出至电脑保存、归档。</w:t>
                  </w:r>
                </w:p>
                <w:p>
                  <w:pPr>
                    <w:pStyle w:val="null3"/>
                    <w:ind w:firstLine="480"/>
                    <w:jc w:val="both"/>
                  </w:pPr>
                  <w:r>
                    <w:rPr>
                      <w:rFonts w:ascii="仿宋_GB2312" w:hAnsi="仿宋_GB2312" w:cs="仿宋_GB2312" w:eastAsia="仿宋_GB2312"/>
                      <w:sz w:val="24"/>
                    </w:rPr>
                    <w:t>4、外置数据连接：RS232/蓝牙</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结构稳定，移动便捷，底座防滑。</w:t>
                  </w:r>
                </w:p>
                <w:p>
                  <w:pPr>
                    <w:pStyle w:val="null3"/>
                    <w:jc w:val="both"/>
                  </w:pPr>
                  <w:r>
                    <w:rPr>
                      <w:rFonts w:ascii="仿宋_GB2312" w:hAnsi="仿宋_GB2312" w:cs="仿宋_GB2312" w:eastAsia="仿宋_GB2312"/>
                      <w:sz w:val="24"/>
                    </w:rPr>
                    <w:t>四、电气参数</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电源：</w:t>
                  </w:r>
                  <w:r>
                    <w:rPr>
                      <w:rFonts w:ascii="仿宋_GB2312" w:hAnsi="仿宋_GB2312" w:cs="仿宋_GB2312" w:eastAsia="仿宋_GB2312"/>
                      <w:sz w:val="24"/>
                    </w:rPr>
                    <w:t>AC</w:t>
                  </w:r>
                  <w:r>
                    <w:rPr>
                      <w:rFonts w:ascii="仿宋_GB2312" w:hAnsi="仿宋_GB2312" w:cs="仿宋_GB2312" w:eastAsia="仿宋_GB2312"/>
                      <w:sz w:val="24"/>
                    </w:rPr>
                    <w:t xml:space="preserve"> </w:t>
                  </w:r>
                  <w:r>
                    <w:rPr>
                      <w:rFonts w:ascii="仿宋_GB2312" w:hAnsi="仿宋_GB2312" w:cs="仿宋_GB2312" w:eastAsia="仿宋_GB2312"/>
                      <w:sz w:val="24"/>
                    </w:rPr>
                    <w:t>110V-240V ，50Hz</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额定功率：</w:t>
                  </w:r>
                  <w:r>
                    <w:rPr>
                      <w:rFonts w:ascii="仿宋_GB2312" w:hAnsi="仿宋_GB2312" w:cs="仿宋_GB2312" w:eastAsia="仿宋_GB2312"/>
                      <w:sz w:val="24"/>
                    </w:rPr>
                    <w:t>≤120W</w:t>
                  </w:r>
                </w:p>
                <w:p>
                  <w:pPr>
                    <w:pStyle w:val="null3"/>
                    <w:jc w:val="both"/>
                  </w:pPr>
                  <w:r>
                    <w:rPr>
                      <w:rFonts w:ascii="仿宋_GB2312" w:hAnsi="仿宋_GB2312" w:cs="仿宋_GB2312" w:eastAsia="仿宋_GB2312"/>
                      <w:sz w:val="24"/>
                    </w:rPr>
                    <w:t>五、</w:t>
                  </w:r>
                  <w:r>
                    <w:rPr>
                      <w:rFonts w:ascii="仿宋_GB2312" w:hAnsi="仿宋_GB2312" w:cs="仿宋_GB2312" w:eastAsia="仿宋_GB2312"/>
                      <w:sz w:val="24"/>
                    </w:rPr>
                    <w:t>产品符合</w:t>
                  </w:r>
                  <w:r>
                    <w:rPr>
                      <w:rFonts w:ascii="仿宋_GB2312" w:hAnsi="仿宋_GB2312" w:cs="仿宋_GB2312" w:eastAsia="仿宋_GB2312"/>
                      <w:sz w:val="24"/>
                    </w:rPr>
                    <w:t>YY 0984-2013《自动验光仪》 医疗器械行业标准，供应商须提供医疗器械注册证、生产许可证、检验报告等相关资质文件。</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10套</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w:t>
                  </w:r>
                </w:p>
                <w:p>
                  <w:pPr>
                    <w:pStyle w:val="null3"/>
                    <w:jc w:val="center"/>
                  </w:pPr>
                  <w:r>
                    <w:rPr>
                      <w:rFonts w:ascii="仿宋_GB2312" w:hAnsi="仿宋_GB2312" w:cs="仿宋_GB2312" w:eastAsia="仿宋_GB2312"/>
                      <w:sz w:val="24"/>
                    </w:rPr>
                    <w:t>晶</w:t>
                  </w:r>
                </w:p>
                <w:p>
                  <w:pPr>
                    <w:pStyle w:val="null3"/>
                    <w:jc w:val="center"/>
                  </w:pPr>
                  <w:r>
                    <w:rPr>
                      <w:rFonts w:ascii="仿宋_GB2312" w:hAnsi="仿宋_GB2312" w:cs="仿宋_GB2312" w:eastAsia="仿宋_GB2312"/>
                      <w:sz w:val="24"/>
                    </w:rPr>
                    <w:t>视</w:t>
                  </w:r>
                </w:p>
                <w:p>
                  <w:pPr>
                    <w:pStyle w:val="null3"/>
                    <w:jc w:val="center"/>
                  </w:pPr>
                  <w:r>
                    <w:rPr>
                      <w:rFonts w:ascii="仿宋_GB2312" w:hAnsi="仿宋_GB2312" w:cs="仿宋_GB2312" w:eastAsia="仿宋_GB2312"/>
                      <w:sz w:val="24"/>
                    </w:rPr>
                    <w:t>力</w:t>
                  </w:r>
                </w:p>
                <w:p>
                  <w:pPr>
                    <w:pStyle w:val="null3"/>
                    <w:jc w:val="center"/>
                  </w:pPr>
                  <w:r>
                    <w:rPr>
                      <w:rFonts w:ascii="仿宋_GB2312" w:hAnsi="仿宋_GB2312" w:cs="仿宋_GB2312" w:eastAsia="仿宋_GB2312"/>
                      <w:sz w:val="24"/>
                    </w:rPr>
                    <w:t>表</w:t>
                  </w:r>
                </w:p>
              </w:tc>
              <w:tc>
                <w:tcPr>
                  <w:tcW w:type="dxa" w:w="1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功能：自助测裸眼视力和戴镜视力，视标显示方式：多视标和单视标显示。</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显示屏：尺寸：</w:t>
                  </w:r>
                  <w:r>
                    <w:rPr>
                      <w:rFonts w:ascii="仿宋_GB2312" w:hAnsi="仿宋_GB2312" w:cs="仿宋_GB2312" w:eastAsia="仿宋_GB2312"/>
                      <w:sz w:val="24"/>
                    </w:rPr>
                    <w:t>≥21.5英寸高清液晶显示屏，分辨率：≥1920×1080，屏幕类型：IPS全视角，上下左右可视角度≥170°，亮度：200～300 cd/㎡可调，无眩光、无频闪。</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视力标准</w:t>
                  </w:r>
                </w:p>
                <w:p>
                  <w:pPr>
                    <w:pStyle w:val="null3"/>
                    <w:ind w:firstLine="480"/>
                    <w:jc w:val="left"/>
                  </w:pPr>
                  <w:r>
                    <w:rPr>
                      <w:rFonts w:ascii="仿宋_GB2312" w:hAnsi="仿宋_GB2312" w:cs="仿宋_GB2312" w:eastAsia="仿宋_GB2312"/>
                      <w:sz w:val="24"/>
                      <w:color w:val="000000"/>
                    </w:rPr>
                    <w:t>视力范围：</w:t>
                  </w:r>
                  <w:r>
                    <w:rPr>
                      <w:rFonts w:ascii="仿宋_GB2312" w:hAnsi="仿宋_GB2312" w:cs="仿宋_GB2312" w:eastAsia="仿宋_GB2312"/>
                      <w:sz w:val="24"/>
                      <w:color w:val="000000"/>
                    </w:rPr>
                    <w:t>4.0</w:t>
                  </w:r>
                  <w:r>
                    <w:rPr>
                      <w:rFonts w:ascii="仿宋_GB2312" w:hAnsi="仿宋_GB2312" w:cs="仿宋_GB2312" w:eastAsia="仿宋_GB2312"/>
                      <w:sz w:val="24"/>
                      <w:color w:val="000000"/>
                    </w:rPr>
                    <w:t>～</w:t>
                  </w:r>
                  <w:r>
                    <w:rPr>
                      <w:rFonts w:ascii="仿宋_GB2312" w:hAnsi="仿宋_GB2312" w:cs="仿宋_GB2312" w:eastAsia="仿宋_GB2312"/>
                      <w:sz w:val="24"/>
                      <w:color w:val="000000"/>
                    </w:rPr>
                    <w:t>5.3</w:t>
                  </w:r>
                  <w:r>
                    <w:rPr>
                      <w:rFonts w:ascii="仿宋_GB2312" w:hAnsi="仿宋_GB2312" w:cs="仿宋_GB2312" w:eastAsia="仿宋_GB2312"/>
                      <w:sz w:val="24"/>
                      <w:color w:val="000000"/>
                    </w:rPr>
                    <w:t>（</w:t>
                  </w:r>
                  <w:r>
                    <w:rPr>
                      <w:rFonts w:ascii="仿宋_GB2312" w:hAnsi="仿宋_GB2312" w:cs="仿宋_GB2312" w:eastAsia="仿宋_GB2312"/>
                      <w:sz w:val="24"/>
                      <w:color w:val="000000"/>
                    </w:rPr>
                    <w:t>0.1</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），视标类型：</w:t>
                  </w:r>
                  <w:r>
                    <w:rPr>
                      <w:rFonts w:ascii="仿宋_GB2312" w:hAnsi="仿宋_GB2312" w:cs="仿宋_GB2312" w:eastAsia="仿宋_GB2312"/>
                      <w:sz w:val="24"/>
                      <w:color w:val="000000"/>
                    </w:rPr>
                    <w:t>E</w:t>
                  </w:r>
                  <w:r>
                    <w:rPr>
                      <w:rFonts w:ascii="仿宋_GB2312" w:hAnsi="仿宋_GB2312" w:cs="仿宋_GB2312" w:eastAsia="仿宋_GB2312"/>
                      <w:sz w:val="24"/>
                      <w:color w:val="000000"/>
                    </w:rPr>
                    <w:t>字、</w:t>
                  </w:r>
                  <w:r>
                    <w:rPr>
                      <w:rFonts w:ascii="仿宋_GB2312" w:hAnsi="仿宋_GB2312" w:cs="仿宋_GB2312" w:eastAsia="仿宋_GB2312"/>
                      <w:sz w:val="24"/>
                      <w:color w:val="000000"/>
                    </w:rPr>
                    <w:t>C</w:t>
                  </w:r>
                  <w:r>
                    <w:rPr>
                      <w:rFonts w:ascii="仿宋_GB2312" w:hAnsi="仿宋_GB2312" w:cs="仿宋_GB2312" w:eastAsia="仿宋_GB2312"/>
                      <w:sz w:val="24"/>
                      <w:color w:val="000000"/>
                    </w:rPr>
                    <w:t>字、字母视标，儿童视标，数字视标。视标切换：自动切换、手动遥控切换、程序自动测视力模式。视标对比度：≥</w:t>
                  </w:r>
                  <w:r>
                    <w:rPr>
                      <w:rFonts w:ascii="仿宋_GB2312" w:hAnsi="仿宋_GB2312" w:cs="仿宋_GB2312" w:eastAsia="仿宋_GB2312"/>
                      <w:sz w:val="24"/>
                      <w:color w:val="000000"/>
                    </w:rPr>
                    <w:t>90%</w:t>
                  </w:r>
                  <w:r>
                    <w:rPr>
                      <w:rFonts w:ascii="仿宋_GB2312" w:hAnsi="仿宋_GB2312" w:cs="仿宋_GB2312" w:eastAsia="仿宋_GB2312"/>
                      <w:sz w:val="24"/>
                      <w:color w:val="000000"/>
                    </w:rPr>
                    <w:t>，黑白高对比。</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检查距离：标准距离：</w:t>
                  </w:r>
                  <w:r>
                    <w:rPr>
                      <w:rFonts w:ascii="仿宋_GB2312" w:hAnsi="仿宋_GB2312" w:cs="仿宋_GB2312" w:eastAsia="仿宋_GB2312"/>
                      <w:sz w:val="24"/>
                    </w:rPr>
                    <w:t>3～</w:t>
                  </w:r>
                  <w:r>
                    <w:rPr>
                      <w:rFonts w:ascii="仿宋_GB2312" w:hAnsi="仿宋_GB2312" w:cs="仿宋_GB2312" w:eastAsia="仿宋_GB2312"/>
                      <w:sz w:val="24"/>
                    </w:rPr>
                    <w:t>5m。</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rPr>
                    <w:t>控制方式：</w:t>
                  </w:r>
                  <w:r>
                    <w:rPr>
                      <w:rFonts w:ascii="仿宋_GB2312" w:hAnsi="仿宋_GB2312" w:cs="仿宋_GB2312" w:eastAsia="仿宋_GB2312"/>
                      <w:sz w:val="24"/>
                    </w:rPr>
                    <w:t>红外无线遥控器</w:t>
                  </w:r>
                  <w:r>
                    <w:rPr>
                      <w:rFonts w:ascii="仿宋_GB2312" w:hAnsi="仿宋_GB2312" w:cs="仿宋_GB2312" w:eastAsia="仿宋_GB2312"/>
                      <w:sz w:val="24"/>
                    </w:rPr>
                    <w:t>或平板。</w:t>
                  </w:r>
                </w:p>
                <w:p>
                  <w:pPr>
                    <w:pStyle w:val="null3"/>
                    <w:ind w:firstLine="480"/>
                    <w:jc w:val="both"/>
                  </w:pPr>
                  <w:r>
                    <w:rPr>
                      <w:rFonts w:ascii="仿宋_GB2312" w:hAnsi="仿宋_GB2312" w:cs="仿宋_GB2312" w:eastAsia="仿宋_GB2312"/>
                      <w:sz w:val="24"/>
                    </w:rPr>
                    <w:t>5、数据传输方式：蓝牙。</w:t>
                  </w:r>
                </w:p>
                <w:p>
                  <w:pPr>
                    <w:pStyle w:val="null3"/>
                    <w:ind w:firstLine="480"/>
                    <w:jc w:val="both"/>
                  </w:pPr>
                  <w:r>
                    <w:rPr>
                      <w:rFonts w:ascii="仿宋_GB2312" w:hAnsi="仿宋_GB2312" w:cs="仿宋_GB2312" w:eastAsia="仿宋_GB2312"/>
                      <w:sz w:val="24"/>
                    </w:rPr>
                    <w:t>6、电气参数：</w:t>
                  </w:r>
                  <w:r>
                    <w:rPr>
                      <w:rFonts w:ascii="仿宋_GB2312" w:hAnsi="仿宋_GB2312" w:cs="仿宋_GB2312" w:eastAsia="仿宋_GB2312"/>
                      <w:sz w:val="24"/>
                    </w:rPr>
                    <w:t>电源：</w:t>
                  </w:r>
                  <w:r>
                    <w:rPr>
                      <w:rFonts w:ascii="仿宋_GB2312" w:hAnsi="仿宋_GB2312" w:cs="仿宋_GB2312" w:eastAsia="仿宋_GB2312"/>
                      <w:sz w:val="24"/>
                    </w:rPr>
                    <w:t>AC 220V±10%，50Hz，功率：≤50W。</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7、安装方式：台式桌面支架。</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10套</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w:t>
                  </w:r>
                </w:p>
                <w:p>
                  <w:pPr>
                    <w:pStyle w:val="null3"/>
                    <w:jc w:val="center"/>
                  </w:pPr>
                  <w:r>
                    <w:rPr>
                      <w:rFonts w:ascii="仿宋_GB2312" w:hAnsi="仿宋_GB2312" w:cs="仿宋_GB2312" w:eastAsia="仿宋_GB2312"/>
                      <w:sz w:val="24"/>
                    </w:rPr>
                    <w:t>少</w:t>
                  </w:r>
                </w:p>
                <w:p>
                  <w:pPr>
                    <w:pStyle w:val="null3"/>
                    <w:jc w:val="center"/>
                  </w:pPr>
                  <w:r>
                    <w:rPr>
                      <w:rFonts w:ascii="仿宋_GB2312" w:hAnsi="仿宋_GB2312" w:cs="仿宋_GB2312" w:eastAsia="仿宋_GB2312"/>
                      <w:sz w:val="24"/>
                    </w:rPr>
                    <w:t>年</w:t>
                  </w:r>
                </w:p>
                <w:p>
                  <w:pPr>
                    <w:pStyle w:val="null3"/>
                    <w:jc w:val="center"/>
                  </w:pPr>
                  <w:r>
                    <w:rPr>
                      <w:rFonts w:ascii="仿宋_GB2312" w:hAnsi="仿宋_GB2312" w:cs="仿宋_GB2312" w:eastAsia="仿宋_GB2312"/>
                      <w:sz w:val="24"/>
                    </w:rPr>
                    <w:t>儿</w:t>
                  </w:r>
                </w:p>
                <w:p>
                  <w:pPr>
                    <w:pStyle w:val="null3"/>
                    <w:jc w:val="center"/>
                  </w:pPr>
                  <w:r>
                    <w:rPr>
                      <w:rFonts w:ascii="仿宋_GB2312" w:hAnsi="仿宋_GB2312" w:cs="仿宋_GB2312" w:eastAsia="仿宋_GB2312"/>
                      <w:sz w:val="24"/>
                    </w:rPr>
                    <w:t>童</w:t>
                  </w:r>
                </w:p>
                <w:p>
                  <w:pPr>
                    <w:pStyle w:val="null3"/>
                    <w:jc w:val="center"/>
                  </w:pPr>
                  <w:r>
                    <w:rPr>
                      <w:rFonts w:ascii="仿宋_GB2312" w:hAnsi="仿宋_GB2312" w:cs="仿宋_GB2312" w:eastAsia="仿宋_GB2312"/>
                      <w:sz w:val="24"/>
                    </w:rPr>
                    <w:t>视</w:t>
                  </w:r>
                </w:p>
                <w:p>
                  <w:pPr>
                    <w:pStyle w:val="null3"/>
                    <w:jc w:val="center"/>
                  </w:pPr>
                  <w:r>
                    <w:rPr>
                      <w:rFonts w:ascii="仿宋_GB2312" w:hAnsi="仿宋_GB2312" w:cs="仿宋_GB2312" w:eastAsia="仿宋_GB2312"/>
                      <w:sz w:val="24"/>
                    </w:rPr>
                    <w:t>力</w:t>
                  </w:r>
                </w:p>
                <w:p>
                  <w:pPr>
                    <w:pStyle w:val="null3"/>
                    <w:jc w:val="center"/>
                  </w:pPr>
                  <w:r>
                    <w:rPr>
                      <w:rFonts w:ascii="仿宋_GB2312" w:hAnsi="仿宋_GB2312" w:cs="仿宋_GB2312" w:eastAsia="仿宋_GB2312"/>
                      <w:sz w:val="24"/>
                    </w:rPr>
                    <w:t>筛</w:t>
                  </w:r>
                </w:p>
                <w:p>
                  <w:pPr>
                    <w:pStyle w:val="null3"/>
                    <w:jc w:val="center"/>
                  </w:pPr>
                  <w:r>
                    <w:rPr>
                      <w:rFonts w:ascii="仿宋_GB2312" w:hAnsi="仿宋_GB2312" w:cs="仿宋_GB2312" w:eastAsia="仿宋_GB2312"/>
                      <w:sz w:val="24"/>
                    </w:rPr>
                    <w:t>查</w:t>
                  </w:r>
                </w:p>
                <w:p>
                  <w:pPr>
                    <w:pStyle w:val="null3"/>
                    <w:jc w:val="center"/>
                  </w:pPr>
                  <w:r>
                    <w:rPr>
                      <w:rFonts w:ascii="仿宋_GB2312" w:hAnsi="仿宋_GB2312" w:cs="仿宋_GB2312" w:eastAsia="仿宋_GB2312"/>
                      <w:sz w:val="24"/>
                    </w:rPr>
                    <w:t>平</w:t>
                  </w:r>
                </w:p>
                <w:p>
                  <w:pPr>
                    <w:pStyle w:val="null3"/>
                    <w:jc w:val="center"/>
                  </w:pPr>
                  <w:r>
                    <w:rPr>
                      <w:rFonts w:ascii="仿宋_GB2312" w:hAnsi="仿宋_GB2312" w:cs="仿宋_GB2312" w:eastAsia="仿宋_GB2312"/>
                      <w:sz w:val="24"/>
                    </w:rPr>
                    <w:t>台</w:t>
                  </w:r>
                </w:p>
              </w:tc>
              <w:tc>
                <w:tcPr>
                  <w:tcW w:type="dxa" w:w="1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一、整体系统要求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为一站式青少年儿童视力筛查信息化管理平台，集视力筛查、数据采集、智能建档、风险预警、统计分析、打印报告、数据上报于一体。</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支持学校批量筛查、儿童体检、常态化视力监测，兼容电脑验光仪、液晶视力表、眼压计、曲率仪等眼科设备数据自动对接上传。</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符合《儿童青少年近视防控适宜技术指南》《综合防控儿童青少年近视实施方案》相关规范，支持向教育局、卫健部门批量数据导出上报。</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采用</w:t>
                  </w:r>
                  <w:r>
                    <w:rPr>
                      <w:rFonts w:ascii="仿宋_GB2312" w:hAnsi="仿宋_GB2312" w:cs="仿宋_GB2312" w:eastAsia="仿宋_GB2312"/>
                      <w:sz w:val="24"/>
                    </w:rPr>
                    <w:t>B/S架构，支持电脑端、平板端操作，数据云端存储或本地服务器部署，权限分级管理，保障学生隐私安全。</w:t>
                  </w:r>
                </w:p>
                <w:p>
                  <w:pPr>
                    <w:pStyle w:val="null3"/>
                    <w:ind w:firstLine="480"/>
                    <w:jc w:val="both"/>
                  </w:pPr>
                  <w:r>
                    <w:rPr>
                      <w:rFonts w:ascii="仿宋_GB2312" w:hAnsi="仿宋_GB2312" w:cs="仿宋_GB2312" w:eastAsia="仿宋_GB2312"/>
                      <w:sz w:val="24"/>
                    </w:rPr>
                    <w:t>5、系统架构：部署模式:云端SaaS(支持政务云/私有云部署)；兼容系统:Windows/macOS(管理端)、iOS ，12.0+/Android8.0+(移动端) 并发能力:支持万人级同时在线、千台设备并发接入。</w:t>
                  </w:r>
                </w:p>
                <w:p>
                  <w:pPr>
                    <w:pStyle w:val="null3"/>
                    <w:ind w:firstLine="480"/>
                    <w:jc w:val="both"/>
                  </w:pPr>
                  <w:r>
                    <w:rPr>
                      <w:rFonts w:ascii="仿宋_GB2312" w:hAnsi="仿宋_GB2312" w:cs="仿宋_GB2312" w:eastAsia="仿宋_GB2312"/>
                      <w:sz w:val="24"/>
                    </w:rPr>
                    <w:t>6、筛查效率：单日≥1000~3000 人次（视配置）；数据准确率：≥99 .5%（自动采集无人工误差）；响应速度：云端数据同步&lt;2 秒、报告生成&lt;5 秒；设备兼容性：支持市场 95%以上主流视光设备。</w:t>
                  </w:r>
                </w:p>
                <w:p>
                  <w:pPr>
                    <w:pStyle w:val="null3"/>
                    <w:jc w:val="both"/>
                  </w:pPr>
                  <w:r>
                    <w:rPr>
                      <w:rFonts w:ascii="仿宋_GB2312" w:hAnsi="仿宋_GB2312" w:cs="仿宋_GB2312" w:eastAsia="仿宋_GB2312"/>
                      <w:sz w:val="24"/>
                    </w:rPr>
                    <w:t>二、系统功能模块要求</w:t>
                  </w:r>
                </w:p>
                <w:p>
                  <w:pPr>
                    <w:pStyle w:val="null3"/>
                    <w:ind w:firstLine="240"/>
                    <w:jc w:val="both"/>
                  </w:pPr>
                  <w:r>
                    <w:rPr>
                      <w:rFonts w:ascii="仿宋_GB2312" w:hAnsi="仿宋_GB2312" w:cs="仿宋_GB2312" w:eastAsia="仿宋_GB2312"/>
                      <w:sz w:val="24"/>
                    </w:rPr>
                    <w:t>（一）学生信息管理模块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支持批量导入学生信息（</w:t>
                  </w:r>
                  <w:r>
                    <w:rPr>
                      <w:rFonts w:ascii="仿宋_GB2312" w:hAnsi="仿宋_GB2312" w:cs="仿宋_GB2312" w:eastAsia="仿宋_GB2312"/>
                      <w:sz w:val="24"/>
                    </w:rPr>
                    <w:t>Excel模板导入），自动生成学生唯一筛查档案号。</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可录入：姓名、性别、出生日期、身份证号、班级、学校、家庭住址、监护人信息、既往眼病史。</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支持学生信息修改、删除、批量管理，自动查重，避免重复建档。</w:t>
                  </w:r>
                </w:p>
                <w:p>
                  <w:pPr>
                    <w:pStyle w:val="null3"/>
                    <w:ind w:firstLine="480"/>
                    <w:jc w:val="both"/>
                  </w:pPr>
                  <w:r>
                    <w:rPr>
                      <w:rFonts w:ascii="仿宋_GB2312" w:hAnsi="仿宋_GB2312" w:cs="仿宋_GB2312" w:eastAsia="仿宋_GB2312"/>
                      <w:sz w:val="24"/>
                    </w:rPr>
                    <w:t>4、档案管理： 一人一档、二维码/学号快速绑定、批量导入导出（Excel/CSV）。</w:t>
                  </w:r>
                </w:p>
                <w:p>
                  <w:pPr>
                    <w:pStyle w:val="null3"/>
                    <w:jc w:val="both"/>
                  </w:pPr>
                  <w:r>
                    <w:rPr>
                      <w:rFonts w:ascii="仿宋_GB2312" w:hAnsi="仿宋_GB2312" w:cs="仿宋_GB2312" w:eastAsia="仿宋_GB2312"/>
                      <w:sz w:val="24"/>
                    </w:rPr>
                    <w:t>（二）视力筛查检测模块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对接液晶视力表：自动读取裸眼视力、矫正视力，支持</w:t>
                  </w:r>
                  <w:r>
                    <w:rPr>
                      <w:rFonts w:ascii="仿宋_GB2312" w:hAnsi="仿宋_GB2312" w:cs="仿宋_GB2312" w:eastAsia="仿宋_GB2312"/>
                      <w:sz w:val="24"/>
                    </w:rPr>
                    <w:t>4.0~5.3对数视力自动录入。</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设备兼容：跨品牌串联（验光仪</w:t>
                  </w:r>
                  <w:r>
                    <w:rPr>
                      <w:rFonts w:ascii="仿宋_GB2312" w:hAnsi="仿宋_GB2312" w:cs="仿宋_GB2312" w:eastAsia="仿宋_GB2312"/>
                      <w:sz w:val="24"/>
                    </w:rPr>
                    <w:t>/视力表/眼轴仪），打破数据孤岛；政务对接：无缝对接国体网、全国学生体质健康系统；家校互通：微信公众号/APP 推送结果、护眼建议、复诊提醒</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对接电脑验光仪：自动读取球镜、柱镜、轴位、瞳距、角膜曲率，无需手动二次录入。</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支持手动补充录入：眼压、眼位、色觉、立体视、屈光状态、眼底初步筛查结果。</w:t>
                  </w:r>
                </w:p>
                <w:p>
                  <w:pPr>
                    <w:pStyle w:val="null3"/>
                    <w:ind w:firstLine="480"/>
                    <w:jc w:val="both"/>
                  </w:pPr>
                  <w:r>
                    <w:rPr>
                      <w:rFonts w:ascii="仿宋_GB2312" w:hAnsi="仿宋_GB2312" w:cs="仿宋_GB2312" w:eastAsia="仿宋_GB2312"/>
                      <w:sz w:val="24"/>
                    </w:rPr>
                    <w:t>5、筛查流程：视力/屈光/色觉/眼位一站式采集；数据自动采集、实时上传、即时校验，单人筛查≤60 秒</w:t>
                  </w:r>
                  <w:r>
                    <w:rPr>
                      <w:rFonts w:ascii="仿宋_GB2312" w:hAnsi="仿宋_GB2312" w:cs="仿宋_GB2312" w:eastAsia="仿宋_GB2312"/>
                      <w:sz w:val="24"/>
                    </w:rPr>
                    <w:t>筛查过程支持多人快速连续检测，适配大规模校园集中筛查。</w:t>
                  </w:r>
                </w:p>
                <w:p>
                  <w:pPr>
                    <w:pStyle w:val="null3"/>
                    <w:ind w:firstLine="480"/>
                    <w:jc w:val="both"/>
                  </w:pPr>
                  <w:r>
                    <w:rPr>
                      <w:rFonts w:ascii="仿宋_GB2312" w:hAnsi="仿宋_GB2312" w:cs="仿宋_GB2312" w:eastAsia="仿宋_GB2312"/>
                      <w:sz w:val="24"/>
                    </w:rPr>
                    <w:t>5、AI 分析：近视风险分级（低/中/高）；发育趋势预测、历史曲线对比；自动生成《青少年视力筛查专家报告》。</w:t>
                  </w:r>
                </w:p>
                <w:p>
                  <w:pPr>
                    <w:pStyle w:val="null3"/>
                    <w:ind w:firstLine="480"/>
                    <w:jc w:val="both"/>
                  </w:pPr>
                  <w:r>
                    <w:rPr>
                      <w:rFonts w:ascii="仿宋_GB2312" w:hAnsi="仿宋_GB2312" w:cs="仿宋_GB2312" w:eastAsia="仿宋_GB2312"/>
                      <w:sz w:val="24"/>
                    </w:rPr>
                    <w:t>（三）智能风险评估与预警模块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内置儿童青少年近视风险评估算法，依据年龄、屈光值、视力值自动分级预警：正常、近视倾向、低度近视、中度近视、高度近视、散光风险</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自动生成个性化干预建议，包含用眼指导、复查周期、转诊提示。</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支持近视进展追踪，对比历次筛查数据，自动提示视力下降幅度与风险。</w:t>
                  </w:r>
                </w:p>
                <w:p>
                  <w:pPr>
                    <w:pStyle w:val="null3"/>
                    <w:jc w:val="both"/>
                  </w:pPr>
                  <w:r>
                    <w:rPr>
                      <w:rFonts w:ascii="仿宋_GB2312" w:hAnsi="仿宋_GB2312" w:cs="仿宋_GB2312" w:eastAsia="仿宋_GB2312"/>
                      <w:sz w:val="24"/>
                    </w:rPr>
                    <w:t>（四）报告生成与打印模块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自动生成儿童青少年视力筛查报告单，包含个人信息、筛查数据、评估结果、干预建议、医生签名栏。</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w:t>
                  </w:r>
                  <w:r>
                    <w:rPr>
                      <w:rFonts w:ascii="仿宋_GB2312" w:hAnsi="仿宋_GB2312" w:cs="仿宋_GB2312" w:eastAsia="仿宋_GB2312"/>
                      <w:sz w:val="24"/>
                    </w:rPr>
                    <w:t>A4、热敏小票两种打印模式，支持批量打印。</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支持生成电子报告</w:t>
                  </w:r>
                  <w:r>
                    <w:rPr>
                      <w:rFonts w:ascii="仿宋_GB2312" w:hAnsi="仿宋_GB2312" w:cs="仿宋_GB2312" w:eastAsia="仿宋_GB2312"/>
                      <w:sz w:val="24"/>
                    </w:rPr>
                    <w:t>PDF，可通过微信/短信推送至家长。</w:t>
                  </w:r>
                </w:p>
                <w:p>
                  <w:pPr>
                    <w:pStyle w:val="null3"/>
                    <w:jc w:val="both"/>
                  </w:pPr>
                  <w:r>
                    <w:rPr>
                      <w:rFonts w:ascii="仿宋_GB2312" w:hAnsi="仿宋_GB2312" w:cs="仿宋_GB2312" w:eastAsia="仿宋_GB2312"/>
                      <w:sz w:val="24"/>
                    </w:rPr>
                    <w:t>（五）统计分析与上报模块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自动生成学校</w:t>
                  </w:r>
                  <w:r>
                    <w:rPr>
                      <w:rFonts w:ascii="仿宋_GB2312" w:hAnsi="仿宋_GB2312" w:cs="仿宋_GB2312" w:eastAsia="仿宋_GB2312"/>
                      <w:sz w:val="24"/>
                    </w:rPr>
                    <w:t>/年级/班级近视率、屈光异常率、散光率、视力不良率统计图表。</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支持按年龄段、性别、学期进行趋势对比分析，生成可视化折线图、柱状图、饼图。</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提供标准化</w:t>
                  </w:r>
                  <w:r>
                    <w:rPr>
                      <w:rFonts w:ascii="仿宋_GB2312" w:hAnsi="仿宋_GB2312" w:cs="仿宋_GB2312" w:eastAsia="仿宋_GB2312"/>
                      <w:sz w:val="24"/>
                    </w:rPr>
                    <w:t>Excel导出模板，一键导出，满足教育局、疾控中心数据上报格式要求。</w:t>
                  </w:r>
                </w:p>
                <w:p>
                  <w:pPr>
                    <w:pStyle w:val="null3"/>
                    <w:ind w:firstLine="480"/>
                    <w:jc w:val="both"/>
                  </w:pPr>
                  <w:r>
                    <w:rPr>
                      <w:rFonts w:ascii="仿宋_GB2312" w:hAnsi="仿宋_GB2312" w:cs="仿宋_GB2312" w:eastAsia="仿宋_GB2312"/>
                      <w:sz w:val="24"/>
                    </w:rPr>
                    <w:t>4、数据传输与安全：输协议：蓝牙 5.0、Wi-Fi 6、4G/5G、HTTPS 加密；存储安全：云端AES-256 加密、异地备份；合规认证：等保三级、医疗数据安全规范、符合《儿童青少年近视筛查规范》</w:t>
                  </w:r>
                </w:p>
                <w:p>
                  <w:pPr>
                    <w:pStyle w:val="null3"/>
                    <w:jc w:val="both"/>
                  </w:pPr>
                  <w:r>
                    <w:rPr>
                      <w:rFonts w:ascii="仿宋_GB2312" w:hAnsi="仿宋_GB2312" w:cs="仿宋_GB2312" w:eastAsia="仿宋_GB2312"/>
                      <w:sz w:val="24"/>
                    </w:rPr>
                    <w:t>（六）系统管理与权限模块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管理员、筛查医生、校医、查看员多级权限设置，不同角色操作权限隔离。</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操作日志全程记录，数据自动备份，防止丢失。</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符合个人信息保护法要求，学生数据加密存储，禁止外泄。</w:t>
                  </w:r>
                </w:p>
                <w:p>
                  <w:pPr>
                    <w:pStyle w:val="null3"/>
                    <w:jc w:val="both"/>
                  </w:pPr>
                  <w:r>
                    <w:rPr>
                      <w:rFonts w:ascii="仿宋_GB2312" w:hAnsi="仿宋_GB2312" w:cs="仿宋_GB2312" w:eastAsia="仿宋_GB2312"/>
                      <w:sz w:val="24"/>
                    </w:rPr>
                    <w:t>三、硬件配套对接要求（与前面设备兼容）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兼容本次采购全自动电脑验光仪、医用液晶视力表，支持</w:t>
                  </w:r>
                  <w:r>
                    <w:rPr>
                      <w:rFonts w:ascii="仿宋_GB2312" w:hAnsi="仿宋_GB2312" w:cs="仿宋_GB2312" w:eastAsia="仿宋_GB2312"/>
                      <w:sz w:val="24"/>
                    </w:rPr>
                    <w:t>RS232、USB、蓝牙自动数据上传。</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可扩展对接：眼压计、角膜地形图、眼底相机等设备。</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配套平板电脑、热敏打印机、扫码枪（快速录入身份证</w:t>
                  </w:r>
                  <w:r>
                    <w:rPr>
                      <w:rFonts w:ascii="仿宋_GB2312" w:hAnsi="仿宋_GB2312" w:cs="仿宋_GB2312" w:eastAsia="仿宋_GB2312"/>
                      <w:sz w:val="24"/>
                    </w:rPr>
                    <w:t>/学籍号）。</w:t>
                  </w:r>
                </w:p>
                <w:p>
                  <w:pPr>
                    <w:pStyle w:val="null3"/>
                    <w:jc w:val="both"/>
                  </w:pPr>
                  <w:r>
                    <w:rPr>
                      <w:rFonts w:ascii="仿宋_GB2312" w:hAnsi="仿宋_GB2312" w:cs="仿宋_GB2312" w:eastAsia="仿宋_GB2312"/>
                      <w:sz w:val="24"/>
                    </w:rPr>
                    <w:t>四、软件运行</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操作系统：</w:t>
                  </w:r>
                  <w:r>
                    <w:rPr>
                      <w:rFonts w:ascii="仿宋_GB2312" w:hAnsi="仿宋_GB2312" w:cs="仿宋_GB2312" w:eastAsia="仿宋_GB2312"/>
                      <w:sz w:val="24"/>
                    </w:rPr>
                    <w:t>Windows 10及以上 / 安卓平板系统</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数据库：</w:t>
                  </w:r>
                  <w:r>
                    <w:rPr>
                      <w:rFonts w:ascii="仿宋_GB2312" w:hAnsi="仿宋_GB2312" w:cs="仿宋_GB2312" w:eastAsia="仿宋_GB2312"/>
                      <w:sz w:val="24"/>
                    </w:rPr>
                    <w:t>SQLite或MySQL</w:t>
                  </w:r>
                </w:p>
                <w:p>
                  <w:pPr>
                    <w:pStyle w:val="null3"/>
                    <w:ind w:firstLine="480"/>
                    <w:jc w:val="both"/>
                  </w:pPr>
                  <w:r>
                    <w:rPr>
                      <w:rFonts w:ascii="仿宋_GB2312" w:hAnsi="仿宋_GB2312" w:cs="仿宋_GB2312" w:eastAsia="仿宋_GB2312"/>
                      <w:sz w:val="24"/>
                    </w:rPr>
                    <w:t>3、部</w:t>
                  </w:r>
                  <w:r>
                    <w:rPr>
                      <w:rFonts w:ascii="仿宋_GB2312" w:hAnsi="仿宋_GB2312" w:cs="仿宋_GB2312" w:eastAsia="仿宋_GB2312"/>
                      <w:sz w:val="24"/>
                    </w:rPr>
                    <w:t>署方式：支持本地单机版、局域网版、云平台版三种部署模式</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网络要求：局域网内可离线筛查，联网后统一同步数据。</w:t>
                  </w:r>
                </w:p>
                <w:p>
                  <w:pPr>
                    <w:pStyle w:val="null3"/>
                    <w:jc w:val="both"/>
                  </w:pPr>
                  <w:r>
                    <w:rPr>
                      <w:rFonts w:ascii="仿宋_GB2312" w:hAnsi="仿宋_GB2312" w:cs="仿宋_GB2312" w:eastAsia="仿宋_GB2312"/>
                      <w:sz w:val="24"/>
                    </w:rPr>
                    <w:t>五、软件具备计算机软件著作权登记证书，提供软件产品检测报告。</w:t>
                  </w:r>
                </w:p>
                <w:p>
                  <w:pPr>
                    <w:pStyle w:val="null3"/>
                    <w:jc w:val="both"/>
                  </w:pP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FF0000"/>
                    </w:rPr>
                    <w:t>本项目核心产品为：电脑验光仪。</w:t>
                  </w:r>
                </w:p>
                <w:p>
                  <w:pPr>
                    <w:pStyle w:val="null3"/>
                    <w:jc w:val="both"/>
                  </w:pPr>
                  <w:r>
                    <w:rPr>
                      <w:rFonts w:ascii="仿宋_GB2312" w:hAnsi="仿宋_GB2312" w:cs="仿宋_GB2312" w:eastAsia="仿宋_GB2312"/>
                      <w:sz w:val="24"/>
                      <w:color w:val="FF0000"/>
                    </w:rPr>
                    <w:t>“★”</w:t>
                  </w:r>
                  <w:r>
                    <w:rPr>
                      <w:rFonts w:ascii="仿宋_GB2312" w:hAnsi="仿宋_GB2312" w:cs="仿宋_GB2312" w:eastAsia="仿宋_GB2312"/>
                      <w:sz w:val="24"/>
                      <w:color w:val="FF0000"/>
                    </w:rPr>
                    <w:t>为核心参数，实质性条款，不允许负偏离，需提供相关证明材料。证明材料包括但不限于检测报告，产品说明书，有相关参数的官网截图等，未提供证明材料视为未实质性响应，按无效投标处理。</w:t>
                  </w:r>
                </w:p>
                <w:p>
                  <w:pPr>
                    <w:pStyle w:val="null3"/>
                    <w:jc w:val="left"/>
                  </w:pP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进度款，第一次付清95%，达到付款条件起7个工作日内，支付合同总金额的95.0%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进度款，剩余的5%一年后付清，达到付款条件起7个工作日内，支付合同总金额的5.0%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乙方提供的货物应符合国家（或行业）规定标准。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设备质保一年，软件终身维护升级。</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1、乙方延迟提供服务，每延迟 （） 日，按合同金额的（）支付违约金。 2、一方不按期履行合同，并经另一方提示后 （） 日内仍不履行合同的，守约方有权解除合同，违约方要承担相应的法律责任。 3、如因一方违约，双方未能就赔偿损失达成协议，引起诉讼或仲裁时，违约方除应赔偿对方经济损失外，还应承担因诉讼或仲裁所支付的律师代理费等相关费用。 4、其它应承担的违约责任，以《中华人民共和国民法典合同篇》和其它有关法律、法规规定为准，无相关规定的，双方协商解决。 5、按照本合同规定应该偿付的违约金、赔偿金等，应当在明确责任后 （） 日内，按银行规定或双方商定的结算办法付清，否则按逾期付款处理。 因不可抗力致使一方不能及时或完全履行合同的，应及时通知采购代理机构及另一方，双方互不承担责任，并在（）天内提供有关不可抗力的相应证明。合同未履行部分是否继续履行、如何履行等问题，可由双方协商解决。 合同发生纠纷时，双方应协商解决，协商不成可以采用下列方式解决： 1、提交仲裁委员会仲裁； 2、向人民法院诉讼。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或其他组织或自然人，提供营业执照原件（事业单位须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资格证明文件.docx 供应商认为应当提交的其他资料.docx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供应商应授权合法的授权代表参加谈判全过程，其中法定代表人直接参加谈判的，须出具法人身份证并与营业执照信息一致，法定代表人授权代表参加谈判的，须出具法定代表人授权书、授权代表本人身份证</w:t>
            </w:r>
          </w:p>
        </w:tc>
        <w:tc>
          <w:tcPr>
            <w:tcW w:type="dxa" w:w="1661"/>
          </w:tcPr>
          <w:p>
            <w:pPr>
              <w:pStyle w:val="null3"/>
            </w:pPr>
            <w:r>
              <w:rPr>
                <w:rFonts w:ascii="仿宋_GB2312" w:hAnsi="仿宋_GB2312" w:cs="仿宋_GB2312" w:eastAsia="仿宋_GB2312"/>
              </w:rPr>
              <w:t>法定代表人证明书与谈判授权书.docx 资格证明文件.docx 供应商认为应当提交的其他资料.docx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响应人声明及承诺.docx 承诺书.docx 资格证明文件.docx 供应商认为应当提交的其他资料.docx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响应文件中未按照谈判文件规定要求签署、盖章的。</w:t>
            </w:r>
          </w:p>
        </w:tc>
        <w:tc>
          <w:tcPr>
            <w:tcW w:type="dxa" w:w="1661"/>
          </w:tcPr>
          <w:p>
            <w:pPr>
              <w:pStyle w:val="null3"/>
            </w:pPr>
            <w:r>
              <w:rPr>
                <w:rFonts w:ascii="仿宋_GB2312" w:hAnsi="仿宋_GB2312" w:cs="仿宋_GB2312" w:eastAsia="仿宋_GB2312"/>
              </w:rPr>
              <w:t>响应文件封面 产品技术参数表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投标有效期不足的或无有效期的</w:t>
            </w:r>
          </w:p>
        </w:tc>
        <w:tc>
          <w:tcPr>
            <w:tcW w:type="dxa" w:w="1661"/>
          </w:tcPr>
          <w:p>
            <w:pPr>
              <w:pStyle w:val="null3"/>
            </w:pPr>
            <w:r>
              <w:rPr>
                <w:rFonts w:ascii="仿宋_GB2312" w:hAnsi="仿宋_GB2312" w:cs="仿宋_GB2312" w:eastAsia="仿宋_GB2312"/>
              </w:rPr>
              <w:t>响应函 供应商认为应当提交的其他资料.docx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投标报价超过谈判文件中规定的采购预算或最高限价或标的金额的。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响应文件含有采购人不能接受的附加条件的或其他情况</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详见附件：法定代表人证明书与谈判授权书.docx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详见附件：谈判报价分项报价表.docx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详见附件：响应人声明及承诺.docx</w:t>
      </w:r>
    </w:p>
    <w:p>
      <w:pPr>
        <w:pStyle w:val="null3"/>
        <w:ind w:firstLine="960"/>
      </w:pPr>
      <w:r>
        <w:rPr>
          <w:rFonts w:ascii="仿宋_GB2312" w:hAnsi="仿宋_GB2312" w:cs="仿宋_GB2312" w:eastAsia="仿宋_GB2312"/>
        </w:rPr>
        <w:t>详见附件：售后服务承诺.docx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详见附件：供应商认为应当提交的其他资料.docx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