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版本号：ZCBN-城固县-2026-0021120260811002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2025年原公镇东窑村壮大村集体柑橘分选中心建设项目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ZCBN-城固县-2026-00211</w:t>
      </w:r>
      <w:r>
        <w:br/>
      </w:r>
      <w:r>
        <w:br/>
      </w:r>
      <w:r>
        <w:br/>
      </w:r>
    </w:p>
    <w:p>
      <w:pPr>
        <w:pStyle w:val="null3"/>
        <w:jc w:val="center"/>
        <w:outlineLvl w:val="2"/>
      </w:pPr>
      <w:r>
        <w:rPr>
          <w:rFonts w:ascii="仿宋_GB2312" w:hAnsi="仿宋_GB2312" w:cs="仿宋_GB2312" w:eastAsia="仿宋_GB2312"/>
          <w:sz w:val="28"/>
          <w:b/>
        </w:rPr>
        <w:t>城固县原公镇人民政府</w:t>
      </w:r>
    </w:p>
    <w:p>
      <w:pPr>
        <w:pStyle w:val="null3"/>
        <w:jc w:val="center"/>
        <w:outlineLvl w:val="2"/>
      </w:pPr>
      <w:r>
        <w:rPr>
          <w:rFonts w:ascii="仿宋_GB2312" w:hAnsi="仿宋_GB2312" w:cs="仿宋_GB2312" w:eastAsia="仿宋_GB2312"/>
          <w:sz w:val="28"/>
          <w:b/>
        </w:rPr>
        <w:t>陕西顺成项目管理有限公司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陕西顺成项目管理有限公司</w:t>
      </w:r>
      <w:r>
        <w:rPr>
          <w:rFonts w:ascii="仿宋_GB2312" w:hAnsi="仿宋_GB2312" w:cs="仿宋_GB2312" w:eastAsia="仿宋_GB2312"/>
        </w:rPr>
        <w:t>（以下简称“代理机构”）受</w:t>
      </w:r>
      <w:r>
        <w:rPr>
          <w:rFonts w:ascii="仿宋_GB2312" w:hAnsi="仿宋_GB2312" w:cs="仿宋_GB2312" w:eastAsia="仿宋_GB2312"/>
        </w:rPr>
        <w:t>城固县原公镇人民政府</w:t>
      </w:r>
      <w:r>
        <w:rPr>
          <w:rFonts w:ascii="仿宋_GB2312" w:hAnsi="仿宋_GB2312" w:cs="仿宋_GB2312" w:eastAsia="仿宋_GB2312"/>
        </w:rPr>
        <w:t>委托，拟对</w:t>
      </w:r>
      <w:r>
        <w:rPr>
          <w:rFonts w:ascii="仿宋_GB2312" w:hAnsi="仿宋_GB2312" w:cs="仿宋_GB2312" w:eastAsia="仿宋_GB2312"/>
        </w:rPr>
        <w:t>2025年原公镇东窑村壮大村集体柑橘分选中心建设项目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ZCBN-城固县-2026-00211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2025年原公镇东窑村壮大村集体柑橘分选中心建设项目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购买注塑机等设备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采购包1（2025年原公镇东窑村壮大村集体柑橘分选中心建设项目）：属于专门面向中小企业采购。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1、营业执照：供应商应具有独立承担民事责任的能力的企业法人、事业法人、其他组织或者自然人,企业法人应提供营业 执照等证明文件；事业法人应提供事业单位法人证、组织机构代码证等证明文件（或统一社会信用代码的事业单位法人证）等 证明文件；其他组织应提供合法证明文件；自然人提供身份证明文件</w:t>
      </w:r>
    </w:p>
    <w:p>
      <w:pPr>
        <w:pStyle w:val="null3"/>
      </w:pPr>
      <w:r>
        <w:rPr>
          <w:rFonts w:ascii="仿宋_GB2312" w:hAnsi="仿宋_GB2312" w:cs="仿宋_GB2312" w:eastAsia="仿宋_GB2312"/>
        </w:rPr>
        <w:t>2、法定代表人授权委托书：法定代表人授权委托书（附法定代表人身份证复印件）及被授权委托人身份证（法定代表人 参加投标只须提供法定代表人身份证）</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 设备和专业技术能力,具有依法缴纳税收和社会保障金的良好记录，参加本项目采购活动前三年内无重大违法活动记录，未列 入在信用中国网站“失信被执行人”、“重大税收违法案件当事人名单”中，也未列入中国政府采购网“政府采购严重违法失信行 为记录名单”中。需提供《汉中市政府采购供应商资格承诺函》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城固县原公镇人民政府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城固县原公镇田什字街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18329618938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陕西顺成项目管理有限公司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陕西省汉中市汉台区陕西省汉中市汉台区东关街道办事处东新街地王熙苑二期二楼商铺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09168811787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开户名称：陕西顺成项目管理有限公司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银行账号：2606021609200127722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招标代理服务费依据《国家计委关于印发标代理服务收费管理暂行办法的通知》(计价格【2002】1980号)和国家发改委办公厅国发的《关于招标代理服务收费有关问题的通知》(发改办价格【2003】857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城固县原公镇人民政府</w:t>
      </w:r>
      <w:r>
        <w:rPr>
          <w:rFonts w:ascii="仿宋_GB2312" w:hAnsi="仿宋_GB2312" w:cs="仿宋_GB2312" w:eastAsia="仿宋_GB2312"/>
        </w:rPr>
        <w:t>和</w:t>
      </w:r>
      <w:r>
        <w:rPr>
          <w:rFonts w:ascii="仿宋_GB2312" w:hAnsi="仿宋_GB2312" w:cs="仿宋_GB2312" w:eastAsia="仿宋_GB2312"/>
        </w:rPr>
        <w:t>陕西顺成项目管理有限公司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城固县原公镇人民政府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陕西顺成项目管理有限公司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城固县原公镇人民政府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陕西顺成项目管理有限公司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设备相关技术资料（说明书、操作手册、维修手册）归采购人；供应商保证设备无知识产权侵权，若侵权由其承担责任。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符合国家相关标准、产品质量标准，及项目需求清单约定的验收要求。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联系人：石女士</w:t>
      </w:r>
    </w:p>
    <w:p>
      <w:pPr>
        <w:pStyle w:val="null3"/>
      </w:pPr>
      <w:r>
        <w:rPr>
          <w:rFonts w:ascii="仿宋_GB2312" w:hAnsi="仿宋_GB2312" w:cs="仿宋_GB2312" w:eastAsia="仿宋_GB2312"/>
        </w:rPr>
        <w:t>联系电话：09168811787</w:t>
      </w:r>
    </w:p>
    <w:p>
      <w:pPr>
        <w:pStyle w:val="null3"/>
      </w:pPr>
      <w:r>
        <w:rPr>
          <w:rFonts w:ascii="仿宋_GB2312" w:hAnsi="仿宋_GB2312" w:cs="仿宋_GB2312" w:eastAsia="仿宋_GB2312"/>
        </w:rPr>
        <w:t>地址：陕西省汉中市汉台区东关街道办事处东新街地王熙苑二期二 楼商铺</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购买注塑机等设备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510,000.00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2025年原公镇东窑村壮大村集体柑橘分选中心建设项目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标的名称：2025年原公镇东窑村壮大村集体柑橘分选中心建设项目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787"/>
              <w:gridCol w:w="442"/>
              <w:gridCol w:w="1117"/>
              <w:gridCol w:w="207"/>
            </w:tblGrid>
            <w:tr>
              <w:tc>
                <w:tcPr>
                  <w:tcW w:type="dxa" w:w="255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注塑机</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名称</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1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w:t>
                  </w:r>
                </w:p>
              </w:tc>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螺杆直径</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mm</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套</w:t>
                  </w: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螺杆长径比</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L/D</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理论注射容积</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cm³</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≥3200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注射量</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≥2900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注射速率</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g/s</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注射压力</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MPa</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螺杆转速</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rpm</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0-155</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★合模力</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kN</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≥5300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移模行程</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mm</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拉杆间距（</w:t>
                  </w:r>
                  <w:r>
                    <w:rPr>
                      <w:rFonts w:ascii="仿宋_GB2312" w:hAnsi="仿宋_GB2312" w:cs="仿宋_GB2312" w:eastAsia="仿宋_GB2312"/>
                      <w:sz w:val="19"/>
                    </w:rPr>
                    <w:t>WXH)</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mm</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≥800×800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最大模厚</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mm</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最小模厚</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mm</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顶出行程</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mm</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顶出力</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kN</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顶出杆根数</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合模速度（最大）</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mm/s</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开模速度（最大）</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mm/s</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控制方式</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微电脑控制</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重复定位精度</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mm</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≤0.1</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★最大油泵压力</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MPa</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伺服电机功率</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kW</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电热功率</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kW</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外形尺寸</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≤8.5×2.0×2.3</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机器重量</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料斗容积</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油箱容积</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L</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适用原料</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兼容</w:t>
                  </w:r>
                  <w:r>
                    <w:rPr>
                      <w:rFonts w:ascii="仿宋_GB2312" w:hAnsi="仿宋_GB2312" w:cs="仿宋_GB2312" w:eastAsia="仿宋_GB2312"/>
                      <w:sz w:val="19"/>
                    </w:rPr>
                    <w:t>PP/PE 等蔬果筐常用注塑原料</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制冷量</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w:t>
                  </w:r>
                  <w:r>
                    <w:rPr>
                      <w:rFonts w:ascii="仿宋_GB2312" w:hAnsi="仿宋_GB2312" w:cs="仿宋_GB2312" w:eastAsia="仿宋_GB2312"/>
                      <w:sz w:val="19"/>
                    </w:rPr>
                    <w:t>*宽</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mm</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≤2300*1900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电机功率</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kW</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每小时流量</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m³/h</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重量</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≤125</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风机类型</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轴流风机，电机直联驱动</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风机转速</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rpm</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材质</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主体为耐腐蚀材质（如玻璃钢或等效材质），适配注塑机冷却系统</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补水方式</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具备自动</w:t>
                  </w:r>
                  <w:r>
                    <w:rPr>
                      <w:rFonts w:ascii="仿宋_GB2312" w:hAnsi="仿宋_GB2312" w:cs="仿宋_GB2312" w:eastAsia="仿宋_GB2312"/>
                      <w:sz w:val="19"/>
                    </w:rPr>
                    <w:t>/手动补水功能</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干燥能力</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加热功率</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kW</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风机功率</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kW</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≥0.5</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使用电压</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V</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380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外形尺寸</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mm</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≤1400*1000*1650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安装尺寸</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mm</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≤300*300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整机重量</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干燥温度范围</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40-180（可调节）</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热风循环系统</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具备密闭热风循环，热效率</w:t>
                  </w:r>
                  <w:r>
                    <w:rPr>
                      <w:rFonts w:ascii="仿宋_GB2312" w:hAnsi="仿宋_GB2312" w:cs="仿宋_GB2312" w:eastAsia="仿宋_GB2312"/>
                      <w:sz w:val="19"/>
                    </w:rPr>
                    <w:t>≥85%</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适用原料</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兼容</w:t>
                  </w:r>
                  <w:r>
                    <w:rPr>
                      <w:rFonts w:ascii="仿宋_GB2312" w:hAnsi="仿宋_GB2312" w:cs="仿宋_GB2312" w:eastAsia="仿宋_GB2312"/>
                      <w:sz w:val="19"/>
                    </w:rPr>
                    <w:t>PP/PE 等蔬果筐常用注塑原料</w:t>
                  </w:r>
                </w:p>
              </w:tc>
              <w:tc>
                <w:tcPr>
                  <w:tcW w:type="dxa" w:w="207"/>
                  <w:vMerge/>
                  <w:tcBorders>
                    <w:top w:val="none" w:color="000000" w:sz="4"/>
                    <w:left w:val="single" w:color="000000" w:sz="4"/>
                    <w:bottom w:val="single" w:color="000000" w:sz="4"/>
                    <w:right w:val="single" w:color="000000" w:sz="4"/>
                  </w:tcBorders>
                </w:tcPr>
                <w:p/>
              </w:tc>
            </w:tr>
            <w:tr>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保护功能</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具备超温、缺料、风机故障保护功能</w:t>
                  </w:r>
                </w:p>
              </w:tc>
              <w:tc>
                <w:tcPr>
                  <w:tcW w:type="dxa" w:w="207"/>
                  <w:vMerge/>
                  <w:tcBorders>
                    <w:top w:val="none" w:color="000000" w:sz="4"/>
                    <w:left w:val="single" w:color="000000" w:sz="4"/>
                    <w:bottom w:val="single" w:color="000000" w:sz="4"/>
                    <w:right w:val="single" w:color="000000" w:sz="4"/>
                  </w:tcBorders>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合同签订之日起40日完成</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进度款，项目设备采购安装到位，达到付款条件起5个工作日内，支付合同总金额的50.0%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进度款，设备正常运行、人员培训完成，项目验收合格后 ，达到付款条件起5个工作日内，支付合同总金额的20.0%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按国家相关行业相关标准及企业标准执行，质量符合法规及采购人提供参数要求；供应商完成设备安装调试至正常运行、提供操作培训，提交设备合格证等资料，经采购人现场查验合格后通过验收。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合同内所有范围，保修期1年。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 执照等证明文件；事业法人应提供事业单位法人证、组织机构代码证等证明文件（或统一社会信用代码的事业单位法人证）等 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 参加投标只须提供法定代表人身份证）</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 设备和专业技术能力,具有依法缴纳税收和社会保障金的良好记录，参加本项目采购活动前三年内无重大违法活动记录，未列 入在信用中国网站“失信被执行人”、“重大税收违法案件当事人名单”中，也未列入中国政府采购网“政府采购严重违法失信行 为记录名单”中。需提供《汉中市政府采购供应商资格承诺函》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供应商应提交的相关资格证明材料(1).pdf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符合谈判文件格式，在指定地方签字或盖章</w:t>
            </w:r>
          </w:p>
        </w:tc>
        <w:tc>
          <w:tcPr>
            <w:tcW w:type="dxa" w:w="1661"/>
          </w:tcPr>
          <w:p>
            <w:pPr>
              <w:pStyle w:val="null3"/>
            </w:pPr>
            <w:r>
              <w:rPr>
                <w:rFonts w:ascii="仿宋_GB2312" w:hAnsi="仿宋_GB2312" w:cs="仿宋_GB2312" w:eastAsia="仿宋_GB2312"/>
              </w:rPr>
              <w:t>响应文件封面 产品技术参数表 分项报价表.docx 中小企业声明函 残疾人福利性单位声明函 商务应答表 标的清单 关于符合本国产品标准的声明函 报价表 响应函 供应商应提交的相关资格证明材料(1).pdf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产品技术参数</w:t>
            </w:r>
          </w:p>
        </w:tc>
        <w:tc>
          <w:tcPr>
            <w:tcW w:type="dxa" w:w="3322"/>
          </w:tcPr>
          <w:p>
            <w:pPr>
              <w:pStyle w:val="null3"/>
            </w:pPr>
            <w:r>
              <w:rPr>
                <w:rFonts w:ascii="仿宋_GB2312" w:hAnsi="仿宋_GB2312" w:cs="仿宋_GB2312" w:eastAsia="仿宋_GB2312"/>
              </w:rPr>
              <w:t>符合谈判文件技术参数要求参数，必须提供佐证材料（证明材料包括但不限于检测报告，产品说明书，有相关参数的官网截图等）</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符合谈判文件商务要求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详见附件：供应商应提交的相关资格证明材料(1).pdf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详见附件：拟签订合同文本（货物）.docx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