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版本号：RTDZB（2026-021）20260623001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运动场及附属工程</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RTDZB（2026-021）</w:t>
      </w:r>
      <w:r>
        <w:br/>
      </w:r>
      <w:r>
        <w:br/>
      </w:r>
      <w:r>
        <w:br/>
      </w:r>
    </w:p>
    <w:p>
      <w:pPr>
        <w:pStyle w:val="null3"/>
        <w:jc w:val="center"/>
        <w:outlineLvl w:val="2"/>
      </w:pPr>
      <w:r>
        <w:rPr>
          <w:rFonts w:ascii="仿宋_GB2312" w:hAnsi="仿宋_GB2312" w:cs="仿宋_GB2312" w:eastAsia="仿宋_GB2312"/>
          <w:sz w:val="28"/>
          <w:b/>
        </w:rPr>
        <w:t>镇巴县黎坝镇中心小学</w:t>
      </w:r>
    </w:p>
    <w:p>
      <w:pPr>
        <w:pStyle w:val="null3"/>
        <w:jc w:val="center"/>
        <w:outlineLvl w:val="2"/>
      </w:pPr>
      <w:r>
        <w:rPr>
          <w:rFonts w:ascii="仿宋_GB2312" w:hAnsi="仿宋_GB2312" w:cs="仿宋_GB2312" w:eastAsia="仿宋_GB2312"/>
          <w:sz w:val="28"/>
          <w:b/>
        </w:rPr>
        <w:t>陕西瑞通达工程造价咨询有限公司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陕西瑞通达工程造价咨询有限公司</w:t>
      </w:r>
      <w:r>
        <w:rPr>
          <w:rFonts w:ascii="仿宋_GB2312" w:hAnsi="仿宋_GB2312" w:cs="仿宋_GB2312" w:eastAsia="仿宋_GB2312"/>
        </w:rPr>
        <w:t>（以下简称“代理机构”）受</w:t>
      </w:r>
      <w:r>
        <w:rPr>
          <w:rFonts w:ascii="仿宋_GB2312" w:hAnsi="仿宋_GB2312" w:cs="仿宋_GB2312" w:eastAsia="仿宋_GB2312"/>
        </w:rPr>
        <w:t>镇巴县黎坝镇中心小学</w:t>
      </w:r>
      <w:r>
        <w:rPr>
          <w:rFonts w:ascii="仿宋_GB2312" w:hAnsi="仿宋_GB2312" w:cs="仿宋_GB2312" w:eastAsia="仿宋_GB2312"/>
        </w:rPr>
        <w:t>委托，拟对</w:t>
      </w:r>
      <w:r>
        <w:rPr>
          <w:rFonts w:ascii="仿宋_GB2312" w:hAnsi="仿宋_GB2312" w:cs="仿宋_GB2312" w:eastAsia="仿宋_GB2312"/>
        </w:rPr>
        <w:t>运动场及附属工程</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RTDZB（2026-021）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运动场及附属工程</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该工程位于汉中市镇巴县黎坝镇中心小学校园内。主要建设内容为：1.改造校园内运动场，改建面积4926m2。2.改建教学楼、宿舍楼、餐厅楼，总改建面积3555m2；3.配套建设排水明沟138m、沉砂井4座、De300HDPE管83m等附属设施。</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采购包1（运动场及附属工程）：属于专门面向中小企业采购。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应为具有独立承担民事责任能力的法人、其他组织或自然人：供应商应为具有独立承担民事责任能力的法人、其他组织或自然人。提供合法有效的统一社会信用代码营业执照或事业单位法人证书（自然人应提供身份证明）</w:t>
      </w:r>
    </w:p>
    <w:p>
      <w:pPr>
        <w:pStyle w:val="null3"/>
      </w:pPr>
      <w:r>
        <w:rPr>
          <w:rFonts w:ascii="仿宋_GB2312" w:hAnsi="仿宋_GB2312" w:cs="仿宋_GB2312" w:eastAsia="仿宋_GB2312"/>
        </w:rPr>
        <w:t>2、供应商须具备有效期内的建设行政主管部门核发的【建筑工程施工总承包三级】及以上资质等级证书，并具有安全生产许可证：供应商须具备有效期内的建设行政主管部门核发的【建筑工程施工总承包三级】及以上资质等级证书，并具有安全生产许可证。提供合法有效的证书加盖供应商公章</w:t>
      </w:r>
    </w:p>
    <w:p>
      <w:pPr>
        <w:pStyle w:val="null3"/>
      </w:pPr>
      <w:r>
        <w:rPr>
          <w:rFonts w:ascii="仿宋_GB2312" w:hAnsi="仿宋_GB2312" w:cs="仿宋_GB2312" w:eastAsia="仿宋_GB2312"/>
        </w:rPr>
        <w:t>3、拟派项目经理须具备建筑工程专业二级及以上注册建造师资格，并具有行业主管部门核发的（B）类安全考核合格证书，在本单位注册且无在建工程：拟派项目经理须具备建筑工程专业二级及以上注册建造师资格，并具有行业主管部门核发的（B）类安全考核合格证书，在本单位注册且无在建工程。提供合法有效的证书加盖供应商公章。项目经理无在建证明以承诺书为准。</w:t>
      </w:r>
    </w:p>
    <w:p>
      <w:pPr>
        <w:pStyle w:val="null3"/>
      </w:pPr>
      <w:r>
        <w:rPr>
          <w:rFonts w:ascii="仿宋_GB2312" w:hAnsi="仿宋_GB2312" w:cs="仿宋_GB2312" w:eastAsia="仿宋_GB2312"/>
        </w:rPr>
        <w:t>4、供应商应授权合法的人员参加磋商：供应商应授权合法的人员参加磋商。法定代表人直接参与时需提供法定代表人身份证明加盖公章;被授权人参与时需提供授权委托书。</w:t>
      </w:r>
    </w:p>
    <w:p>
      <w:pPr>
        <w:pStyle w:val="null3"/>
      </w:pPr>
      <w:r>
        <w:rPr>
          <w:rFonts w:ascii="仿宋_GB2312" w:hAnsi="仿宋_GB2312" w:cs="仿宋_GB2312" w:eastAsia="仿宋_GB2312"/>
        </w:rPr>
        <w:t>5、供应商不得为“信用中国(www.creditchina.gov.cn)”中列入失信被执行人和重大税收违法案件当事人名单的供应商，不得为“中国政府采购网(www.ccgp.gov.cn)” 政府采购严重违法失信行为记录名单中被财政部门禁止参加政府采购活动的供应商，须提供《汉中市政府采购供应商资格承诺函》：供应商不得为“信用中国(www.creditchina.gov.cn)”中列入失信被执行人和重大税收违法案件当事人名单的供应商，不得为“中国政府采购网(www.ccgp.gov.cn)” 政府采购严重违法失信行为记录名单中被财政部门禁止参加政府采购活动的供应商。须提供《汉中市政府采购供应商资格承诺函》</w:t>
      </w:r>
    </w:p>
    <w:p>
      <w:pPr>
        <w:pStyle w:val="null3"/>
      </w:pPr>
      <w:r>
        <w:rPr>
          <w:rFonts w:ascii="仿宋_GB2312" w:hAnsi="仿宋_GB2312" w:cs="仿宋_GB2312" w:eastAsia="仿宋_GB2312"/>
        </w:rPr>
        <w:t>6、本项目专门面向中小企业采购：本项目专门面向中小企业采购。须提供《中小企业声明函》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镇巴县黎坝镇中心小学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镇巴县黎坝镇春生社区宝山寺</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723609</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喻老师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0916-6961001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陕西瑞通达工程造价咨询有限公司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陕西省汉中市汉台区和谐春天108号楼三楼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石晓梅</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0916-2527896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镇巴县政府采购管理股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郝芳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13259290919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采购包1：2,216,688.60元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采购包1保证金金额：20,000.00元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开户名称：陕西瑞通达工程造价咨询有限公司</w:t>
            </w:r>
          </w:p>
          <w:p>
            <w:pPr>
              <w:pStyle w:val="null3"/>
            </w:pPr>
            <w:r>
              <w:rPr>
                <w:rFonts w:ascii="仿宋_GB2312" w:hAnsi="仿宋_GB2312" w:cs="仿宋_GB2312" w:eastAsia="仿宋_GB2312"/>
              </w:rPr>
              <w:t>开户银行：中国农业发展银行汉中市分行营业部</w:t>
            </w:r>
          </w:p>
          <w:p>
            <w:pPr>
              <w:pStyle w:val="null3"/>
            </w:pPr>
            <w:r>
              <w:rPr>
                <w:rFonts w:ascii="仿宋_GB2312" w:hAnsi="仿宋_GB2312" w:cs="仿宋_GB2312" w:eastAsia="仿宋_GB2312"/>
              </w:rPr>
              <w:t>银行账号：20361079900100000558521</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招标代理服务收费管理暂行办法》(计价格(2002)1980号)、《关于招标代理服务收费有关问题的通知》(发改办价格(2003)857号)以及《国家发展改革委关于降低部分建设项目收费标准规范收费行为等有关问题的通知》(发改价格(2011)534号)规定的标准收取。</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镇巴县黎坝镇中心小学</w:t>
      </w:r>
      <w:r>
        <w:rPr>
          <w:rFonts w:ascii="仿宋_GB2312" w:hAnsi="仿宋_GB2312" w:cs="仿宋_GB2312" w:eastAsia="仿宋_GB2312"/>
        </w:rPr>
        <w:t>和</w:t>
      </w:r>
      <w:r>
        <w:rPr>
          <w:rFonts w:ascii="仿宋_GB2312" w:hAnsi="仿宋_GB2312" w:cs="仿宋_GB2312" w:eastAsia="仿宋_GB2312"/>
        </w:rPr>
        <w:t>陕西瑞通达工程造价咨询有限公司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镇巴县黎坝镇中心小学</w:t>
      </w:r>
      <w:r>
        <w:rPr>
          <w:rFonts w:ascii="仿宋_GB2312" w:hAnsi="仿宋_GB2312" w:cs="仿宋_GB2312" w:eastAsia="仿宋_GB2312"/>
        </w:rPr>
        <w:t>负责解释。除上述磋商文件内容，其他内容由</w:t>
      </w:r>
      <w:r>
        <w:rPr>
          <w:rFonts w:ascii="仿宋_GB2312" w:hAnsi="仿宋_GB2312" w:cs="仿宋_GB2312" w:eastAsia="仿宋_GB2312"/>
        </w:rPr>
        <w:t>陕西瑞通达工程造价咨询有限公司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镇巴县黎坝镇中心小学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陕西瑞通达工程造价咨询有限公司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项目交付成果知识产权归属采购人</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主要依据行业主管部门规定的标准、方法和内容进行验收，同时需遵循国家强制性标准、法律法规以及合同约定的各项要求</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陕西瑞通达工程造价咨询有限公司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陕西瑞通达工程造价咨询有限公司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陕西瑞通达工程造价咨询有限公司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 石晓梅</w:t>
      </w:r>
    </w:p>
    <w:p>
      <w:pPr>
        <w:pStyle w:val="null3"/>
      </w:pPr>
      <w:r>
        <w:rPr>
          <w:rFonts w:ascii="仿宋_GB2312" w:hAnsi="仿宋_GB2312" w:cs="仿宋_GB2312" w:eastAsia="仿宋_GB2312"/>
        </w:rPr>
        <w:t>联系电话：0916-2527896</w:t>
      </w:r>
    </w:p>
    <w:p>
      <w:pPr>
        <w:pStyle w:val="null3"/>
      </w:pPr>
      <w:r>
        <w:rPr>
          <w:rFonts w:ascii="仿宋_GB2312" w:hAnsi="仿宋_GB2312" w:cs="仿宋_GB2312" w:eastAsia="仿宋_GB2312"/>
        </w:rPr>
        <w:t>地址：陕西省汉中市汉台区和谐春天108号楼三楼</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2,216,688.60</w:t>
      </w:r>
    </w:p>
    <w:p>
      <w:pPr>
        <w:pStyle w:val="null3"/>
      </w:pPr>
      <w:r>
        <w:rPr>
          <w:rFonts w:ascii="仿宋_GB2312" w:hAnsi="仿宋_GB2312" w:cs="仿宋_GB2312" w:eastAsia="仿宋_GB2312"/>
        </w:rPr>
        <w:t>采购包最高限价（元）: 2,216,688.60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镇巴县黎坝镇中心小学运动场及附属工程</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2,216,688.60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标的名称：镇巴县黎坝镇中心小学运动场及附属工程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施工质量：达到国家现行施工验收规范“合格”标准。</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工期：45日历天</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rPr>
              <w:t>投标有效期：从提交首次响应文件截止之日起，不少于90天。</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施工质量达到国家现行施工验收规范“合格”标准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1.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 2.供应商提交的已标价工程量清单应符合本项目工程量清单以及清单说明的要求。 3.供应商报价超过政府采购预算或最高限价（金额详见“供应商须知前附表”）的，其响应文件按无效处理。</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因本项目为不见面开标，投标供应商无需在开标现场提交纸质响应文件，成交供应商须在成交结果公示结束后 5 个工作日内向代理机构提供纸质版响应文件，响应文件正本 1 份，副本1份、电子版1 份，编辑目录和页码（响应文件内容须与电子交易平台上传文件内容保持一致）。（电子版内还须提供按照广联达云计价GCCP7.0计价软件生成的工程量清单计价表软件版）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供应商资格证明文件...pdf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供应商应为具有独立承担民事责任能力的法人、其他组织或自然人</w:t>
            </w:r>
          </w:p>
        </w:tc>
        <w:tc>
          <w:tcPr>
            <w:tcW w:type="dxa" w:w="3322"/>
          </w:tcPr>
          <w:p>
            <w:pPr>
              <w:pStyle w:val="null3"/>
            </w:pPr>
            <w:r>
              <w:rPr>
                <w:rFonts w:ascii="仿宋_GB2312" w:hAnsi="仿宋_GB2312" w:cs="仿宋_GB2312" w:eastAsia="仿宋_GB2312"/>
              </w:rPr>
              <w:t>供应商应为具有独立承担民事责任能力的法人、其他组织或自然人。提供合法有效的统一社会信用代码营业执照或事业单位法人证书（自然人应提供身份证明）</w:t>
            </w:r>
          </w:p>
        </w:tc>
        <w:tc>
          <w:tcPr>
            <w:tcW w:type="dxa" w:w="1661"/>
          </w:tcPr>
          <w:p>
            <w:pPr>
              <w:pStyle w:val="null3"/>
            </w:pPr>
            <w:r>
              <w:rPr>
                <w:rFonts w:ascii="仿宋_GB2312" w:hAnsi="仿宋_GB2312" w:cs="仿宋_GB2312" w:eastAsia="仿宋_GB2312"/>
              </w:rPr>
              <w:t>响应文件封面 供应商资格证明文件...pdf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供应商须具备有效期内的建设行政主管部门核发的【建筑工程施工总承包三级】及以上资质等级证书，并具有安全生产许可证</w:t>
            </w:r>
          </w:p>
        </w:tc>
        <w:tc>
          <w:tcPr>
            <w:tcW w:type="dxa" w:w="3322"/>
          </w:tcPr>
          <w:p>
            <w:pPr>
              <w:pStyle w:val="null3"/>
            </w:pPr>
            <w:r>
              <w:rPr>
                <w:rFonts w:ascii="仿宋_GB2312" w:hAnsi="仿宋_GB2312" w:cs="仿宋_GB2312" w:eastAsia="仿宋_GB2312"/>
              </w:rPr>
              <w:t>供应商须具备有效期内的建设行政主管部门核发的【建筑工程施工总承包三级】及以上资质等级证书，并具有安全生产许可证。提供合法有效的证书加盖供应商公章</w:t>
            </w:r>
          </w:p>
        </w:tc>
        <w:tc>
          <w:tcPr>
            <w:tcW w:type="dxa" w:w="1661"/>
          </w:tcPr>
          <w:p>
            <w:pPr>
              <w:pStyle w:val="null3"/>
            </w:pPr>
            <w:r>
              <w:rPr>
                <w:rFonts w:ascii="仿宋_GB2312" w:hAnsi="仿宋_GB2312" w:cs="仿宋_GB2312" w:eastAsia="仿宋_GB2312"/>
              </w:rPr>
              <w:t>供应商资格证明文件...pdf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拟派项目经理须具备建筑工程专业二级及以上注册建造师资格，并具有行业主管部门核发的（B）类安全考核合格证书，在本单位注册且无在建工程</w:t>
            </w:r>
          </w:p>
        </w:tc>
        <w:tc>
          <w:tcPr>
            <w:tcW w:type="dxa" w:w="3322"/>
          </w:tcPr>
          <w:p>
            <w:pPr>
              <w:pStyle w:val="null3"/>
            </w:pPr>
            <w:r>
              <w:rPr>
                <w:rFonts w:ascii="仿宋_GB2312" w:hAnsi="仿宋_GB2312" w:cs="仿宋_GB2312" w:eastAsia="仿宋_GB2312"/>
              </w:rPr>
              <w:t>拟派项目经理须具备建筑工程专业二级及以上注册建造师资格，并具有行业主管部门核发的（B）类安全考核合格证书，在本单位注册且无在建工程。提供合法有效的证书加盖供应商公章。项目经理无在建证明以承诺书为准。</w:t>
            </w:r>
          </w:p>
        </w:tc>
        <w:tc>
          <w:tcPr>
            <w:tcW w:type="dxa" w:w="1661"/>
          </w:tcPr>
          <w:p>
            <w:pPr>
              <w:pStyle w:val="null3"/>
            </w:pPr>
            <w:r>
              <w:rPr>
                <w:rFonts w:ascii="仿宋_GB2312" w:hAnsi="仿宋_GB2312" w:cs="仿宋_GB2312" w:eastAsia="仿宋_GB2312"/>
              </w:rPr>
              <w:t>项目管理机构组成表 供应商资格证明文件...pdf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供应商应授权合法的人员参加磋商</w:t>
            </w:r>
          </w:p>
        </w:tc>
        <w:tc>
          <w:tcPr>
            <w:tcW w:type="dxa" w:w="3322"/>
          </w:tcPr>
          <w:p>
            <w:pPr>
              <w:pStyle w:val="null3"/>
            </w:pPr>
            <w:r>
              <w:rPr>
                <w:rFonts w:ascii="仿宋_GB2312" w:hAnsi="仿宋_GB2312" w:cs="仿宋_GB2312" w:eastAsia="仿宋_GB2312"/>
              </w:rPr>
              <w:t>供应商应授权合法的人员参加磋商。法定代表人直接参与时需提供法定代表人身份证明加盖公章;被授权人参与时需提供授权委托书。</w:t>
            </w:r>
          </w:p>
        </w:tc>
        <w:tc>
          <w:tcPr>
            <w:tcW w:type="dxa" w:w="1661"/>
          </w:tcPr>
          <w:p>
            <w:pPr>
              <w:pStyle w:val="null3"/>
            </w:pPr>
            <w:r>
              <w:rPr>
                <w:rFonts w:ascii="仿宋_GB2312" w:hAnsi="仿宋_GB2312" w:cs="仿宋_GB2312" w:eastAsia="仿宋_GB2312"/>
              </w:rPr>
              <w:t>供应商资格证明文件...pdf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供应商不得为“信用中国(www.creditchina.gov.cn)”中列入失信被执行人和重大税收违法案件当事人名单的供应商，不得为“中国政府采购网(www.ccgp.gov.cn)” 政府采购严重违法失信行为记录名单中被财政部门禁止参加政府采购活动的供应商，须提供《汉中市政府采购供应商资格承诺函》</w:t>
            </w:r>
          </w:p>
        </w:tc>
        <w:tc>
          <w:tcPr>
            <w:tcW w:type="dxa" w:w="3322"/>
          </w:tcPr>
          <w:p>
            <w:pPr>
              <w:pStyle w:val="null3"/>
            </w:pPr>
            <w:r>
              <w:rPr>
                <w:rFonts w:ascii="仿宋_GB2312" w:hAnsi="仿宋_GB2312" w:cs="仿宋_GB2312" w:eastAsia="仿宋_GB2312"/>
              </w:rPr>
              <w:t>供应商不得为“信用中国(www.creditchina.gov.cn)”中列入失信被执行人和重大税收违法案件当事人名单的供应商，不得为“中国政府采购网(www.ccgp.gov.cn)” 政府采购严重违法失信行为记录名单中被财政部门禁止参加政府采购活动的供应商。须提供《汉中市政府采购供应商资格承诺函》</w:t>
            </w:r>
          </w:p>
        </w:tc>
        <w:tc>
          <w:tcPr>
            <w:tcW w:type="dxa" w:w="1661"/>
          </w:tcPr>
          <w:p>
            <w:pPr>
              <w:pStyle w:val="null3"/>
            </w:pPr>
            <w:r>
              <w:rPr>
                <w:rFonts w:ascii="仿宋_GB2312" w:hAnsi="仿宋_GB2312" w:cs="仿宋_GB2312" w:eastAsia="仿宋_GB2312"/>
              </w:rPr>
              <w:t>中小企业声明函 残疾人福利性单位声明函 供应商资格证明文件...pdf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本项目专门面向中小企业采购</w:t>
            </w:r>
          </w:p>
        </w:tc>
        <w:tc>
          <w:tcPr>
            <w:tcW w:type="dxa" w:w="3322"/>
          </w:tcPr>
          <w:p>
            <w:pPr>
              <w:pStyle w:val="null3"/>
            </w:pPr>
            <w:r>
              <w:rPr>
                <w:rFonts w:ascii="仿宋_GB2312" w:hAnsi="仿宋_GB2312" w:cs="仿宋_GB2312" w:eastAsia="仿宋_GB2312"/>
              </w:rPr>
              <w:t>本项目专门面向中小企业采购。须提供《中小企业声明函》</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关于落实《关于推动解决政府采购异常低价问题的通知》财库【2026】2号文，磋商小组认为供应商的报价明显低于其他通过符合性审查供应商报价，有可能影响工程质量或者不能诚信履约的，磋商小组应当要求其在合理的时间内通过项目电子化交易系统进行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 xml:space="preserve"> 响应文件报价有效及唯一性</w:t>
            </w:r>
          </w:p>
        </w:tc>
        <w:tc>
          <w:tcPr>
            <w:tcW w:type="dxa" w:w="3322"/>
          </w:tcPr>
          <w:p>
            <w:pPr>
              <w:pStyle w:val="null3"/>
            </w:pPr>
            <w:r>
              <w:rPr>
                <w:rFonts w:ascii="仿宋_GB2312" w:hAnsi="仿宋_GB2312" w:cs="仿宋_GB2312" w:eastAsia="仿宋_GB2312"/>
              </w:rPr>
              <w:t>响应文件报价唯一，且没有超过最高限价或采购预算</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工程质量</w:t>
            </w:r>
          </w:p>
        </w:tc>
        <w:tc>
          <w:tcPr>
            <w:tcW w:type="dxa" w:w="3322"/>
          </w:tcPr>
          <w:p>
            <w:pPr>
              <w:pStyle w:val="null3"/>
            </w:pPr>
            <w:r>
              <w:rPr>
                <w:rFonts w:ascii="仿宋_GB2312" w:hAnsi="仿宋_GB2312" w:cs="仿宋_GB2312" w:eastAsia="仿宋_GB2312"/>
              </w:rPr>
              <w:t>应满足磋商文件中要求的质量标准</w:t>
            </w:r>
          </w:p>
        </w:tc>
        <w:tc>
          <w:tcPr>
            <w:tcW w:type="dxa" w:w="1661"/>
          </w:tcPr>
          <w:p>
            <w:pPr>
              <w:pStyle w:val="null3"/>
            </w:pPr>
            <w:r>
              <w:rPr>
                <w:rFonts w:ascii="仿宋_GB2312" w:hAnsi="仿宋_GB2312" w:cs="仿宋_GB2312" w:eastAsia="仿宋_GB2312"/>
              </w:rPr>
              <w:t>技术服务合同条款及其他商务要求应答表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应满足磋商文件中要求的工期</w:t>
            </w:r>
          </w:p>
        </w:tc>
        <w:tc>
          <w:tcPr>
            <w:tcW w:type="dxa" w:w="1661"/>
          </w:tcPr>
          <w:p>
            <w:pPr>
              <w:pStyle w:val="null3"/>
            </w:pPr>
            <w:r>
              <w:rPr>
                <w:rFonts w:ascii="仿宋_GB2312" w:hAnsi="仿宋_GB2312" w:cs="仿宋_GB2312" w:eastAsia="仿宋_GB2312"/>
              </w:rPr>
              <w:t>项目实施方案.pdf 技术服务合同条款及其他商务要求应答表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响应文件上要求签字盖章处，法定代表人或其授权代表人的签字齐全、供应商盖章齐全</w:t>
            </w:r>
          </w:p>
        </w:tc>
        <w:tc>
          <w:tcPr>
            <w:tcW w:type="dxa" w:w="1661"/>
          </w:tcPr>
          <w:p>
            <w:pPr>
              <w:pStyle w:val="null3"/>
            </w:pPr>
            <w:r>
              <w:rPr>
                <w:rFonts w:ascii="仿宋_GB2312" w:hAnsi="仿宋_GB2312" w:cs="仿宋_GB2312" w:eastAsia="仿宋_GB2312"/>
              </w:rPr>
              <w:t>响应文件封面 已标价工程量清单 项目管理机构组成表 供应商类似项目业绩一览表.pdf 中小企业声明函 残疾人福利性单位声明函 主要人员简历表.pdf 技术服务合同条款及其他商务要求应答表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符合磋商文件规定。</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供应商类似业绩</w:t>
            </w:r>
          </w:p>
        </w:tc>
        <w:tc>
          <w:tcPr>
            <w:tcW w:type="dxa" w:w="2492"/>
          </w:tcPr>
          <w:p>
            <w:pPr>
              <w:pStyle w:val="null3"/>
            </w:pPr>
            <w:r>
              <w:rPr>
                <w:rFonts w:ascii="仿宋_GB2312" w:hAnsi="仿宋_GB2312" w:cs="仿宋_GB2312" w:eastAsia="仿宋_GB2312"/>
              </w:rPr>
              <w:t>供应商提供 2023年1月1日至今完成的类似项目业绩，每提供一个合格业绩得2分，满分6分。 注：业绩以合同（协议书)复印件加盖公章为准，时间以合同签订时间为准。上述证明材料缺一不得分。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供应商类似项目业绩一览表.pdf</w:t>
            </w:r>
          </w:p>
        </w:tc>
      </w:tr>
      <w:tr>
        <w:tc>
          <w:tcPr>
            <w:tcW w:type="dxa" w:w="831"/>
            <w:vMerge/>
          </w:tcP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供应商针对本项目实施的特点进行分析，方案内容包括1.本项目施工特点的需求理解；2.总体施工方案及组织措施；3.影响正常施工外在因素分析及对应预案；4.本项目实施合理化建议。以上各项内容全面详细、阐述条理清晰得8分，每缺一项扣2分，每项中的内容存在缺陷，扣 1 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项目实施方案.pdf</w:t>
            </w:r>
          </w:p>
        </w:tc>
      </w:tr>
      <w:tr>
        <w:tc>
          <w:tcPr>
            <w:tcW w:type="dxa" w:w="831"/>
            <w:vMerge/>
          </w:tcP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确保工程质量的技术组织措施包括：1.质量管理工作流程；2.工程质量保障措施内容；3.工程质量控制体系；4.材料和构配件的质量控制。以上各项内容全面详细、阐述条理清晰得8分，每缺一项扣2分，每项中的内容存在缺陷，扣 1 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项目实施方案.pdf</w:t>
            </w:r>
          </w:p>
        </w:tc>
      </w:tr>
      <w:tr>
        <w:tc>
          <w:tcPr>
            <w:tcW w:type="dxa" w:w="831"/>
            <w:vMerge/>
          </w:tcPr>
          <w:p/>
        </w:tc>
        <w:tc>
          <w:tcPr>
            <w:tcW w:type="dxa" w:w="1661"/>
          </w:tcPr>
          <w:p>
            <w:pPr>
              <w:pStyle w:val="null3"/>
            </w:pPr>
            <w:r>
              <w:rPr>
                <w:rFonts w:ascii="仿宋_GB2312" w:hAnsi="仿宋_GB2312" w:cs="仿宋_GB2312" w:eastAsia="仿宋_GB2312"/>
              </w:rPr>
              <w:t>确保安全生产的技术组织措施</w:t>
            </w:r>
          </w:p>
        </w:tc>
        <w:tc>
          <w:tcPr>
            <w:tcW w:type="dxa" w:w="2492"/>
          </w:tcPr>
          <w:p>
            <w:pPr>
              <w:pStyle w:val="null3"/>
            </w:pPr>
            <w:r>
              <w:rPr>
                <w:rFonts w:ascii="仿宋_GB2312" w:hAnsi="仿宋_GB2312" w:cs="仿宋_GB2312" w:eastAsia="仿宋_GB2312"/>
              </w:rPr>
              <w:t>供应商针对本项目编制安全生产技术组织措施，措施内容包括1.安全生产管理制度；2.配置安全组织机构；3.安全隐患排查、整改措施；4.对本项目风险点的识别及应急措施。 以上各项内容全面详细、阐述条理清晰得8分，每缺一项扣2分，每项中的内容存在缺陷，扣 1 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项目实施方案.pdf</w:t>
            </w:r>
          </w:p>
        </w:tc>
      </w:tr>
      <w:tr>
        <w:tc>
          <w:tcPr>
            <w:tcW w:type="dxa" w:w="831"/>
            <w:vMerge/>
          </w:tcPr>
          <w:p/>
        </w:tc>
        <w:tc>
          <w:tcPr>
            <w:tcW w:type="dxa" w:w="1661"/>
          </w:tcPr>
          <w:p>
            <w:pPr>
              <w:pStyle w:val="null3"/>
            </w:pPr>
            <w:r>
              <w:rPr>
                <w:rFonts w:ascii="仿宋_GB2312" w:hAnsi="仿宋_GB2312" w:cs="仿宋_GB2312" w:eastAsia="仿宋_GB2312"/>
              </w:rPr>
              <w:t>确保工期进度的技术组织措施</w:t>
            </w:r>
          </w:p>
        </w:tc>
        <w:tc>
          <w:tcPr>
            <w:tcW w:type="dxa" w:w="2492"/>
          </w:tcPr>
          <w:p>
            <w:pPr>
              <w:pStyle w:val="null3"/>
            </w:pPr>
            <w:r>
              <w:rPr>
                <w:rFonts w:ascii="仿宋_GB2312" w:hAnsi="仿宋_GB2312" w:cs="仿宋_GB2312" w:eastAsia="仿宋_GB2312"/>
              </w:rPr>
              <w:t>确保工期进度的技术组织措施包括1.进度安排计划与部署;2.进度控制措施;3.工期目标控制和保证措施;4.劳动力与资源保障。以上各项内容全面详细、阐述条理清晰得8分，每缺一项扣2分，每项中的内容存在缺陷，扣 1 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项目实施方案.pdf</w:t>
            </w:r>
          </w:p>
        </w:tc>
      </w:tr>
      <w:tr>
        <w:tc>
          <w:tcPr>
            <w:tcW w:type="dxa" w:w="831"/>
            <w:vMerge/>
          </w:tcPr>
          <w:p/>
        </w:tc>
        <w:tc>
          <w:tcPr>
            <w:tcW w:type="dxa" w:w="1661"/>
          </w:tcPr>
          <w:p>
            <w:pPr>
              <w:pStyle w:val="null3"/>
            </w:pPr>
            <w:r>
              <w:rPr>
                <w:rFonts w:ascii="仿宋_GB2312" w:hAnsi="仿宋_GB2312" w:cs="仿宋_GB2312" w:eastAsia="仿宋_GB2312"/>
              </w:rPr>
              <w:t>文明施工措施及环境保障措施</w:t>
            </w:r>
          </w:p>
        </w:tc>
        <w:tc>
          <w:tcPr>
            <w:tcW w:type="dxa" w:w="2492"/>
          </w:tcPr>
          <w:p>
            <w:pPr>
              <w:pStyle w:val="null3"/>
            </w:pPr>
            <w:r>
              <w:rPr>
                <w:rFonts w:ascii="仿宋_GB2312" w:hAnsi="仿宋_GB2312" w:cs="仿宋_GB2312" w:eastAsia="仿宋_GB2312"/>
              </w:rPr>
              <w:t>文明施工措施及环境保障措施包括1.文明及环境保护管理制度；2.结合施工进度及现场环境的理解的防尘降噪措施；3.针对第三方因施工产生投诉的应急预案；4.文明及环境保护施工监督检查机制。 以上各项内容全面详细、阐述条理清晰得8分，每缺一项扣2分，每项中的内容存在缺陷，扣 1 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项目实施方案.pdf</w:t>
            </w:r>
          </w:p>
        </w:tc>
      </w:tr>
      <w:tr>
        <w:tc>
          <w:tcPr>
            <w:tcW w:type="dxa" w:w="831"/>
            <w:vMerge/>
          </w:tcPr>
          <w:p/>
        </w:tc>
        <w:tc>
          <w:tcPr>
            <w:tcW w:type="dxa" w:w="1661"/>
          </w:tcPr>
          <w:p>
            <w:pPr>
              <w:pStyle w:val="null3"/>
            </w:pPr>
            <w:r>
              <w:rPr>
                <w:rFonts w:ascii="仿宋_GB2312" w:hAnsi="仿宋_GB2312" w:cs="仿宋_GB2312" w:eastAsia="仿宋_GB2312"/>
              </w:rPr>
              <w:t>针对本项目的重点部位、关键节点和难点把控措施</w:t>
            </w:r>
          </w:p>
        </w:tc>
        <w:tc>
          <w:tcPr>
            <w:tcW w:type="dxa" w:w="2492"/>
          </w:tcPr>
          <w:p>
            <w:pPr>
              <w:pStyle w:val="null3"/>
            </w:pPr>
            <w:r>
              <w:rPr>
                <w:rFonts w:ascii="仿宋_GB2312" w:hAnsi="仿宋_GB2312" w:cs="仿宋_GB2312" w:eastAsia="仿宋_GB2312"/>
              </w:rPr>
              <w:t>针对本项目的重点部位、关键节点和难点把控措施包括1.明确重点部位与关键节点；2.制定详细施工方案与技术交底；3.加强监测与验收；4.制定针对性应急预案等。 以上各项内容全面详细、阐述条理清晰得8分，每缺一项扣2分，每项中的内容存在缺陷，扣 1 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项目实施方案.pdf</w:t>
            </w:r>
          </w:p>
        </w:tc>
      </w:tr>
      <w:tr>
        <w:tc>
          <w:tcPr>
            <w:tcW w:type="dxa" w:w="831"/>
            <w:vMerge/>
          </w:tcPr>
          <w:p/>
        </w:tc>
        <w:tc>
          <w:tcPr>
            <w:tcW w:type="dxa" w:w="1661"/>
          </w:tcPr>
          <w:p>
            <w:pPr>
              <w:pStyle w:val="null3"/>
            </w:pPr>
            <w:r>
              <w:rPr>
                <w:rFonts w:ascii="仿宋_GB2312" w:hAnsi="仿宋_GB2312" w:cs="仿宋_GB2312" w:eastAsia="仿宋_GB2312"/>
              </w:rPr>
              <w:t>施工机械配备和材料投入计划</w:t>
            </w:r>
          </w:p>
        </w:tc>
        <w:tc>
          <w:tcPr>
            <w:tcW w:type="dxa" w:w="2492"/>
          </w:tcPr>
          <w:p>
            <w:pPr>
              <w:pStyle w:val="null3"/>
            </w:pPr>
            <w:r>
              <w:rPr>
                <w:rFonts w:ascii="仿宋_GB2312" w:hAnsi="仿宋_GB2312" w:cs="仿宋_GB2312" w:eastAsia="仿宋_GB2312"/>
              </w:rPr>
              <w:t>拟投入的施工机械设备及主要工程材料使用情况包括：1.拟投入的主要施工机械设备；2.工程材料投入计划；3.施⼯机械及施⼯材料现场的管理制度。以上各项内容全面详细、阐述条理清晰得9分，每缺一项扣3分，每项中的内容存在缺陷，扣 1 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项目实施方案.pdf</w:t>
            </w:r>
          </w:p>
        </w:tc>
      </w:tr>
      <w:tr>
        <w:tc>
          <w:tcPr>
            <w:tcW w:type="dxa" w:w="831"/>
            <w:vMerge/>
          </w:tcPr>
          <w:p/>
        </w:tc>
        <w:tc>
          <w:tcPr>
            <w:tcW w:type="dxa" w:w="1661"/>
          </w:tcPr>
          <w:p>
            <w:pPr>
              <w:pStyle w:val="null3"/>
            </w:pPr>
            <w:r>
              <w:rPr>
                <w:rFonts w:ascii="仿宋_GB2312" w:hAnsi="仿宋_GB2312" w:cs="仿宋_GB2312" w:eastAsia="仿宋_GB2312"/>
              </w:rPr>
              <w:t>项目经理职称</w:t>
            </w:r>
          </w:p>
        </w:tc>
        <w:tc>
          <w:tcPr>
            <w:tcW w:type="dxa" w:w="2492"/>
          </w:tcPr>
          <w:p>
            <w:pPr>
              <w:pStyle w:val="null3"/>
            </w:pPr>
            <w:r>
              <w:rPr>
                <w:rFonts w:ascii="仿宋_GB2312" w:hAnsi="仿宋_GB2312" w:cs="仿宋_GB2312" w:eastAsia="仿宋_GB2312"/>
              </w:rPr>
              <w:t>项目经理具备中级（含）及以上职称得2分，初级职称得 1分。注：响应文件内附职称证复印件或扫描件加盖供应商公章。</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tc>
      </w:tr>
      <w:tr>
        <w:tc>
          <w:tcPr>
            <w:tcW w:type="dxa" w:w="831"/>
            <w:vMerge/>
          </w:tcPr>
          <w:p/>
        </w:tc>
        <w:tc>
          <w:tcPr>
            <w:tcW w:type="dxa" w:w="1661"/>
          </w:tcPr>
          <w:p>
            <w:pPr>
              <w:pStyle w:val="null3"/>
            </w:pPr>
            <w:r>
              <w:rPr>
                <w:rFonts w:ascii="仿宋_GB2312" w:hAnsi="仿宋_GB2312" w:cs="仿宋_GB2312" w:eastAsia="仿宋_GB2312"/>
              </w:rPr>
              <w:t>其它人员配备</w:t>
            </w:r>
          </w:p>
        </w:tc>
        <w:tc>
          <w:tcPr>
            <w:tcW w:type="dxa" w:w="2492"/>
          </w:tcPr>
          <w:p>
            <w:pPr>
              <w:pStyle w:val="null3"/>
            </w:pPr>
            <w:r>
              <w:rPr>
                <w:rFonts w:ascii="仿宋_GB2312" w:hAnsi="仿宋_GB2312" w:cs="仿宋_GB2312" w:eastAsia="仿宋_GB2312"/>
              </w:rPr>
              <w:t>拟派往本项目的其它人员应包括施工员、质量员、安全员、材料员、资料员等关键岗位人员。同时须附以上人员的身份证、执业资格证书或岗位证书。提供齐全得5分，缺一岗位人员扣1分，扣完为止。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主要人员简历表.pdf</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满足磋商文件要求且最后报价最低的供应商的价格为磋商基准价。各供应商的价格分统一按照下列公式计算：磋商报价得分=（磋商基准价/最后磋商报价）×价格权值。 供应商不得以低于成本的报价参加投标。 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（3）投标（响应）报价低于采购项目最高限价45%的，即投标（响应）报价&lt;采购项目最高限价×45%；未设定最高限价的采购项目，以采购项目预算金额作为最高限价； （4）评审委员会基于专业判断，认为供应商报价过低，有可能影响产品质量或者不能诚信履约的其他情形。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投标（响应）供应商不能提供书面说明、证明材料，或者提供的书面说明、证明材料不能证明其报价合理性的，评审委员会应当将其作为无效投标（响应）处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详见附件：供应商类似项目业绩一览表.pdf</w:t>
      </w:r>
    </w:p>
    <w:p>
      <w:pPr>
        <w:pStyle w:val="null3"/>
        <w:ind w:firstLine="960"/>
      </w:pPr>
      <w:r>
        <w:rPr>
          <w:rFonts w:ascii="仿宋_GB2312" w:hAnsi="仿宋_GB2312" w:cs="仿宋_GB2312" w:eastAsia="仿宋_GB2312"/>
        </w:rPr>
        <w:t>详见附件：主要人员简历表.pdf</w:t>
      </w:r>
    </w:p>
    <w:p>
      <w:pPr>
        <w:pStyle w:val="null3"/>
        <w:ind w:firstLine="960"/>
      </w:pPr>
      <w:r>
        <w:rPr>
          <w:rFonts w:ascii="仿宋_GB2312" w:hAnsi="仿宋_GB2312" w:cs="仿宋_GB2312" w:eastAsia="仿宋_GB2312"/>
        </w:rPr>
        <w:t>详见附件：项目实施方案.pdf</w:t>
      </w:r>
    </w:p>
    <w:p>
      <w:pPr>
        <w:pStyle w:val="null3"/>
        <w:ind w:firstLine="960"/>
      </w:pPr>
      <w:r>
        <w:rPr>
          <w:rFonts w:ascii="仿宋_GB2312" w:hAnsi="仿宋_GB2312" w:cs="仿宋_GB2312" w:eastAsia="仿宋_GB2312"/>
        </w:rPr>
        <w:t>详见附件：供应商资格证明文件...pdf</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详见附件：建设工程施工合同　GF—2017—0201.docx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