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版本号：ZJZB-2026-03420260626001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西安市青龙寺遗址公园环境整治项目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ZJZB-2026-034</w:t>
      </w:r>
      <w:r>
        <w:br/>
      </w:r>
      <w:r>
        <w:br/>
      </w:r>
      <w:r>
        <w:br/>
      </w:r>
    </w:p>
    <w:p>
      <w:pPr>
        <w:pStyle w:val="null3"/>
        <w:jc w:val="center"/>
        <w:outlineLvl w:val="2"/>
      </w:pPr>
      <w:r>
        <w:rPr>
          <w:rFonts w:ascii="仿宋_GB2312" w:hAnsi="仿宋_GB2312" w:cs="仿宋_GB2312" w:eastAsia="仿宋_GB2312"/>
          <w:sz w:val="28"/>
          <w:b/>
        </w:rPr>
        <w:t>西安市青龙寺遗址保管所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西安市青龙寺遗址保管所</w:t>
      </w:r>
      <w:r>
        <w:rPr>
          <w:rFonts w:ascii="仿宋_GB2312" w:hAnsi="仿宋_GB2312" w:cs="仿宋_GB2312" w:eastAsia="仿宋_GB2312"/>
        </w:rPr>
        <w:t>委托，拟对</w:t>
      </w:r>
      <w:r>
        <w:rPr>
          <w:rFonts w:ascii="仿宋_GB2312" w:hAnsi="仿宋_GB2312" w:cs="仿宋_GB2312" w:eastAsia="仿宋_GB2312"/>
        </w:rPr>
        <w:t>西安市青龙寺遗址公园环境整治项目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西安市青龙寺遗址公园环境整治项目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青龙寺遗址公园环境整治项目采购内容包括公园西北角沿街铁皮围挡更换，临时围挡北侧垃圾裸露部分复绿，原游乐场硬化地面拆除改造，新建休闲集散广场；配套增设行道树景观树箱、便民长条休憩坐凳，优化园区风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采购包1（西安市青龙寺遗址公园环境整治项目）：属于专门面向中小企业采购。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pPr>
        <w:pStyle w:val="null3"/>
      </w:pPr>
      <w:r>
        <w:rPr>
          <w:rFonts w:ascii="仿宋_GB2312" w:hAnsi="仿宋_GB2312" w:cs="仿宋_GB2312" w:eastAsia="仿宋_GB2312"/>
        </w:rPr>
        <w:t>2、具有良好的商业信誉和健全的财务会计制度：提供由具备财务审计资质的单位出具的2024年度或2025年度完整审计报告或提供供应商基本存款账户信息及开标日期前90日内其基本存款账户开户银行出具的资信证明。以上形式的证明资料提供任何一种即可。</w:t>
      </w:r>
    </w:p>
    <w:p>
      <w:pPr>
        <w:pStyle w:val="null3"/>
      </w:pPr>
      <w:r>
        <w:rPr>
          <w:rFonts w:ascii="仿宋_GB2312" w:hAnsi="仿宋_GB2312" w:cs="仿宋_GB2312" w:eastAsia="仿宋_GB2312"/>
        </w:rPr>
        <w:t>3、具有履行合同所必需的设备和专业技术能力：提供履行合同所必需的设备和专业技术能力的书面声明</w:t>
      </w:r>
    </w:p>
    <w:p>
      <w:pPr>
        <w:pStyle w:val="null3"/>
      </w:pPr>
      <w:r>
        <w:rPr>
          <w:rFonts w:ascii="仿宋_GB2312" w:hAnsi="仿宋_GB2312" w:cs="仿宋_GB2312" w:eastAsia="仿宋_GB2312"/>
        </w:rPr>
        <w:t>4、有依法缴纳税收和社会保障资金的良好记录：1.供应商近六个月内（投标截止时间前）任意1个月的纳税证明材料：根据税务部门出具的完税凭证或纳税的银行转账汇款单、对账单等判定，如依法免税或不需要纳税的，提供相应证明材料。 2.供应商近六个月内（投标截止时间前）任意1个月缴纳社会保障金的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pPr>
        <w:pStyle w:val="null3"/>
      </w:pPr>
      <w:r>
        <w:rPr>
          <w:rFonts w:ascii="仿宋_GB2312" w:hAnsi="仿宋_GB2312" w:cs="仿宋_GB2312" w:eastAsia="仿宋_GB2312"/>
        </w:rPr>
        <w:t>5、违法记录声明：提供参加本次政府采购活动前三年内在经营活动中没有重大违法记录的书面声明。</w:t>
      </w:r>
    </w:p>
    <w:p>
      <w:pPr>
        <w:pStyle w:val="null3"/>
      </w:pPr>
      <w:r>
        <w:rPr>
          <w:rFonts w:ascii="仿宋_GB2312" w:hAnsi="仿宋_GB2312" w:cs="仿宋_GB2312" w:eastAsia="仿宋_GB2312"/>
        </w:rPr>
        <w:t>6、信用信息：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提供承诺书或查询截图）。</w:t>
      </w:r>
    </w:p>
    <w:p>
      <w:pPr>
        <w:pStyle w:val="null3"/>
      </w:pPr>
      <w:r>
        <w:rPr>
          <w:rFonts w:ascii="仿宋_GB2312" w:hAnsi="仿宋_GB2312" w:cs="仿宋_GB2312" w:eastAsia="仿宋_GB2312"/>
        </w:rPr>
        <w:t>7、法律、行政法规规定的其他条件：投标人满足法律、行政法规规定的其他条件的书面声明。</w:t>
      </w:r>
    </w:p>
    <w:p>
      <w:pPr>
        <w:pStyle w:val="null3"/>
      </w:pPr>
      <w:r>
        <w:rPr>
          <w:rFonts w:ascii="仿宋_GB2312" w:hAnsi="仿宋_GB2312" w:cs="仿宋_GB2312" w:eastAsia="仿宋_GB2312"/>
        </w:rPr>
        <w:t>8、法定代表人身份证明或法定代表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在投标前6个月内（不含投标当月）任意3个月由投标人缴纳社保证明材料的复印件。代缴社保证明材料不予认可。</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9、控股管理关系：单位负责人为同一人或者存在直接控股、管理关系的供应商，不得参加同一合同下的政府采购活动（提供书面声明）。</w:t>
      </w:r>
    </w:p>
    <w:p>
      <w:pPr>
        <w:pStyle w:val="null3"/>
      </w:pPr>
      <w:r>
        <w:rPr>
          <w:rFonts w:ascii="仿宋_GB2312" w:hAnsi="仿宋_GB2312" w:cs="仿宋_GB2312" w:eastAsia="仿宋_GB2312"/>
        </w:rPr>
        <w:t>10、企业资质：供应商具备建筑工程施工总承包三级及以上资质，且具有有效的安全生产许可证（提供证明材料）。</w:t>
      </w:r>
    </w:p>
    <w:p>
      <w:pPr>
        <w:pStyle w:val="null3"/>
      </w:pPr>
      <w:r>
        <w:rPr>
          <w:rFonts w:ascii="仿宋_GB2312" w:hAnsi="仿宋_GB2312" w:cs="仿宋_GB2312" w:eastAsia="仿宋_GB2312"/>
        </w:rPr>
        <w:t>11、拟派项目负责人要求：拟派项目负责人具备建筑工程专业二级及以上注册建造师资质（在本单位注册），具备有效的安全生产考核合格证书（B证）；且无不良信用记录，无在建工程。</w:t>
      </w:r>
    </w:p>
    <w:p>
      <w:pPr>
        <w:pStyle w:val="null3"/>
      </w:pPr>
      <w:r>
        <w:rPr>
          <w:rFonts w:ascii="仿宋_GB2312" w:hAnsi="仿宋_GB2312" w:cs="仿宋_GB2312" w:eastAsia="仿宋_GB2312"/>
        </w:rPr>
        <w:t>12、其他要求：供应商及其拟派项目负责人须在“陕西省住房和城乡建设厅”官方网站可查询；如供应商为外省进陕企业，还须同时提供“陕西省住房和城乡建设厅”官网企业库外省进陕施工企业信息首页截图。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13、联合体：本项目不接受联合体磋商（提供承诺书）。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西安市青龙寺遗址保管所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西影路铁炉庙村北1号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江伟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13060400030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18329961702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代理服务费收费标准：本项目采购招标代理服务费按计价格〔2002〕1980号及发改价格〔2011〕534号文件规定标准计取。由中标供应商领取成交通知书前一次性支付。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西安市青龙寺遗址保管所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西安市青龙寺遗址保管所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西安市青龙寺遗址保管所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联系电话：18182697783</w:t>
      </w:r>
    </w:p>
    <w:p>
      <w:pPr>
        <w:pStyle w:val="null3"/>
      </w:pPr>
      <w:r>
        <w:rPr>
          <w:rFonts w:ascii="仿宋_GB2312" w:hAnsi="仿宋_GB2312" w:cs="仿宋_GB2312" w:eastAsia="仿宋_GB2312"/>
        </w:rPr>
        <w:t>地址：西安市经济技术开发区文景广场C座18层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799,187.12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800000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 xml:space="preserve">       园区西北侧现有临时铁皮围挡底部固定构件锈蚀腐朽，极端天气下易发生倾倒、脱落，对沿街行人及车辆通行形成重大安全隐患；原废弃游乐场地铺装杂乱、地面高差错落，与遗址公园整体风貌不协调，既影响游客通行安全与游园体验。本次通过围挡更新、地块复绿、场地改造及便民设施增补，彻底消除现存安全风险、统一园区景观风貌、优化游园休憩功能，全面提升遗址公园安全管理水平与游览服务品质。</w:t>
            </w:r>
          </w:p>
          <w:p>
            <w:pPr>
              <w:pStyle w:val="null3"/>
            </w:pPr>
            <w:r>
              <w:rPr>
                <w:rFonts w:ascii="仿宋_GB2312" w:hAnsi="仿宋_GB2312" w:cs="仿宋_GB2312" w:eastAsia="仿宋_GB2312"/>
                <w:sz w:val="21"/>
              </w:rPr>
              <w:t>二、工程内容和施工地点、计划工期、缺陷责任期、质量保修期</w:t>
            </w:r>
          </w:p>
          <w:p>
            <w:pPr>
              <w:pStyle w:val="null3"/>
            </w:pPr>
            <w:r>
              <w:rPr>
                <w:rFonts w:ascii="仿宋_GB2312" w:hAnsi="仿宋_GB2312" w:cs="仿宋_GB2312" w:eastAsia="仿宋_GB2312"/>
                <w:sz w:val="21"/>
              </w:rPr>
              <w:t>（一）工程内容：公园西北角沿街铁皮围挡更换，临时围挡北侧垃圾裸露部分复绿，原游乐场硬化地面拆除改造，新建休闲集散广场；配套增设行道树景观树箱、便民长条休憩坐凳，优化园区风貌</w:t>
            </w:r>
            <w:r>
              <w:rPr>
                <w:rFonts w:ascii="仿宋_GB2312" w:hAnsi="仿宋_GB2312" w:cs="仿宋_GB2312" w:eastAsia="仿宋_GB2312"/>
                <w:sz w:val="21"/>
              </w:rPr>
              <w:t>。</w:t>
            </w:r>
          </w:p>
          <w:p>
            <w:pPr>
              <w:pStyle w:val="null3"/>
            </w:pPr>
            <w:r>
              <w:rPr>
                <w:rFonts w:ascii="仿宋_GB2312" w:hAnsi="仿宋_GB2312" w:cs="仿宋_GB2312" w:eastAsia="仿宋_GB2312"/>
                <w:sz w:val="21"/>
              </w:rPr>
              <w:t>（二）工程地点：</w:t>
            </w:r>
            <w:r>
              <w:rPr>
                <w:rFonts w:ascii="仿宋_GB2312" w:hAnsi="仿宋_GB2312" w:cs="仿宋_GB2312" w:eastAsia="仿宋_GB2312"/>
                <w:sz w:val="21"/>
              </w:rPr>
              <w:t>采购人指定地点。</w:t>
            </w:r>
          </w:p>
          <w:p>
            <w:pPr>
              <w:pStyle w:val="null3"/>
            </w:pPr>
            <w:r>
              <w:rPr>
                <w:rFonts w:ascii="仿宋_GB2312" w:hAnsi="仿宋_GB2312" w:cs="仿宋_GB2312" w:eastAsia="仿宋_GB2312"/>
                <w:sz w:val="21"/>
              </w:rPr>
              <w:t>（三）计划工期：自进场之日起</w:t>
            </w:r>
            <w:r>
              <w:rPr>
                <w:rFonts w:ascii="仿宋_GB2312" w:hAnsi="仿宋_GB2312" w:cs="仿宋_GB2312" w:eastAsia="仿宋_GB2312"/>
                <w:sz w:val="21"/>
              </w:rPr>
              <w:t>6</w:t>
            </w:r>
            <w:r>
              <w:rPr>
                <w:rFonts w:ascii="仿宋_GB2312" w:hAnsi="仿宋_GB2312" w:cs="仿宋_GB2312" w:eastAsia="仿宋_GB2312"/>
                <w:sz w:val="21"/>
              </w:rPr>
              <w:t>0个日历日内竣工。</w:t>
            </w:r>
          </w:p>
          <w:p>
            <w:pPr>
              <w:pStyle w:val="null3"/>
            </w:pPr>
            <w:r>
              <w:rPr>
                <w:rFonts w:ascii="仿宋_GB2312" w:hAnsi="仿宋_GB2312" w:cs="仿宋_GB2312" w:eastAsia="仿宋_GB2312"/>
                <w:sz w:val="21"/>
              </w:rPr>
              <w:t>（四）缺陷责任期（与质保金的退还无关）：</w:t>
            </w:r>
            <w:r>
              <w:rPr>
                <w:rFonts w:ascii="仿宋_GB2312" w:hAnsi="仿宋_GB2312" w:cs="仿宋_GB2312" w:eastAsia="仿宋_GB2312"/>
                <w:sz w:val="21"/>
              </w:rPr>
              <w:t>2年。</w:t>
            </w:r>
          </w:p>
          <w:p>
            <w:pPr>
              <w:pStyle w:val="null3"/>
            </w:pPr>
            <w:r>
              <w:rPr>
                <w:rFonts w:ascii="仿宋_GB2312" w:hAnsi="仿宋_GB2312" w:cs="仿宋_GB2312" w:eastAsia="仿宋_GB2312"/>
                <w:sz w:val="21"/>
              </w:rPr>
              <w:t>（五）质量保修期（与质保金的退还有关）：</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pPr>
            <w:r>
              <w:rPr>
                <w:rFonts w:ascii="仿宋_GB2312" w:hAnsi="仿宋_GB2312" w:cs="仿宋_GB2312" w:eastAsia="仿宋_GB2312"/>
                <w:sz w:val="21"/>
              </w:rPr>
              <w:t>三、工程量清单和</w:t>
            </w:r>
            <w:r>
              <w:rPr>
                <w:rFonts w:ascii="仿宋_GB2312" w:hAnsi="仿宋_GB2312" w:cs="仿宋_GB2312" w:eastAsia="仿宋_GB2312"/>
                <w:sz w:val="21"/>
              </w:rPr>
              <w:t>编制</w:t>
            </w:r>
            <w:r>
              <w:rPr>
                <w:rFonts w:ascii="仿宋_GB2312" w:hAnsi="仿宋_GB2312" w:cs="仿宋_GB2312" w:eastAsia="仿宋_GB2312"/>
                <w:sz w:val="21"/>
              </w:rPr>
              <w:t>依据</w:t>
            </w:r>
          </w:p>
          <w:p>
            <w:pPr>
              <w:pStyle w:val="null3"/>
            </w:pPr>
            <w:r>
              <w:rPr>
                <w:rFonts w:ascii="仿宋_GB2312" w:hAnsi="仿宋_GB2312" w:cs="仿宋_GB2312" w:eastAsia="仿宋_GB2312"/>
                <w:sz w:val="21"/>
              </w:rPr>
              <w:t>（一）工程量清单：</w:t>
            </w:r>
          </w:p>
          <w:p>
            <w:pPr>
              <w:pStyle w:val="null3"/>
            </w:pPr>
            <w:r>
              <w:rPr>
                <w:rFonts w:ascii="仿宋_GB2312" w:hAnsi="仿宋_GB2312" w:cs="仿宋_GB2312" w:eastAsia="仿宋_GB2312"/>
                <w:sz w:val="21"/>
              </w:rPr>
              <w:t>1、</w:t>
            </w:r>
            <w:r>
              <w:rPr>
                <w:rFonts w:ascii="仿宋_GB2312" w:hAnsi="仿宋_GB2312" w:cs="仿宋_GB2312" w:eastAsia="仿宋_GB2312"/>
                <w:sz w:val="21"/>
              </w:rPr>
              <w:t>具体</w:t>
            </w:r>
            <w:r>
              <w:rPr>
                <w:rFonts w:ascii="仿宋_GB2312" w:hAnsi="仿宋_GB2312" w:cs="仿宋_GB2312" w:eastAsia="仿宋_GB2312"/>
                <w:sz w:val="21"/>
              </w:rPr>
              <w:t>内容详见工程量清单。</w:t>
            </w:r>
          </w:p>
          <w:p>
            <w:pPr>
              <w:pStyle w:val="null3"/>
            </w:pPr>
            <w:r>
              <w:rPr>
                <w:rFonts w:ascii="仿宋_GB2312" w:hAnsi="仿宋_GB2312" w:cs="仿宋_GB2312" w:eastAsia="仿宋_GB2312"/>
                <w:sz w:val="21"/>
              </w:rPr>
              <w:t>2</w:t>
            </w:r>
            <w:r>
              <w:rPr>
                <w:rFonts w:ascii="仿宋_GB2312" w:hAnsi="仿宋_GB2312" w:cs="仿宋_GB2312" w:eastAsia="仿宋_GB2312"/>
                <w:sz w:val="21"/>
              </w:rPr>
              <w:t>、本项目预算金额（元）</w:t>
            </w:r>
            <w:r>
              <w:rPr>
                <w:rFonts w:ascii="仿宋_GB2312" w:hAnsi="仿宋_GB2312" w:cs="仿宋_GB2312" w:eastAsia="仿宋_GB2312"/>
                <w:sz w:val="21"/>
              </w:rPr>
              <w:t xml:space="preserve">: </w:t>
            </w:r>
            <w:r>
              <w:rPr>
                <w:rFonts w:ascii="仿宋_GB2312" w:hAnsi="仿宋_GB2312" w:cs="仿宋_GB2312" w:eastAsia="仿宋_GB2312"/>
                <w:sz w:val="21"/>
              </w:rPr>
              <w:t>800,000.00</w:t>
            </w:r>
          </w:p>
          <w:p>
            <w:pPr>
              <w:pStyle w:val="null3"/>
            </w:pPr>
            <w:r>
              <w:rPr>
                <w:rFonts w:ascii="仿宋_GB2312" w:hAnsi="仿宋_GB2312" w:cs="仿宋_GB2312" w:eastAsia="仿宋_GB2312"/>
                <w:sz w:val="21"/>
              </w:rPr>
              <w:t>本项目招标最高限价（元）</w:t>
            </w:r>
            <w:r>
              <w:rPr>
                <w:rFonts w:ascii="仿宋_GB2312" w:hAnsi="仿宋_GB2312" w:cs="仿宋_GB2312" w:eastAsia="仿宋_GB2312"/>
                <w:sz w:val="21"/>
              </w:rPr>
              <w:t xml:space="preserve">: </w:t>
            </w:r>
            <w:r>
              <w:rPr>
                <w:rFonts w:ascii="仿宋_GB2312" w:hAnsi="仿宋_GB2312" w:cs="仿宋_GB2312" w:eastAsia="仿宋_GB2312"/>
                <w:sz w:val="21"/>
              </w:rPr>
              <w:t>799,187.12</w:t>
            </w:r>
          </w:p>
          <w:p>
            <w:pPr>
              <w:pStyle w:val="null3"/>
            </w:pPr>
            <w:r>
              <w:rPr>
                <w:rFonts w:ascii="仿宋_GB2312" w:hAnsi="仿宋_GB2312" w:cs="仿宋_GB2312" w:eastAsia="仿宋_GB2312"/>
                <w:sz w:val="21"/>
              </w:rPr>
              <w:t>（二）</w:t>
            </w:r>
            <w:r>
              <w:rPr>
                <w:rFonts w:ascii="仿宋_GB2312" w:hAnsi="仿宋_GB2312" w:cs="仿宋_GB2312" w:eastAsia="仿宋_GB2312"/>
                <w:sz w:val="21"/>
              </w:rPr>
              <w:t>编制</w:t>
            </w:r>
            <w:r>
              <w:rPr>
                <w:rFonts w:ascii="仿宋_GB2312" w:hAnsi="仿宋_GB2312" w:cs="仿宋_GB2312" w:eastAsia="仿宋_GB2312"/>
                <w:sz w:val="21"/>
              </w:rPr>
              <w:t>依据</w:t>
            </w:r>
          </w:p>
          <w:p>
            <w:pPr>
              <w:pStyle w:val="null3"/>
            </w:pPr>
            <w:r>
              <w:rPr>
                <w:rFonts w:ascii="仿宋_GB2312" w:hAnsi="仿宋_GB2312" w:cs="仿宋_GB2312" w:eastAsia="仿宋_GB2312"/>
                <w:sz w:val="21"/>
              </w:rPr>
              <w:t>1、</w:t>
            </w:r>
            <w:r>
              <w:rPr>
                <w:rFonts w:ascii="仿宋_GB2312" w:hAnsi="仿宋_GB2312" w:cs="仿宋_GB2312" w:eastAsia="仿宋_GB2312"/>
                <w:sz w:val="21"/>
              </w:rPr>
              <w:t>西安市青龙寺遗址公园环境整治项目施工图纸</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常规合理施工组织设计、施工工艺</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国家及陕西省现行建筑、市政、园林绿化工程施工、质量验收规范</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《陕西省建设工程工程量清单计价规则》</w:t>
            </w:r>
            <w:r>
              <w:rPr>
                <w:rFonts w:ascii="仿宋_GB2312" w:hAnsi="仿宋_GB2312" w:cs="仿宋_GB2312" w:eastAsia="仿宋_GB2312"/>
                <w:sz w:val="21"/>
              </w:rPr>
              <w:t>(2009)</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《陕西省建筑装饰工程消耗量定额》</w:t>
            </w:r>
            <w:r>
              <w:rPr>
                <w:rFonts w:ascii="仿宋_GB2312" w:hAnsi="仿宋_GB2312" w:cs="仿宋_GB2312" w:eastAsia="仿宋_GB2312"/>
                <w:sz w:val="21"/>
              </w:rPr>
              <w:t>(2004)、《陕西省安装工程消耗量定额A(2004)、《陕西省建筑装饰、安装工程价目表》(2009)、《陕西省建设工程消耗量定额(2004)补充定额》(2009)、《陕西省市政、园林绿化工程参考价目表》(2009)</w:t>
            </w:r>
            <w:r>
              <w:rPr>
                <w:rFonts w:ascii="仿宋_GB2312" w:hAnsi="仿宋_GB2312" w:cs="仿宋_GB2312" w:eastAsia="仿宋_GB2312"/>
                <w:sz w:val="21"/>
              </w:rPr>
              <w:t>；</w:t>
            </w:r>
          </w:p>
          <w:p>
            <w:pPr>
              <w:pStyle w:val="null3"/>
            </w:pPr>
            <w:r>
              <w:rPr>
                <w:rFonts w:ascii="仿宋_GB2312" w:hAnsi="仿宋_GB2312" w:cs="仿宋_GB2312" w:eastAsia="仿宋_GB2312"/>
                <w:sz w:val="21"/>
              </w:rPr>
              <w:t>6、人工单价调整文件:陕建发(2021)1097号《关于调整房屋建筑和市政基础设施工程工程量清单计价综合人工单价的通知》</w:t>
            </w:r>
            <w:r>
              <w:rPr>
                <w:rFonts w:ascii="仿宋_GB2312" w:hAnsi="仿宋_GB2312" w:cs="仿宋_GB2312" w:eastAsia="仿宋_GB2312"/>
                <w:sz w:val="21"/>
              </w:rPr>
              <w:t>；</w:t>
            </w:r>
          </w:p>
          <w:p>
            <w:pPr>
              <w:pStyle w:val="null3"/>
            </w:pPr>
            <w:r>
              <w:rPr>
                <w:rFonts w:ascii="仿宋_GB2312" w:hAnsi="仿宋_GB2312" w:cs="仿宋_GB2312" w:eastAsia="仿宋_GB2312"/>
                <w:sz w:val="21"/>
              </w:rPr>
              <w:t>7、材料价格:执行西安市造价管理信息2026年05月期，信息价中未包含的材料，结合市场询价综合确定</w:t>
            </w:r>
            <w:r>
              <w:rPr>
                <w:rFonts w:ascii="仿宋_GB2312" w:hAnsi="仿宋_GB2312" w:cs="仿宋_GB2312" w:eastAsia="仿宋_GB2312"/>
                <w:sz w:val="21"/>
              </w:rPr>
              <w:t>；</w:t>
            </w:r>
          </w:p>
          <w:p>
            <w:pPr>
              <w:pStyle w:val="null3"/>
            </w:pPr>
            <w:r>
              <w:rPr>
                <w:rFonts w:ascii="仿宋_GB2312" w:hAnsi="仿宋_GB2312" w:cs="仿宋_GB2312" w:eastAsia="仿宋_GB2312"/>
                <w:sz w:val="21"/>
              </w:rPr>
              <w:t>8、陕西省现行规费、安全文明施工措施费、增值税相关计价配套文件。</w:t>
            </w:r>
          </w:p>
          <w:p>
            <w:pPr>
              <w:pStyle w:val="null3"/>
            </w:pPr>
            <w:r>
              <w:rPr>
                <w:rFonts w:ascii="仿宋_GB2312" w:hAnsi="仿宋_GB2312" w:cs="仿宋_GB2312" w:eastAsia="仿宋_GB2312"/>
                <w:sz w:val="21"/>
              </w:rPr>
              <w:t>（三）图纸</w:t>
            </w:r>
          </w:p>
          <w:p>
            <w:pPr>
              <w:pStyle w:val="null3"/>
            </w:pPr>
            <w:r>
              <w:rPr>
                <w:rFonts w:ascii="仿宋_GB2312" w:hAnsi="仿宋_GB2312" w:cs="仿宋_GB2312" w:eastAsia="仿宋_GB2312"/>
                <w:sz w:val="21"/>
              </w:rPr>
              <w:t>详见图纸及设计答疑。</w:t>
            </w:r>
          </w:p>
          <w:p>
            <w:pPr>
              <w:pStyle w:val="null3"/>
            </w:pPr>
            <w:r>
              <w:rPr>
                <w:rFonts w:ascii="仿宋_GB2312" w:hAnsi="仿宋_GB2312" w:cs="仿宋_GB2312" w:eastAsia="仿宋_GB2312"/>
                <w:sz w:val="21"/>
              </w:rPr>
              <w:t>四、施工要求</w:t>
            </w:r>
          </w:p>
          <w:p>
            <w:pPr>
              <w:pStyle w:val="null3"/>
            </w:pPr>
            <w:r>
              <w:rPr>
                <w:rFonts w:ascii="仿宋_GB2312" w:hAnsi="仿宋_GB2312" w:cs="仿宋_GB2312" w:eastAsia="仿宋_GB2312"/>
                <w:sz w:val="21"/>
              </w:rPr>
              <w:t>1、在施工期间，中标供应商必须注意</w:t>
            </w:r>
            <w:r>
              <w:rPr>
                <w:rFonts w:ascii="仿宋_GB2312" w:hAnsi="仿宋_GB2312" w:cs="仿宋_GB2312" w:eastAsia="仿宋_GB2312"/>
                <w:sz w:val="21"/>
              </w:rPr>
              <w:t>园</w:t>
            </w:r>
            <w:r>
              <w:rPr>
                <w:rFonts w:ascii="仿宋_GB2312" w:hAnsi="仿宋_GB2312" w:cs="仿宋_GB2312" w:eastAsia="仿宋_GB2312"/>
                <w:sz w:val="21"/>
              </w:rPr>
              <w:t>内人员安全，加强安全措施，并对施工人员进行安全教育，施工人员必须持证上岗。</w:t>
            </w:r>
          </w:p>
          <w:p>
            <w:pPr>
              <w:pStyle w:val="null3"/>
            </w:pPr>
            <w:r>
              <w:rPr>
                <w:rFonts w:ascii="仿宋_GB2312" w:hAnsi="仿宋_GB2312" w:cs="仿宋_GB2312" w:eastAsia="仿宋_GB2312"/>
                <w:sz w:val="21"/>
              </w:rPr>
              <w:t>2、施工现场噪音、扬尘严格控制。</w:t>
            </w:r>
          </w:p>
          <w:p>
            <w:pPr>
              <w:pStyle w:val="null3"/>
            </w:pPr>
            <w:r>
              <w:rPr>
                <w:rFonts w:ascii="仿宋_GB2312" w:hAnsi="仿宋_GB2312" w:cs="仿宋_GB2312" w:eastAsia="仿宋_GB2312"/>
                <w:sz w:val="21"/>
              </w:rPr>
              <w:t>3、施工现场要求满足安全文明施工。</w:t>
            </w:r>
          </w:p>
          <w:p>
            <w:pPr>
              <w:pStyle w:val="null3"/>
            </w:pPr>
            <w:r>
              <w:rPr>
                <w:rFonts w:ascii="仿宋_GB2312" w:hAnsi="仿宋_GB2312" w:cs="仿宋_GB2312" w:eastAsia="仿宋_GB2312"/>
                <w:sz w:val="21"/>
              </w:rPr>
              <w:t>五、商务要求</w:t>
            </w:r>
          </w:p>
          <w:p>
            <w:pPr>
              <w:pStyle w:val="null3"/>
            </w:pPr>
            <w:r>
              <w:rPr>
                <w:rFonts w:ascii="仿宋_GB2312" w:hAnsi="仿宋_GB2312" w:cs="仿宋_GB2312" w:eastAsia="仿宋_GB2312"/>
                <w:sz w:val="21"/>
              </w:rPr>
              <w:t>1、款项结算：</w:t>
            </w:r>
          </w:p>
          <w:p>
            <w:pPr>
              <w:pStyle w:val="null3"/>
            </w:pPr>
            <w:r>
              <w:rPr>
                <w:rFonts w:ascii="仿宋_GB2312" w:hAnsi="仿宋_GB2312" w:cs="仿宋_GB2312" w:eastAsia="仿宋_GB2312"/>
                <w:sz w:val="21"/>
              </w:rPr>
              <w:t xml:space="preserve">       合同签订后，供应商应提供正规发票，采购人于七个工作日内支付合同价款的</w:t>
            </w:r>
            <w:r>
              <w:rPr>
                <w:rFonts w:ascii="仿宋_GB2312" w:hAnsi="仿宋_GB2312" w:cs="仿宋_GB2312" w:eastAsia="仿宋_GB2312"/>
                <w:sz w:val="21"/>
              </w:rPr>
              <w:t>30%作为预付款；工程竣工验收合格并经第三方审计机构审计后，供应商开具正规发票，采购人于七个工作日内支付至审定金额的97%；剩余3%的工程款留作质量保证金，质保期为1年，质保期满后七个工作日内一次性无息支付。</w:t>
            </w:r>
          </w:p>
          <w:p>
            <w:pPr>
              <w:pStyle w:val="null3"/>
            </w:pPr>
            <w:r>
              <w:rPr>
                <w:rFonts w:ascii="仿宋_GB2312" w:hAnsi="仿宋_GB2312" w:cs="仿宋_GB2312" w:eastAsia="仿宋_GB2312"/>
                <w:sz w:val="21"/>
              </w:rPr>
              <w:t>六、其他</w:t>
            </w:r>
          </w:p>
          <w:p>
            <w:pPr>
              <w:pStyle w:val="null3"/>
            </w:pPr>
            <w:r>
              <w:rPr>
                <w:rFonts w:ascii="仿宋_GB2312" w:hAnsi="仿宋_GB2312" w:cs="仿宋_GB2312" w:eastAsia="仿宋_GB2312"/>
                <w:sz w:val="21"/>
              </w:rPr>
              <w:t>（一）质量验收标准或规范</w:t>
            </w:r>
          </w:p>
          <w:p>
            <w:pPr>
              <w:pStyle w:val="null3"/>
            </w:pPr>
            <w:r>
              <w:rPr>
                <w:rFonts w:ascii="仿宋_GB2312" w:hAnsi="仿宋_GB2312" w:cs="仿宋_GB2312" w:eastAsia="仿宋_GB2312"/>
                <w:sz w:val="21"/>
              </w:rPr>
              <w:t>1、现行相关的专业工程施工质量验收规范、标准、规定，以及正常的施工方法、施工工艺等。</w:t>
            </w:r>
          </w:p>
          <w:p>
            <w:pPr>
              <w:pStyle w:val="null3"/>
            </w:pPr>
            <w:r>
              <w:rPr>
                <w:rFonts w:ascii="仿宋_GB2312" w:hAnsi="仿宋_GB2312" w:cs="仿宋_GB2312" w:eastAsia="仿宋_GB2312"/>
                <w:sz w:val="21"/>
              </w:rPr>
              <w:t>2、与建设项目相关的法律、规范、标准等资料。</w:t>
            </w:r>
          </w:p>
          <w:p>
            <w:pPr>
              <w:pStyle w:val="null3"/>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）违约责任</w:t>
            </w:r>
          </w:p>
          <w:p>
            <w:pPr>
              <w:pStyle w:val="null3"/>
            </w:pPr>
            <w:r>
              <w:rPr>
                <w:rFonts w:ascii="仿宋_GB2312" w:hAnsi="仿宋_GB2312" w:cs="仿宋_GB2312" w:eastAsia="仿宋_GB2312"/>
                <w:sz w:val="21"/>
              </w:rPr>
              <w:t>1、因采购人原因未完成工作，影响工期，工期顺延。</w:t>
            </w:r>
          </w:p>
          <w:p>
            <w:pPr>
              <w:pStyle w:val="null3"/>
            </w:pPr>
            <w:r>
              <w:rPr>
                <w:rFonts w:ascii="仿宋_GB2312" w:hAnsi="仿宋_GB2312" w:cs="仿宋_GB2312" w:eastAsia="仿宋_GB2312"/>
                <w:sz w:val="21"/>
              </w:rPr>
              <w:t>2、因供应商原因未完成工作，影响工期，工期不顺延，因此对采购人造成的各项经济损失由供应商承担。</w:t>
            </w:r>
          </w:p>
          <w:p>
            <w:pPr>
              <w:pStyle w:val="null3"/>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）争议解决</w:t>
            </w:r>
          </w:p>
          <w:p>
            <w:pPr>
              <w:pStyle w:val="null3"/>
            </w:pPr>
            <w:r>
              <w:rPr>
                <w:rFonts w:ascii="仿宋_GB2312" w:hAnsi="仿宋_GB2312" w:cs="仿宋_GB2312" w:eastAsia="仿宋_GB2312"/>
                <w:sz w:val="21"/>
              </w:rPr>
              <w:t>1、</w:t>
            </w:r>
            <w:r>
              <w:rPr>
                <w:rFonts w:ascii="仿宋_GB2312" w:hAnsi="仿宋_GB2312" w:cs="仿宋_GB2312" w:eastAsia="仿宋_GB2312"/>
                <w:sz w:val="21"/>
              </w:rPr>
              <w:t>执行过程中如发生纠纷，双方应尽可能协商解决，若协商不成时，可向项目所在地人民法院提起诉讼。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为顺利开展电子化采购线上开评标工作，投标人需要在线提交电子投标文件。同时成交供应商应在领取成交通知书前将纸质版投标文件递交至西安市经济技术开发区文景广场C座18层(纸质文件份数要求正本一份，副本二份（正副本装于同一个标袋，电子文件（光盘）2张，单独密封)，投标文件必须胶装成册、印鉴齐全并密封于标袋内）。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提供具有独立承担民事责任能力的法人或其他组织，提供合法有效的营业执照、税务登记证、组织机构代码证（三证合一的企业提供统一社会信用代码的营业执照）（原件的复印件加盖公章）。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提供由具备财务审计资质的单位出具的2024年度或2025年度完整审计报告或提供供应商基本存款账户信息及开标日期前90日内其基本存款账户开户银行出具的资信证明。以上形式的证明资料提供任何一种即可。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1.供应商近六个月内（投标截止时间前）任意1个月的纳税证明材料：根据税务部门出具的完税凭证或纳税的银行转账汇款单、对账单等判定，如依法免税或不需要纳税的，提供相应证明材料。 2.供应商近六个月内（投标截止时间前）任意1个月缴纳社会保障金的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提供承诺书或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投标人满足法律、行政法规规定的其他条件的书面声明。</w:t>
            </w:r>
          </w:p>
        </w:tc>
        <w:tc>
          <w:tcPr>
            <w:tcW w:type="dxa" w:w="1661"/>
          </w:tcPr>
          <w:p>
            <w:pPr>
              <w:pStyle w:val="null3"/>
            </w:pPr>
            <w:r>
              <w:rPr>
                <w:rFonts w:ascii="仿宋_GB2312" w:hAnsi="仿宋_GB2312" w:cs="仿宋_GB2312" w:eastAsia="仿宋_GB2312"/>
              </w:rPr>
              <w:t>供应商应提交的相关资格证明材料.docx 供应商拒绝政府采购领域商业贿赂承诺书.docx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在投标前6个月内（不含投标当月）任意3个月由投标人缴纳社保证明材料的复印件。代缴社保证明材料不予认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供应商具备建筑工程施工总承包三级及以上资质，且具有有效的安全生产许可证（提供证明材料）。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拟派项目负责人具备建筑工程专业二级及以上注册建造师资质（在本单位注册），具备有效的安全生产考核合格证书（B证）；且无不良信用记录，无在建工程。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供应商及其拟派项目负责人须在“陕西省住房和城乡建设厅”官方网站可查询；如供应商为外省进陕企业，还须同时提供“陕西省住房和城乡建设厅”官网企业库外省进陕施工企业信息首页截图。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项目管理机构组成表 残疾人福利性单位声明函 报价函 标的清单 供应商拒绝政府采购领域商业贿赂承诺书.docx 供应商类似项目业绩一览表 响应函 主要人员简历表 监狱企业的证明文件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项目管理机构组成表 残疾人福利性单位声明函 报价函 标的清单 供应商拒绝政府采购领域商业贿赂承诺书.docx 供应商类似项目业绩一览表 响应函 主要人员简历表 监狱企业的证明文件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供应商针对本项目提供的施工方案，应包含施工准备及方法、施工进度安排、地表垃圾清理措施、垃圾外运方案、资料管理措施等内容。 方案内容完整、贴合项目实际、科学合理且针对性强的，得10分；方案内容较完整、较贴合项目实际且可行性较强的，得8分；方案内容基本完整、基本贴合项目实际且可行性一般的，得6分；方案内容基本完整但针对性一般的，得4分；方案内容一般、可行性一般的，得2分；未提供相关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供应商针对本项目提供的确保工程质量技术组织措施，应包含质量管理工作流程、工程质量保障方案、工程质量控制体系、材料和构配件的质量控制、施工检测及工序交验方案。 措施内容完整、管控到位、科学可行且完全贴合本项目实际情况的，得10分；措施内容较完整、管控到位、可行性较强且较贴合项目实际的，得8分；措施内容基本完整、具备基本管控逻辑、可行性一般且基本贴合项目实际的，得6分；措施内容基本完整但针对性和可行性一般的，得4分；未提供相关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供应商针对本项目提供的安全生产技术组织措施，应包含安全生产管理体系、安全生产保障方案、现场安全防护措施及突发安全事故应急处置预案。 措施内容完整、管控到位、科学可行且完全贴合本项目实际情况的，得10分；措施内容较完整、管控到位、可行性较强且较贴合项目实际的，得8分；措施内容基本完整、具备基本管控逻辑、可行性一般且基本贴合项目实际的，得6分；措施内容基本完整但针对性和可行性一般的，得4分；未提供相关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供应商针对本项目提供的文明施工及环境保护管理制度，应包含文明施工管理体系、环境保护管理制度、防尘降噪措施、节能减排措施、文明及环境保护施工监督检查机制。 措施内容完整、管控到位、科学可行且完全贴合本项目实际情况的，得10分；措施内容较完整、管控到位、可行性较强且较贴合项目实际的，得8分；措施内容基本完整、具备基本管控逻辑、可行性一般且基本贴合项目实际的，得6分；措施内容基本完整但针对性和可行性一般的，得4分；未提供相关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项目管理机构及人员配备</w:t>
            </w:r>
          </w:p>
        </w:tc>
        <w:tc>
          <w:tcPr>
            <w:tcW w:type="dxa" w:w="2492"/>
          </w:tcPr>
          <w:p>
            <w:pPr>
              <w:pStyle w:val="null3"/>
            </w:pPr>
            <w:r>
              <w:rPr>
                <w:rFonts w:ascii="仿宋_GB2312" w:hAnsi="仿宋_GB2312" w:cs="仿宋_GB2312" w:eastAsia="仿宋_GB2312"/>
              </w:rPr>
              <w:t>供应商针对本项目配备的项目管理机构架构清晰，人员配置满足本项目施工及管理需求，人员专业匹配度高且证书齐全的，得8分；项目管理机构架构较清晰，人员配置较齐全，专业匹配度较高的，得6分；项目管理机构架构基本清晰，人员配置基本满足需求，专业匹配度一般的，得4分；仅设置基本管理架构，人员配置基本齐全的，得2分；未提供相关配置说明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供应商针对本项目提供的工期保障措施，包含总进度安排、各阶段进度节点规划、进度延误应急处置方案。 措施内容完整可行、贴合项目实际的，得6分；措施内容较完整、可行性较强的，得4.5分；措施内容基本完整、具备可行性的，得3分；措施仅提供基础框架内容，针对性不足的，得1.5分；未提供相关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供应商针对本项目提供的施工机械配置，应包含施工机械配置计划、施工机械维护保养方案、施工机械的监督检查机制。 计划内容完整、贴合项目实际且满足施工需求的，得6分；计划内容较完整、较贴合项目实际且基本满足施工需求的，得4.5分；计划内容一般但整体基本可行的，得3分；计划内容基本完整但针对性不足的，得1.5分；未提供相关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提供2023年6月1日至响应截止时间（以合同签订时间为准）同类项目业绩，每提供一个业绩得2分，满分10分。评审依据：以加盖公章的业绩合同复印件为准，合同至少需包含合同首页、产品页、签字盖章页。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满足采购文件要求且有效响应文件的最后报价的最低报价为评审基准价，其价格分为满分。其他供应商的价格分统一按照下列公式计算：投标报价得分=（评标基准价/最后报价）×30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