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2E1744">
      <w:pPr>
        <w:pStyle w:val="4"/>
        <w:keepNext w:val="0"/>
        <w:keepLines w:val="0"/>
        <w:pageBreakBefore w:val="0"/>
        <w:widowControl w:val="0"/>
        <w:kinsoku/>
        <w:wordWrap/>
        <w:overflowPunct/>
        <w:topLinePunct w:val="0"/>
        <w:autoSpaceDE/>
        <w:autoSpaceDN/>
        <w:bidi w:val="0"/>
        <w:adjustRightInd/>
        <w:snapToGrid/>
        <w:jc w:val="center"/>
        <w:textAlignment w:val="auto"/>
        <w:outlineLvl w:val="1"/>
        <w:rPr>
          <w:rFonts w:hint="eastAsia" w:eastAsiaTheme="minorEastAsia"/>
          <w:sz w:val="28"/>
          <w:szCs w:val="28"/>
          <w:lang w:eastAsia="zh-CN"/>
        </w:rPr>
      </w:pPr>
      <w:r>
        <w:rPr>
          <w:rFonts w:hint="eastAsia" w:ascii="仿宋_GB2312" w:hAnsi="仿宋_GB2312" w:eastAsia="仿宋_GB2312" w:cs="仿宋_GB2312"/>
          <w:b/>
          <w:sz w:val="28"/>
          <w:szCs w:val="28"/>
          <w:lang w:val="en-US" w:eastAsia="zh-CN"/>
        </w:rPr>
        <w:t>采购需求</w:t>
      </w:r>
    </w:p>
    <w:p w14:paraId="166530E7">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陕西万泽招标有限公司（以下简称“代理机构”）受西安市气象局委托，拟对</w:t>
      </w:r>
      <w:r>
        <w:rPr>
          <w:rFonts w:hint="eastAsia" w:ascii="仿宋_GB2312" w:hAnsi="仿宋_GB2312" w:eastAsia="仿宋_GB2312" w:cs="仿宋_GB2312"/>
          <w:sz w:val="24"/>
          <w:szCs w:val="24"/>
          <w:lang w:eastAsia="zh-CN"/>
        </w:rPr>
        <w:t>西安气象特种设备仪器的维护保障项目</w:t>
      </w:r>
      <w:r>
        <w:rPr>
          <w:rFonts w:ascii="仿宋_GB2312" w:hAnsi="仿宋_GB2312" w:eastAsia="仿宋_GB2312" w:cs="仿宋_GB2312"/>
          <w:sz w:val="24"/>
          <w:szCs w:val="24"/>
        </w:rPr>
        <w:t>采用竞争性磋商采购方式进行采购，兹邀请供应商参加本项目的竞争性磋商。</w:t>
      </w:r>
    </w:p>
    <w:p w14:paraId="246BF9C3">
      <w:pPr>
        <w:pStyle w:val="4"/>
        <w:keepNext w:val="0"/>
        <w:keepLines w:val="0"/>
        <w:pageBreakBefore w:val="0"/>
        <w:widowControl w:val="0"/>
        <w:kinsoku/>
        <w:wordWrap/>
        <w:overflowPunct/>
        <w:topLinePunct w:val="0"/>
        <w:autoSpaceDE/>
        <w:autoSpaceDN/>
        <w:bidi w:val="0"/>
        <w:adjustRightInd/>
        <w:snapToGrid/>
        <w:textAlignment w:val="auto"/>
        <w:outlineLvl w:val="2"/>
        <w:rPr>
          <w:rFonts w:hint="eastAsia" w:eastAsia="仿宋_GB2312"/>
          <w:sz w:val="24"/>
          <w:szCs w:val="24"/>
          <w:lang w:eastAsia="zh-CN"/>
        </w:rPr>
      </w:pPr>
      <w:r>
        <w:rPr>
          <w:rFonts w:ascii="仿宋_GB2312" w:hAnsi="仿宋_GB2312" w:eastAsia="仿宋_GB2312" w:cs="仿宋_GB2312"/>
          <w:b/>
          <w:sz w:val="24"/>
          <w:szCs w:val="24"/>
        </w:rPr>
        <w:t>一、项目编号：</w:t>
      </w:r>
      <w:r>
        <w:rPr>
          <w:rFonts w:hint="eastAsia" w:ascii="仿宋_GB2312" w:hAnsi="仿宋_GB2312" w:eastAsia="仿宋_GB2312" w:cs="仿宋_GB2312"/>
          <w:b/>
          <w:sz w:val="24"/>
          <w:szCs w:val="24"/>
          <w:lang w:eastAsia="zh-CN"/>
        </w:rPr>
        <w:t>SXWZ2026ZB-XAQX-211</w:t>
      </w:r>
    </w:p>
    <w:p w14:paraId="276541A5">
      <w:pPr>
        <w:pStyle w:val="4"/>
        <w:keepNext w:val="0"/>
        <w:keepLines w:val="0"/>
        <w:pageBreakBefore w:val="0"/>
        <w:widowControl w:val="0"/>
        <w:kinsoku/>
        <w:wordWrap/>
        <w:overflowPunct/>
        <w:topLinePunct w:val="0"/>
        <w:autoSpaceDE/>
        <w:autoSpaceDN/>
        <w:bidi w:val="0"/>
        <w:adjustRightInd/>
        <w:snapToGrid/>
        <w:textAlignment w:val="auto"/>
        <w:outlineLvl w:val="2"/>
        <w:rPr>
          <w:rFonts w:hint="eastAsia" w:eastAsia="仿宋_GB2312"/>
          <w:sz w:val="24"/>
          <w:szCs w:val="24"/>
          <w:lang w:eastAsia="zh-CN"/>
        </w:rPr>
      </w:pPr>
      <w:r>
        <w:rPr>
          <w:rFonts w:ascii="仿宋_GB2312" w:hAnsi="仿宋_GB2312" w:eastAsia="仿宋_GB2312" w:cs="仿宋_GB2312"/>
          <w:b/>
          <w:sz w:val="24"/>
          <w:szCs w:val="24"/>
        </w:rPr>
        <w:t>二、项目名称：</w:t>
      </w:r>
      <w:r>
        <w:rPr>
          <w:rFonts w:hint="eastAsia" w:ascii="仿宋_GB2312" w:hAnsi="仿宋_GB2312" w:eastAsia="仿宋_GB2312" w:cs="仿宋_GB2312"/>
          <w:b/>
          <w:sz w:val="24"/>
          <w:szCs w:val="24"/>
          <w:lang w:eastAsia="zh-CN"/>
        </w:rPr>
        <w:t>西安气象特种设备仪器的维护保障项目</w:t>
      </w:r>
    </w:p>
    <w:p w14:paraId="35C186A1">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三、磋商项目简介</w:t>
      </w:r>
    </w:p>
    <w:p w14:paraId="16C348C5">
      <w:pPr>
        <w:pStyle w:val="4"/>
        <w:keepNext w:val="0"/>
        <w:keepLines w:val="0"/>
        <w:pageBreakBefore w:val="0"/>
        <w:widowControl w:val="0"/>
        <w:kinsoku/>
        <w:wordWrap/>
        <w:overflowPunct/>
        <w:topLinePunct w:val="0"/>
        <w:autoSpaceDE/>
        <w:autoSpaceDN/>
        <w:bidi w:val="0"/>
        <w:adjustRightInd/>
        <w:snapToGrid/>
        <w:ind w:firstLine="480"/>
        <w:textAlignment w:val="auto"/>
        <w:rPr>
          <w:rFonts w:hint="eastAsia" w:eastAsia="仿宋_GB2312"/>
          <w:sz w:val="24"/>
          <w:szCs w:val="24"/>
          <w:lang w:eastAsia="zh-CN"/>
        </w:rPr>
      </w:pPr>
      <w:r>
        <w:rPr>
          <w:rFonts w:ascii="仿宋_GB2312" w:hAnsi="仿宋_GB2312" w:eastAsia="仿宋_GB2312" w:cs="仿宋_GB2312"/>
          <w:sz w:val="24"/>
          <w:szCs w:val="24"/>
        </w:rPr>
        <w:t>西安市气象局</w:t>
      </w:r>
      <w:r>
        <w:rPr>
          <w:rFonts w:hint="eastAsia" w:ascii="仿宋_GB2312" w:hAnsi="仿宋_GB2312" w:eastAsia="仿宋_GB2312" w:cs="仿宋_GB2312"/>
          <w:sz w:val="24"/>
          <w:szCs w:val="24"/>
          <w:lang w:eastAsia="zh-CN"/>
        </w:rPr>
        <w:t>西安气象特种设备仪器的维护保障项目</w:t>
      </w:r>
    </w:p>
    <w:p w14:paraId="2B74116D">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四、邀请供应商</w:t>
      </w:r>
    </w:p>
    <w:p w14:paraId="0CA7BB4D">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本次采购采取公告征集邀请磋商的供应商。</w:t>
      </w:r>
    </w:p>
    <w:p w14:paraId="486EBE82">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公告征集：本次竞争性磋商在“陕西省政府采购网（www.ccgp-shaanxi.gov.cn）”上以公告形式发布，兹邀请符合本次采购要求的供应商参加本</w:t>
      </w:r>
      <w:bookmarkStart w:id="0" w:name="_GoBack"/>
      <w:bookmarkEnd w:id="0"/>
      <w:r>
        <w:rPr>
          <w:rFonts w:ascii="仿宋_GB2312" w:hAnsi="仿宋_GB2312" w:eastAsia="仿宋_GB2312" w:cs="仿宋_GB2312"/>
          <w:sz w:val="24"/>
          <w:szCs w:val="24"/>
        </w:rPr>
        <w:t>项目的竞争性磋商。</w:t>
      </w:r>
    </w:p>
    <w:p w14:paraId="48B5B449">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五、供应商参加本次政府采购活动应具备的条件</w:t>
      </w:r>
    </w:p>
    <w:p w14:paraId="206AAF92">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（一）满足《中华人民共和国政府采购法》第二十二条规定；</w:t>
      </w:r>
    </w:p>
    <w:p w14:paraId="6308DC1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（二）落实政府采购政策需满足的资格要求：</w:t>
      </w:r>
    </w:p>
    <w:p w14:paraId="2C58044D">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落实政府采购促进中小企业发展的相关政策：</w:t>
      </w:r>
    </w:p>
    <w:p w14:paraId="2BE0A9C9">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采购包1：属于专门面向中小企业采购。</w:t>
      </w:r>
    </w:p>
    <w:p w14:paraId="67F8AA3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（三）本项目的特定资格要求：</w:t>
      </w:r>
    </w:p>
    <w:p w14:paraId="2AD28C29">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采购包1：</w:t>
      </w:r>
    </w:p>
    <w:p w14:paraId="02556C43">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1、投标主体：提供合格有效的法人或其他组织的营业执照等证明文件，自然人参与的提供其身份证。</w:t>
      </w:r>
    </w:p>
    <w:p w14:paraId="42972188">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2、法定代表人授权委托书：法定代表人参加磋商的提供法定代表人身份证明及身份证，委托代理人参加磋商的提供法定代表人授权委托书及法定代表人、委托代理人身份证，自然人参加磋商的只需提供身份证。</w:t>
      </w:r>
    </w:p>
    <w:p w14:paraId="7FDF267B">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3、社会保障资金缴纳证明：提供响应文件提交截止时间前一年内已缴存的至少一个月的社会保障资金缴存单据或社保机构开具的社会保险参保缴费情况证明，单据或证明上应有社保机构或代收机构的公章；依法不需要缴纳社会保障资金的供应商应提供相关文件证明。</w:t>
      </w:r>
    </w:p>
    <w:p w14:paraId="197593C9">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4、税收缴纳证明：提供响应文件提交截止时间前一年内已缴纳的至少一个月的纳税证明或完税证明；依法免税的单位应提供相关证明材料。（以税收所属时期为准）</w:t>
      </w:r>
    </w:p>
    <w:p w14:paraId="10FDFEC7">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5、财务状况证明：提供经审计的2025年度的财务审计报告复印件（财务报告是指经会计师事务所审计的上述指定年度整个会计年度财务报表,复印件至少须包括报告正文、资产负债表、利润表、现金流量表、所有者权益变动表及附注和会计师事务所营业执照，报告正文应当有会计师事务所公章和2名注册会计师的签字及盖章。且审计报告应当经过注册会计师行业统一监管平台备案赋码），或在响应文件提交截止时间前六个月内其基本开户银行出具的资信证明和基本户证明材料(若供应商成立时间不足六个月，需提供成立至响应文件提交截至时间前的财务状况证明材料，或成立至响应文件提交截至时间前的基本开户银行出具的资信证明和基本户证明材料)。</w:t>
      </w:r>
    </w:p>
    <w:p w14:paraId="23633BA0">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6、供应商信誉证明：提供在参加政府采购活动前3年内在经营活动中没有重大违法记录，未被信用中国网（www.creditchina.gov.cn）列入失信被执行人、重大税收违法案件当事人名单，未被中国政府采购网（www.ccgp.gov.cn）列入政府采购严重违法失信行为记录名单的书面声明。</w:t>
      </w:r>
    </w:p>
    <w:p w14:paraId="75AD254A">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7、非联合体声明：本项目不接受联合体磋商，供应商应提供非联合体声明函。</w:t>
      </w:r>
    </w:p>
    <w:p w14:paraId="717D7125">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六、电子化采购相关事项</w:t>
      </w:r>
    </w:p>
    <w:p w14:paraId="60D1DF64">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本项目实行电子化采购，使用的电子化交易系统为：陕西省政府采购综合管理平台的项目电子化交易系统（以下简称“项目电子化交易系统”），登录方式及地址：通过陕西省政府采购网（https://www.ccgp-shaanxi.gov.cn/）首页供应商用户登录陕西省政府采购综合管理平台（以下简称“政府采购平台”），进入项目电子化交易系统。供应商应当按照以下要求，参与本次电子化采购活动。</w:t>
      </w:r>
    </w:p>
    <w:p w14:paraId="0C986DCF">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供应商应当自行在陕西省政府采购网-办事指南查看相应的系统操作指南，并严格按照操作指南要求进行系统操作。在登录、使用政府采购平台前，应当按照要求完成供应商注册和信息完善，加入政府采购平台供应商库。</w:t>
      </w:r>
    </w:p>
    <w:p w14:paraId="12F17A9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供应商应当使用纳入陕西省政府采购综合管理平台数字证书互认范围的数字证书及签章（以下简称“互认的证书及签章”）进行系统操作。供应商使用互认的证书及签章在政府采购平台进行的一切操作和资料传递，以及加盖电子签章确认采购过程中制作、交换的电子数据，均属于供应商真实意思表示，由供应商对其系统操作行为和电子签章确认的事项承担法律责任。</w:t>
      </w:r>
    </w:p>
    <w:p w14:paraId="310783B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已办理互认的证书及签章的供应商，校验互认的证书及签章有效性后，即可按照系统操作要求进行身份信息绑定、权限设置和系统操作；未办理互认的证书及签章的供应商，按要求办理互认的证书及签章并校验有效性后，按照系统操作要求进行身份信息绑定、权限设置和系统操作。互认的证书及签章的办理与校验，可查看陕西省政府采购网-办事指南-CA及签章服务。</w:t>
      </w:r>
    </w:p>
    <w:p w14:paraId="6FE9B082">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供应商应当加强互认的证书及签章日常校验和妥善保管，确保在参加采购活动期间互认的证书及签章能够正常使用；供应商应当严格互认的证书及签章的内部授权管理，防止非授权操作。</w:t>
      </w:r>
    </w:p>
    <w:p w14:paraId="0F7A15DD">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（三）供应商应当自行准备电子化采购所需的计算机终端、软硬件及网络环境，承担因准备不足产生的不利后果。</w:t>
      </w:r>
    </w:p>
    <w:p w14:paraId="5B26BB4C">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（四）政府采购平台技术支持：</w:t>
      </w:r>
    </w:p>
    <w:p w14:paraId="4EA8EEC8">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在线客服：通过陕西省政府采购网-在线服务进行咨询。</w:t>
      </w:r>
    </w:p>
    <w:p w14:paraId="3373367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技术服务电话：029-96702。</w:t>
      </w:r>
    </w:p>
    <w:p w14:paraId="0EFA9895">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CA及签章服务：通过陕西省政府采购网-办事指南-CA及签章服务查看CA办理流程。</w:t>
      </w:r>
    </w:p>
    <w:p w14:paraId="7573FF01">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七、竞争性磋商文件获取时间、方式及地址</w:t>
      </w:r>
    </w:p>
    <w:p w14:paraId="646B56AC">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（一）磋商文件获取时间：详见采购公告或邀请书。</w:t>
      </w:r>
    </w:p>
    <w:p w14:paraId="48FD2623">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在磋商文件获取开始时间前，采购人或代理机构将本项目磋商文件上传至项目电子化交易系统，向供应商提供。供应商通过项目电子化交易系统获取磋商文件。成功获取磋商文件的，供应商将收到已获取磋商文件的回执函。未成功获取磋商文件的供应商，不得参与本次采购活动，不得对磋商文件提起质疑。</w:t>
      </w:r>
    </w:p>
    <w:p w14:paraId="496D8850">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成功获取磋商文件后，采购人或代理机构进行澄清或者修改的，澄清或者修改的内容可能影响响应文件编制的，采购人或代理机构将通过项目电子化交易系统发布澄清或者修改后的磋商文件，供应商应当重新获取磋商文件；澄清或者修改后的磋商文件发布日期距提交响应文件截止日期不足5日的，采购人或代理机构顺延提交响应文件的截止时间。供应商未重新获取磋商文件或者未按照澄清或者修改后的磋商文件编制响应文件进行响应的，自行承担不利后果。</w:t>
      </w:r>
    </w:p>
    <w:p w14:paraId="6DB7C57B">
      <w:pPr>
        <w:pStyle w:val="4"/>
        <w:keepNext w:val="0"/>
        <w:keepLines w:val="0"/>
        <w:pageBreakBefore w:val="0"/>
        <w:widowControl w:val="0"/>
        <w:kinsoku/>
        <w:wordWrap/>
        <w:overflowPunct/>
        <w:topLinePunct w:val="0"/>
        <w:autoSpaceDE/>
        <w:autoSpaceDN/>
        <w:bidi w:val="0"/>
        <w:adjustRightInd/>
        <w:snapToGrid/>
        <w:ind w:firstLine="480"/>
        <w:jc w:val="left"/>
        <w:textAlignment w:val="auto"/>
        <w:rPr>
          <w:sz w:val="24"/>
          <w:szCs w:val="24"/>
        </w:rPr>
      </w:pPr>
      <w:r>
        <w:rPr>
          <w:rFonts w:ascii="仿宋_GB2312" w:hAnsi="仿宋_GB2312" w:eastAsia="仿宋_GB2312" w:cs="仿宋_GB2312"/>
          <w:sz w:val="24"/>
          <w:szCs w:val="24"/>
        </w:rPr>
        <w:t>注：获取的磋商文件主体格式包括pdf、word两种格式版本，其中以pdf格式为准。</w:t>
      </w:r>
    </w:p>
    <w:p w14:paraId="09830FA1">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八、首次响应文件提交截止时间及开启时间、地点、方式</w:t>
      </w:r>
    </w:p>
    <w:p w14:paraId="669F9B5B">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（一）提交首次响应文件截止时间及开启时间：详见采购公告或邀请书。</w:t>
      </w:r>
    </w:p>
    <w:p w14:paraId="74234456">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（二）响应文件提交方式、地点：供应商应当在提交首次响应文件截止时间前，通过项目电子化交易系统提交响应文件。成功提交的，供应商将收到已提交响应文件的回执函。</w:t>
      </w:r>
    </w:p>
    <w:p w14:paraId="231426DE">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九、磋商方式</w:t>
      </w:r>
    </w:p>
    <w:p w14:paraId="7518D249">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本项目磋商小组与供应商通过项目电子化交易系统以在线方式进行磋商。磋商会议由磋商小组在线主持，供应商代表在线参加。供应商应随时关注项目电子化交易系统信息，及时参与在线磋商。供应商登录项目电子化交易系统，与磋商小组进行在线磋商、提交供应商响应表，供应商响应表应加盖供应商（法定名称）电子印章。</w:t>
      </w:r>
    </w:p>
    <w:p w14:paraId="1FB80CF4">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十、供应商信用融资</w:t>
      </w:r>
    </w:p>
    <w:p w14:paraId="59C86B1E">
      <w:pPr>
        <w:pStyle w:val="4"/>
        <w:keepNext w:val="0"/>
        <w:keepLines w:val="0"/>
        <w:pageBreakBefore w:val="0"/>
        <w:widowControl w:val="0"/>
        <w:kinsoku/>
        <w:wordWrap/>
        <w:overflowPunct/>
        <w:topLinePunct w:val="0"/>
        <w:autoSpaceDE/>
        <w:autoSpaceDN/>
        <w:bidi w:val="0"/>
        <w:adjustRightInd/>
        <w:snapToGrid/>
        <w:ind w:firstLine="480"/>
        <w:textAlignment w:val="auto"/>
        <w:rPr>
          <w:sz w:val="24"/>
          <w:szCs w:val="24"/>
        </w:rPr>
      </w:pPr>
      <w:r>
        <w:rPr>
          <w:rFonts w:ascii="仿宋_GB2312" w:hAnsi="仿宋_GB2312" w:eastAsia="仿宋_GB2312" w:cs="仿宋_GB2312"/>
          <w:sz w:val="24"/>
          <w:szCs w:val="24"/>
        </w:rPr>
        <w:t>根据《陕西省财政厅关于加快推进我省中小企业政府采购信用融资工作的通知》（陕财办采〔2020〕15号）和《陕西省中小企业政府采购信用融资办法》（陕财办采〔2018〕23号）文件要求，为助力解决政府采购成交供应商资金不足、融资难、融资贵的问题，促进供应商依法诚信参加政府采购活动，有融资需求的供应商可登录陕西省政府采购网—陕西省政府采购金融服务平台（https://www.ccgp-shaanxi.gov.cn/zcdservice/zcd/shanxi/），选择符合自身情况的“政采贷”银行及其产品，凭项目成交结果、成交通知书等信息在线向银行提出贷款意向申请、查看贷款审批情况等。</w:t>
      </w:r>
    </w:p>
    <w:p w14:paraId="589A6309">
      <w:pPr>
        <w:pStyle w:val="4"/>
        <w:keepNext w:val="0"/>
        <w:keepLines w:val="0"/>
        <w:pageBreakBefore w:val="0"/>
        <w:widowControl w:val="0"/>
        <w:kinsoku/>
        <w:wordWrap/>
        <w:overflowPunct/>
        <w:topLinePunct w:val="0"/>
        <w:autoSpaceDE/>
        <w:autoSpaceDN/>
        <w:bidi w:val="0"/>
        <w:adjustRightInd/>
        <w:snapToGrid/>
        <w:textAlignment w:val="auto"/>
        <w:outlineLvl w:val="2"/>
        <w:rPr>
          <w:sz w:val="24"/>
          <w:szCs w:val="24"/>
        </w:rPr>
      </w:pPr>
      <w:r>
        <w:rPr>
          <w:rFonts w:ascii="仿宋_GB2312" w:hAnsi="仿宋_GB2312" w:eastAsia="仿宋_GB2312" w:cs="仿宋_GB2312"/>
          <w:b/>
          <w:sz w:val="24"/>
          <w:szCs w:val="24"/>
        </w:rPr>
        <w:t>十一、联系方式</w:t>
      </w:r>
    </w:p>
    <w:p w14:paraId="0EA77A5A">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rPr>
      </w:pPr>
      <w:r>
        <w:rPr>
          <w:rFonts w:ascii="仿宋_GB2312" w:hAnsi="仿宋_GB2312" w:eastAsia="仿宋_GB2312" w:cs="仿宋_GB2312"/>
          <w:b/>
          <w:sz w:val="24"/>
          <w:szCs w:val="24"/>
        </w:rPr>
        <w:t>采购人：西安市气象局</w:t>
      </w:r>
    </w:p>
    <w:p w14:paraId="0D99711F">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地址：西安市未央区未央路102-1号</w:t>
      </w:r>
    </w:p>
    <w:p w14:paraId="7C2879F2">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邮编：710016</w:t>
      </w:r>
    </w:p>
    <w:p w14:paraId="346E2BE6">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联系人：</w:t>
      </w:r>
    </w:p>
    <w:p w14:paraId="40E472E7">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联系电话：</w:t>
      </w:r>
    </w:p>
    <w:p w14:paraId="303416DD">
      <w:pPr>
        <w:pStyle w:val="4"/>
        <w:keepNext w:val="0"/>
        <w:keepLines w:val="0"/>
        <w:pageBreakBefore w:val="0"/>
        <w:widowControl w:val="0"/>
        <w:kinsoku/>
        <w:wordWrap/>
        <w:overflowPunct/>
        <w:topLinePunct w:val="0"/>
        <w:autoSpaceDE/>
        <w:autoSpaceDN/>
        <w:bidi w:val="0"/>
        <w:adjustRightInd/>
        <w:snapToGrid/>
        <w:textAlignment w:val="auto"/>
        <w:outlineLvl w:val="3"/>
        <w:rPr>
          <w:sz w:val="24"/>
          <w:szCs w:val="24"/>
        </w:rPr>
      </w:pPr>
      <w:r>
        <w:rPr>
          <w:rFonts w:ascii="仿宋_GB2312" w:hAnsi="仿宋_GB2312" w:eastAsia="仿宋_GB2312" w:cs="仿宋_GB2312"/>
          <w:b/>
          <w:sz w:val="24"/>
          <w:szCs w:val="24"/>
        </w:rPr>
        <w:t>代理机构：陕西万泽招标有限公司</w:t>
      </w:r>
    </w:p>
    <w:p w14:paraId="74ECA6ED">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地址：西安市高新区唐延路旺座现代城C座25楼2502室</w:t>
      </w:r>
    </w:p>
    <w:p w14:paraId="4F8B5BCE">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邮编：710065</w:t>
      </w:r>
    </w:p>
    <w:p w14:paraId="3CA1DC0E">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联系人：黄茜</w:t>
      </w:r>
      <w:r>
        <w:rPr>
          <w:rFonts w:hint="eastAsia" w:ascii="仿宋_GB2312" w:hAnsi="仿宋_GB2312" w:eastAsia="仿宋_GB2312" w:cs="仿宋_GB2312"/>
          <w:sz w:val="24"/>
          <w:szCs w:val="24"/>
          <w:lang w:val="en-US" w:eastAsia="zh-CN"/>
        </w:rPr>
        <w:t xml:space="preserve"> </w:t>
      </w:r>
      <w:r>
        <w:rPr>
          <w:rFonts w:ascii="仿宋_GB2312" w:hAnsi="仿宋_GB2312" w:eastAsia="仿宋_GB2312" w:cs="仿宋_GB2312"/>
          <w:sz w:val="24"/>
          <w:szCs w:val="24"/>
        </w:rPr>
        <w:t>陈先锋</w:t>
      </w:r>
    </w:p>
    <w:p w14:paraId="1C22394E">
      <w:pPr>
        <w:pStyle w:val="4"/>
        <w:keepNext w:val="0"/>
        <w:keepLines w:val="0"/>
        <w:pageBreakBefore w:val="0"/>
        <w:widowControl w:val="0"/>
        <w:kinsoku/>
        <w:wordWrap/>
        <w:overflowPunct/>
        <w:topLinePunct w:val="0"/>
        <w:autoSpaceDE/>
        <w:autoSpaceDN/>
        <w:bidi w:val="0"/>
        <w:adjustRightInd/>
        <w:snapToGrid/>
        <w:textAlignment w:val="auto"/>
        <w:rPr>
          <w:sz w:val="24"/>
          <w:szCs w:val="24"/>
        </w:rPr>
      </w:pPr>
      <w:r>
        <w:rPr>
          <w:rFonts w:ascii="仿宋_GB2312" w:hAnsi="仿宋_GB2312" w:eastAsia="仿宋_GB2312" w:cs="仿宋_GB2312"/>
          <w:sz w:val="24"/>
          <w:szCs w:val="24"/>
        </w:rPr>
        <w:t>联系电话：029-88319689-8003/8005</w:t>
      </w:r>
    </w:p>
    <w:p w14:paraId="49753326"/>
    <w:sectPr>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9570C2"/>
    <w:rsid w:val="5F9570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2026-09-29T02:29:00Z</dcterms:created>
  <dc:creator>七月</dc:creator>
  <cp:lastModifiedBy>七月</cp:lastModifiedBy>
  <dcterms:modified xsi:type="dcterms:W3CDTF">2026-09-29T02:30:04Z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B444175EDDCA4A51B4513303F0087B73_11</vt:lpwstr>
  </property>
  <property fmtid="{D5CDD505-2E9C-101B-9397-08002B2CF9AE}" pid="4" name="KSOTemplateDocerSaveRecord">
    <vt:lpwstr>eyJoZGlkIjoiZjQ0Y2ZiZTcxZjgwZDQ5YWYyNTVhMmI4ZjliMzNjMDgiLCJ1c2VySWQiOiI1NDE4NTI1OTcifQ==</vt:lpwstr>
  </property>
</Properties>
</file>