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版本号：HXZK2026ZC050600520260507001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CPC卡购置及发行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HXZK2026ZC0506005</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CPC卡购置及发行</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HXZK2026ZC0506005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CPC卡购置及发行</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按照《交通运输部路网监测与应急处置中心联网结算服务部关于做好CPC补充采购相关工作的函》（交路网结算﹝2024﹞102号）要求，结合我省实际情况，需要开展补充采购以满足全省运营需要。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投标文件截止时间不足一年的可提供成立后任意时段的资产负债表)，或其投标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投标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投标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9、非联合体投标：本采购包不接受联合体投标，供应商提供非联合体投标承诺书。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029-86531082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按照《交通运输部路网监测与应急处置中心联网结算服务部关于做好CPC补充采购相关工作的函》（交路网结算﹝2024﹞102号）要求，结合我省实际情况，需要开展补充采购以满足全省运营需要。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CPC卡购置及发行</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jc w:val="right"/>
            </w:pPr>
            <w:r>
              <w:rPr>
                <w:rFonts w:ascii="仿宋_GB2312" w:hAnsi="仿宋_GB2312" w:cs="仿宋_GB2312" w:eastAsia="仿宋_GB2312"/>
              </w:rPr>
              <w:t>2,850,000.00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标的名称：CPC卡购置及发行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rPr>
              <w:t>一、基本要求</w:t>
            </w:r>
          </w:p>
          <w:p>
            <w:pPr>
              <w:pStyle w:val="null3"/>
              <w:ind w:firstLine="400"/>
              <w:jc w:val="left"/>
            </w:pPr>
            <w:r>
              <w:rPr>
                <w:rFonts w:ascii="仿宋_GB2312" w:hAnsi="仿宋_GB2312" w:cs="仿宋_GB2312" w:eastAsia="仿宋_GB2312"/>
              </w:rPr>
              <w:t>（一）技术要求。生产出的 CPC 卡技术指标要符合以下标准:</w:t>
            </w:r>
          </w:p>
          <w:p>
            <w:pPr>
              <w:pStyle w:val="null3"/>
              <w:ind w:firstLine="400"/>
              <w:jc w:val="left"/>
            </w:pPr>
            <w:r>
              <w:rPr>
                <w:rFonts w:ascii="仿宋_GB2312" w:hAnsi="仿宋_GB2312" w:cs="仿宋_GB2312" w:eastAsia="仿宋_GB2312"/>
              </w:rPr>
              <w:t>1.GB/T 20851.2—2019 《电子收费 专用短程通信 第2部分：数据链路层》</w:t>
            </w:r>
          </w:p>
          <w:p>
            <w:pPr>
              <w:pStyle w:val="null3"/>
              <w:ind w:firstLine="400"/>
              <w:jc w:val="left"/>
            </w:pPr>
            <w:r>
              <w:rPr>
                <w:rFonts w:ascii="仿宋_GB2312" w:hAnsi="仿宋_GB2312" w:cs="仿宋_GB2312" w:eastAsia="仿宋_GB2312"/>
              </w:rPr>
              <w:t>2.GB/T 20851.3—2019 《电子收费 专用短程通信 第3部分：应用层》</w:t>
            </w:r>
          </w:p>
          <w:p>
            <w:pPr>
              <w:pStyle w:val="null3"/>
              <w:ind w:firstLine="400"/>
              <w:jc w:val="left"/>
            </w:pPr>
            <w:r>
              <w:rPr>
                <w:rFonts w:ascii="仿宋_GB2312" w:hAnsi="仿宋_GB2312" w:cs="仿宋_GB2312" w:eastAsia="仿宋_GB2312"/>
              </w:rPr>
              <w:t>3.GB/T 20851.4—2019 《电子收费 专用短程通信 第4部分：设备应用》</w:t>
            </w:r>
          </w:p>
          <w:p>
            <w:pPr>
              <w:pStyle w:val="null3"/>
              <w:ind w:firstLine="400"/>
              <w:jc w:val="left"/>
            </w:pPr>
            <w:r>
              <w:rPr>
                <w:rFonts w:ascii="仿宋_GB2312" w:hAnsi="仿宋_GB2312" w:cs="仿宋_GB2312" w:eastAsia="仿宋_GB2312"/>
              </w:rPr>
              <w:t>4.GB/T 20851.5—2019 《电子收费 专用短程通信 第5部分：物理层主要参数测试方法》</w:t>
            </w:r>
          </w:p>
          <w:p>
            <w:pPr>
              <w:pStyle w:val="null3"/>
              <w:ind w:firstLine="400"/>
              <w:jc w:val="left"/>
            </w:pPr>
            <w:r>
              <w:rPr>
                <w:rFonts w:ascii="仿宋_GB2312" w:hAnsi="仿宋_GB2312" w:cs="仿宋_GB2312" w:eastAsia="仿宋_GB2312"/>
              </w:rPr>
              <w:t>5.JTG 6310—2022 《收费公路联网收费技术标准》</w:t>
            </w:r>
          </w:p>
          <w:p>
            <w:pPr>
              <w:pStyle w:val="null3"/>
              <w:ind w:firstLine="400"/>
              <w:jc w:val="left"/>
            </w:pPr>
            <w:r>
              <w:rPr>
                <w:rFonts w:ascii="仿宋_GB2312" w:hAnsi="仿宋_GB2312" w:cs="仿宋_GB2312" w:eastAsia="仿宋_GB2312"/>
              </w:rPr>
              <w:t>6.《收费公路联网收费多义性路径识别技术要求》（交通运输部2015年第40号公告）</w:t>
            </w:r>
          </w:p>
          <w:p>
            <w:pPr>
              <w:pStyle w:val="null3"/>
              <w:ind w:firstLine="400"/>
              <w:jc w:val="left"/>
            </w:pPr>
            <w:r>
              <w:rPr>
                <w:rFonts w:ascii="仿宋_GB2312" w:hAnsi="仿宋_GB2312" w:cs="仿宋_GB2312" w:eastAsia="仿宋_GB2312"/>
              </w:rPr>
              <w:t>7.《高速公路复合通行卡（CPC）技术要求》（交通运输部2019年第43号公告）</w:t>
            </w:r>
          </w:p>
          <w:p>
            <w:pPr>
              <w:pStyle w:val="null3"/>
              <w:ind w:firstLine="400"/>
              <w:jc w:val="left"/>
            </w:pPr>
            <w:r>
              <w:rPr>
                <w:rFonts w:ascii="仿宋_GB2312" w:hAnsi="仿宋_GB2312" w:cs="仿宋_GB2312" w:eastAsia="仿宋_GB2312"/>
              </w:rPr>
              <w:t>8.《高速公路ETC门架系统及关键设备检测规程》（交通运输部2019年第59号公告）</w:t>
            </w:r>
          </w:p>
          <w:p>
            <w:pPr>
              <w:pStyle w:val="null3"/>
              <w:ind w:firstLine="400"/>
              <w:jc w:val="left"/>
            </w:pPr>
            <w:r>
              <w:rPr>
                <w:rFonts w:ascii="仿宋_GB2312" w:hAnsi="仿宋_GB2312" w:cs="仿宋_GB2312" w:eastAsia="仿宋_GB2312"/>
              </w:rPr>
              <w:t>（二）交货期。中标方需在招标人要求期限内供货（从签订合同起开始计算，包含CPC卡初始化发行、1‰随机号段的CPC卡送检、发货到招标人指定地点不能超过120个自然日）。</w:t>
            </w:r>
          </w:p>
          <w:p>
            <w:pPr>
              <w:pStyle w:val="null3"/>
              <w:ind w:firstLine="400"/>
              <w:jc w:val="left"/>
            </w:pPr>
            <w:r>
              <w:rPr>
                <w:rFonts w:ascii="仿宋_GB2312" w:hAnsi="仿宋_GB2312" w:cs="仿宋_GB2312" w:eastAsia="仿宋_GB2312"/>
              </w:rPr>
              <w:t>（三）交货地点。招标人指定地点。</w:t>
            </w:r>
          </w:p>
          <w:p>
            <w:pPr>
              <w:pStyle w:val="null3"/>
              <w:ind w:firstLine="400"/>
              <w:jc w:val="left"/>
            </w:pPr>
            <w:r>
              <w:rPr>
                <w:rFonts w:ascii="仿宋_GB2312" w:hAnsi="仿宋_GB2312" w:cs="仿宋_GB2312" w:eastAsia="仿宋_GB2312"/>
              </w:rPr>
              <w:t>（四）送检及抽检要求。</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确定中标方后，中标方需送检一定数量样品（拟定为100张）到交通运输部或招标方指定的第三方检测机构。中标方供货后，根据招标人要求抽取1‰随机号段的CPC卡再次送检。</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两批样品须符合CPC卡的相关检测指标且保持一致，如果中标方的送检产品未通过交通运输部或招标方指定的检测单位的检测，招标人有权单方无责任解除合同。</w:t>
            </w:r>
          </w:p>
          <w:p>
            <w:pPr>
              <w:pStyle w:val="null3"/>
              <w:ind w:firstLine="400"/>
              <w:jc w:val="left"/>
            </w:pPr>
            <w:r>
              <w:rPr>
                <w:rFonts w:ascii="仿宋_GB2312" w:hAnsi="仿宋_GB2312" w:cs="仿宋_GB2312" w:eastAsia="仿宋_GB2312"/>
              </w:rPr>
              <w:t>（五）质保期。CPC卡的质保期不能少于5年。质保期内供应商须免费维修或更换电量不足、无法读写、电池鼓包等原因导致不能正常使用的卡片(人为损坏除外)。</w:t>
            </w:r>
          </w:p>
          <w:p>
            <w:pPr>
              <w:pStyle w:val="null3"/>
              <w:jc w:val="both"/>
            </w:pPr>
            <w:r>
              <w:rPr>
                <w:rFonts w:ascii="仿宋_GB2312" w:hAnsi="仿宋_GB2312" w:cs="仿宋_GB2312" w:eastAsia="仿宋_GB2312"/>
                <w:sz w:val="21"/>
              </w:rPr>
              <w:t xml:space="preserve">      （六）CPC卡生产、供货、送(抽)检、发行、验收、售后服务及税金等一切费用均由中标方自行承担。</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根据采购人要求及合同约定执行，从签订合同起开始计算，包含CPC卡初始化发行、1‰随机号段的CPC卡送检、发货到招标人指定地点不能超过120个自然日。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货物全部到货，经到货验收并取得第三方检测合格报告后，首次支付供应商须向采购人出具合法有效的全额发票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供应商完成初始化发行，经采购人验收合格后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项目履约验收主体为采购人，验收工作流程为供应商提出验收申请之日起30日内，由采购人组织验收工作。本项目为一次性验收，采购人严格按照招标文件、投标文件和合同约定内容进行履约验收。 验收工作程序： （一）到货验收。供应商供货后，采购人组织进行到货验收。到货验收是对中标方所交付的产品数量、规格型号、生产厂家和外包装等进行验收,验收合格后由双方工作人员签署到货证明(即《到货验收单》)。验收合格的结果仅表明产品在外观、数量上完好无缺失的证明及供应商履行其交付货物义务的必要证据。 （二）抽（送）检。采购人抽取150张随机号段的CPC卡送至交通运输部或招标方指定的第三方检测机构进行检测。检测合格后进行初始化发行。未通过检测的，采购人可退回货物，单方无责任解除合同。 （三）发行。初始化发行按照国家标准、行业规范及有关技术要求进行，供应商应做好发行时间安排以及人员配备等。在发行过程中，由于供应商原因造成发行设备、设施损坏,供应商应负责修理或赔偿损失。发行完成后,由供应商进行自检，自检合格后向采购人书面提交验收申请。</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CPC卡的质保期不能少于5年。质保期内供应商须免费维修或更换电量不足、无法读写、电池鼓包等原因导致不能正常使用的卡片(人为损坏除外)，并承担运输、分拣、检测等一切费用。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如不能及时开具全额发票或采购人要求的保函，采购人有权延时付款且不承担违约责任，直至供应商开具全额发票或采购人要求的保函后再进行付款。2、双方本着友好合作的态度,对合同履行过程中发生的纠纷应及时协商解决，协商不成的，向采购人所在地有管辖权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3.4.1落实的政府采购政策：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3.4.2本项目为非专门面向中小企业采购。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投标文件截止时间不足一年的可提供成立后任意时段的资产负债表)，或其投标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投标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提供投标文件提交截止时间前一年内至少一个月已缴纳的社会保障资金缴存单据或社保机构开具的社会保险参保缴费情况证明，依法不需要缴纳社会保障资金的单位应提供相关证明材料。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本采购包不接受联合体投标，供应商提供非联合体投标承诺书。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投标文件、投标函加盖供应商公章并经法定代表人或被授权委托人签字或盖章。</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商务应答表 分项报价明细表.docx 资格证明资料.docx 业绩资料.docx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供应商的投标报价没有超出采购预算或最高限价。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投标方案.docx 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符合招标文件规定的其他实质性要求的</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商务应答表 分项报价明细表.docx 资格证明资料.docx 业绩资料.docx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不存在其他不符合法律法规或招标文件规定的响应无效条款的情形。</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商务应答表 分项报价明细表.docx 资格证明资料.docx 业绩资料.docx 产品技术参数表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产品技术要求</w:t>
            </w:r>
          </w:p>
        </w:tc>
        <w:tc>
          <w:tcPr>
            <w:tcW w:type="dxa" w:w="2492"/>
          </w:tcPr>
          <w:p>
            <w:pPr>
              <w:pStyle w:val="null3"/>
            </w:pPr>
            <w:r>
              <w:rPr>
                <w:rFonts w:ascii="仿宋_GB2312" w:hAnsi="仿宋_GB2312" w:cs="仿宋_GB2312" w:eastAsia="仿宋_GB2312"/>
              </w:rPr>
              <w:t>一、评审内容 根据采购人要求及行业的技术指标，供应商应对CPC卡的技术要求进行响应（需提供相关的证明材料，包括产品各项技术指标的介绍、产品执行的技术标准、功能展示、检测报告、电池认证报告、说明书等证明材料予以佐证）。 二、赋分标准（满分12分） 供应商应对CPC卡的技术要求进行响应（需提供相关的证明材料，包括但不限于产品各项技术指标的介绍、产品执行的技术标准、功能展示、检测报告、电池认证报告、说明书等证明材料予以佐证）：证明材料每完全满足一个得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针对本项目有具体详细的实施方案，内容包括： 1、总体实施方案； 2、供货组织方案； 3、送检及抽检工作方案； 4、发行工作方案； 5、验收工作方案； 6、售后服务方案。 二、评审标准 1、完整性：项目实施方案及各阶段工作方案须全面，对评审内容中的各项要求有详细描述； 2、可实施性：切合本项目实际情况，项目实施方案及各阶段工作方案须具体、合理、可行； 3、针对性：项目实施方案及各阶段工作方案能够紧扣项目实际需求，内容科学合理。 三、赋分标准（满分18分） 1、总体实施方案：每完全满足一个评审标准得 1分，满分3分； 2、供货组织方案：每完全满足一个评审标准得 1分，满分3分； 3、送检及抽检工作方案：每完全满足一个评审标准得1分，满分3分； 4、发行工作方案：每完全满足一个评审标准得 1分，满分3分； 5、验收工作方案：每完全满足一个评审标准得 1分，满分3分； 6、售后服务方案：每完全满足一个评审标准得 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进度计划安排及保障措施</w:t>
            </w:r>
          </w:p>
        </w:tc>
        <w:tc>
          <w:tcPr>
            <w:tcW w:type="dxa" w:w="2492"/>
          </w:tcPr>
          <w:p>
            <w:pPr>
              <w:pStyle w:val="null3"/>
            </w:pPr>
            <w:r>
              <w:rPr>
                <w:rFonts w:ascii="仿宋_GB2312" w:hAnsi="仿宋_GB2312" w:cs="仿宋_GB2312" w:eastAsia="仿宋_GB2312"/>
              </w:rPr>
              <w:t>一、评审内容 供应商需根据采购人提出的交货验收、抽（送）检、发行期限内完成供货，提出各阶段的实施进度安排，内容包括： 1、交货验收进度计划安排； 2、抽（送）检进度计划安排； 3、发行的计划安排； 4、各项工作的进度保障措施。 二、评审标准 1、完整性：各项进度计划安排及保障措施必须全面，对评审内容中的各项要求有详细描述； 2、可实施性：切合本项目实际情况，计划安排及保障措施的实施步骤清晰、合理、可行； 3、针对性：进度计划安排及保障措施能够紧扣项目实际需求，内容科学合理。 三、赋分标准（满分12分） 1、交货验收进度计划安排：每完全满足一个评审标准得 1分，满分 3分； 2、抽（送）检进度计划安排：每完全满足一个评审标准得 1分，满分 3分； 3、发行的计划安排：每完全满足一个评审标准得 1分，满分 3分； 4、各项工作的进度保障措施：每完全满足一个评审标准得 1分，满分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一、评审内容 供应商需根据采购人提出的质保要求，对CPC卡的质保期的质保范围，内容包括： 1、质保期内维保方案； 2、质量保障措施； 3、质量保障的增值服务。 二、评审标准 1、完整性：方案及保障措施必须全面，对评审内容中的各项要求有详细描述； 2、可实施性：切合本项目实际情况，方案及保障措施的实施步骤清晰、合理、可行； 3、针对性：方案及保障措施能够紧扣项目实际需求，内容科学合理。 三、赋分标准（满分9分） 1、质保期内维保方案：每完全满足一个评审标准得 1分，满分 3分； 2、质量保障措施：每完全满足一个评审标准得 1分，满分 3分； 3、质量保障的增值服务：每完全满足一个评审标准得 1分，满分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供应商需从CPC卡的供货期、送（抽）检、发行、售后服务阶段提供人员配置方案，内容包括： 1、各阶段的人员配置（提供简历表等，格式自拟，包括但不限于姓名、职务、年龄、工作经验、年限、学历等相关信息）。 2、售后服务的人员保障措施。 二、评审标准 1、完整性：人员配置必须全面，对评审内容中的各项要求有详细描述； 2、可实施性：切合本项目实际情况，人员分工明确，岗位设置合理、可行； 3、针对性：人员配置能够紧扣项目实际需求，科学合理。 三、赋分标准（满分6分） 1、各阶段的人员配置（提供简历表等，格式自拟，包括但不限于姓名、职务、年龄、工作经验、年限、学历等相关信息）：每完全满足一个评审标准得 1分，满分 3分； 2、售后服务的人员保障措施：每完全满足一个评审标准得 1分，满分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1、承诺：供应商严格执行采购人提出的技术要求，保证CPC卡按照采购人规定的交货期交货，得1分。无承诺不得分。 2、承诺：供应商对采购人抽（送）检CPC卡未通过检测的，采购人可退回货物，单方无责任解除合同，得1分。无承诺不得分。 3、承诺：供应商对技术要求中CPC卡质保期不能少于5年的年限，每增加1年，得0.5分，最多得1分。无承诺不得分。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供应商应提供2023年1月1日起至今类似项目业绩，每提供1份业绩得1分，满分5分。 注：1、供应商提供的业绩以合同签订时间为准； 2、业绩资料需提供合同（合同关键页含客户名称、供货内容、签订日期、金额）等资料（需有甲方的签字或盖章）的复印件或扫描件，并加盖公章。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满足招标文件要求且投标报价最低的为评标基准价，其价格分为满分。其他投标供应商的价格分统一按照下列公式计算：投标报价得分=（评标基准价/投标报价）×35。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