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432F4">
      <w:pPr>
        <w:widowControl/>
        <w:adjustRightInd w:val="0"/>
        <w:snapToGrid w:val="0"/>
        <w:spacing w:line="360" w:lineRule="auto"/>
        <w:jc w:val="center"/>
        <w:rPr>
          <w:rFonts w:hint="eastAsia" w:ascii="方正小标宋简体" w:hAnsi="方正小标宋简体" w:eastAsia="方正小标宋简体" w:cs="方正小标宋简体"/>
          <w:color w:val="auto"/>
          <w:sz w:val="40"/>
          <w:szCs w:val="40"/>
        </w:rPr>
      </w:pPr>
      <w:r>
        <w:rPr>
          <w:rFonts w:hint="eastAsia" w:ascii="方正小标宋简体" w:hAnsi="方正小标宋简体" w:eastAsia="方正小标宋简体" w:cs="方正小标宋简体"/>
          <w:color w:val="auto"/>
          <w:sz w:val="40"/>
          <w:szCs w:val="40"/>
        </w:rPr>
        <w:t>CPC卡购置及发行</w:t>
      </w:r>
    </w:p>
    <w:p w14:paraId="2A77187C">
      <w:pPr>
        <w:widowControl/>
        <w:adjustRightInd w:val="0"/>
        <w:snapToGrid w:val="0"/>
        <w:spacing w:line="360" w:lineRule="auto"/>
        <w:ind w:firstLine="482" w:firstLineChars="200"/>
        <w:jc w:val="center"/>
        <w:rPr>
          <w:rFonts w:hint="eastAsia" w:ascii="方正小标宋简体" w:hAnsi="方正小标宋简体" w:eastAsia="方正小标宋简体" w:cs="方正小标宋简体"/>
          <w:color w:val="auto"/>
          <w:sz w:val="40"/>
          <w:szCs w:val="40"/>
        </w:rPr>
      </w:pPr>
      <w:r>
        <w:rPr>
          <w:rFonts w:hint="eastAsia" w:ascii="宋体" w:hAnsi="宋体" w:cs="宋体"/>
          <w:b/>
          <w:color w:val="auto"/>
          <w:sz w:val="24"/>
          <w:szCs w:val="24"/>
        </w:rPr>
        <w:t>合同主要条款</w:t>
      </w:r>
    </w:p>
    <w:p w14:paraId="01F6F0FB">
      <w:pPr>
        <w:widowControl/>
        <w:adjustRightInd w:val="0"/>
        <w:snapToGrid w:val="0"/>
        <w:spacing w:line="360" w:lineRule="auto"/>
        <w:rPr>
          <w:rFonts w:hint="eastAsia" w:ascii="宋体" w:hAnsi="宋体" w:cs="宋体"/>
          <w:b/>
          <w:bCs/>
          <w:color w:val="auto"/>
          <w:kern w:val="0"/>
          <w:sz w:val="24"/>
        </w:rPr>
      </w:pPr>
      <w:r>
        <w:rPr>
          <w:rFonts w:hint="eastAsia" w:ascii="宋体" w:hAnsi="宋体" w:cs="宋体"/>
          <w:b/>
          <w:bCs/>
          <w:color w:val="auto"/>
          <w:sz w:val="22"/>
          <w:szCs w:val="22"/>
        </w:rPr>
        <w:t>（本</w:t>
      </w:r>
      <w:r>
        <w:rPr>
          <w:rFonts w:hint="eastAsia" w:ascii="宋体" w:hAnsi="宋体" w:cs="宋体"/>
          <w:b/>
          <w:bCs/>
          <w:color w:val="auto"/>
          <w:sz w:val="22"/>
          <w:szCs w:val="22"/>
          <w:lang w:val="en-US" w:eastAsia="zh-CN"/>
        </w:rPr>
        <w:t>合同主要</w:t>
      </w:r>
      <w:r>
        <w:rPr>
          <w:rFonts w:hint="eastAsia" w:ascii="宋体" w:hAnsi="宋体" w:cs="宋体"/>
          <w:b/>
          <w:bCs/>
          <w:color w:val="auto"/>
          <w:sz w:val="22"/>
          <w:szCs w:val="22"/>
        </w:rPr>
        <w:t>条款供双方签订合同参考，采购人可根据项目的实际情况增加条款和内容）</w:t>
      </w:r>
    </w:p>
    <w:p w14:paraId="4D0C9C4C">
      <w:pPr>
        <w:widowControl/>
        <w:adjustRightInd w:val="0"/>
        <w:snapToGrid w:val="0"/>
        <w:spacing w:line="360" w:lineRule="auto"/>
        <w:ind w:firstLine="482" w:firstLineChars="200"/>
        <w:rPr>
          <w:rFonts w:hint="eastAsia" w:ascii="宋体" w:hAnsi="宋体" w:cs="宋体"/>
          <w:b/>
          <w:bCs/>
          <w:color w:val="auto"/>
          <w:kern w:val="0"/>
          <w:sz w:val="24"/>
        </w:rPr>
      </w:pPr>
    </w:p>
    <w:p w14:paraId="6DE967A5">
      <w:pPr>
        <w:widowControl/>
        <w:adjustRightInd w:val="0"/>
        <w:snapToGrid w:val="0"/>
        <w:spacing w:line="360" w:lineRule="auto"/>
        <w:ind w:firstLine="482" w:firstLineChars="200"/>
        <w:rPr>
          <w:rFonts w:ascii="宋体" w:hAnsi="宋体" w:cs="宋体"/>
          <w:b/>
          <w:color w:val="auto"/>
          <w:kern w:val="0"/>
          <w:sz w:val="24"/>
          <w:u w:val="single"/>
        </w:rPr>
      </w:pPr>
      <w:r>
        <w:rPr>
          <w:rFonts w:hint="eastAsia" w:ascii="宋体" w:hAnsi="宋体" w:cs="宋体"/>
          <w:b/>
          <w:bCs/>
          <w:color w:val="auto"/>
          <w:kern w:val="0"/>
          <w:sz w:val="24"/>
        </w:rPr>
        <w:t>需方（以下简称“甲方”）:</w:t>
      </w:r>
      <w:r>
        <w:rPr>
          <w:rFonts w:hint="eastAsia" w:ascii="宋体" w:hAnsi="宋体" w:cs="宋体"/>
          <w:b/>
          <w:bCs/>
          <w:color w:val="auto"/>
          <w:kern w:val="0"/>
          <w:sz w:val="24"/>
          <w:u w:val="none"/>
          <w:lang w:val="en-US" w:eastAsia="zh-CN"/>
        </w:rPr>
        <w:t xml:space="preserve"> </w:t>
      </w:r>
      <w:r>
        <w:rPr>
          <w:rFonts w:hint="eastAsia" w:ascii="宋体" w:hAnsi="宋体" w:cs="宋体"/>
          <w:b/>
          <w:bCs/>
          <w:color w:val="auto"/>
          <w:kern w:val="0"/>
          <w:sz w:val="24"/>
          <w:u w:val="single"/>
          <w:lang w:val="en-US" w:eastAsia="zh-CN"/>
        </w:rPr>
        <w:t xml:space="preserve">            </w:t>
      </w:r>
      <w:r>
        <w:rPr>
          <w:rFonts w:hint="eastAsia" w:ascii="宋体" w:hAnsi="宋体" w:cs="宋体"/>
          <w:b/>
          <w:bCs/>
          <w:color w:val="auto"/>
          <w:kern w:val="0"/>
          <w:sz w:val="24"/>
        </w:rPr>
        <w:t xml:space="preserve">                     </w:t>
      </w:r>
    </w:p>
    <w:p w14:paraId="214D68F7">
      <w:pPr>
        <w:widowControl/>
        <w:adjustRightInd w:val="0"/>
        <w:snapToGrid w:val="0"/>
        <w:spacing w:line="360" w:lineRule="auto"/>
        <w:ind w:firstLine="482" w:firstLineChars="200"/>
        <w:rPr>
          <w:rFonts w:hint="eastAsia" w:ascii="宋体" w:hAnsi="宋体" w:eastAsia="宋体" w:cs="宋体"/>
          <w:b/>
          <w:bCs/>
          <w:color w:val="auto"/>
          <w:kern w:val="0"/>
          <w:sz w:val="24"/>
          <w:u w:val="single"/>
          <w:lang w:val="en-US" w:eastAsia="zh-CN"/>
        </w:rPr>
      </w:pPr>
      <w:r>
        <w:rPr>
          <w:rFonts w:hint="eastAsia" w:ascii="宋体" w:hAnsi="宋体" w:cs="宋体"/>
          <w:b/>
          <w:bCs/>
          <w:color w:val="auto"/>
          <w:kern w:val="0"/>
          <w:sz w:val="24"/>
        </w:rPr>
        <w:t xml:space="preserve">供方（以下简称“乙方”）: </w:t>
      </w:r>
      <w:r>
        <w:rPr>
          <w:rFonts w:hint="eastAsia" w:ascii="宋体" w:hAnsi="宋体" w:cs="宋体"/>
          <w:b/>
          <w:bCs/>
          <w:color w:val="auto"/>
          <w:kern w:val="0"/>
          <w:sz w:val="24"/>
          <w:u w:val="single"/>
        </w:rPr>
        <w:t xml:space="preserve">           </w:t>
      </w:r>
      <w:r>
        <w:rPr>
          <w:rFonts w:hint="eastAsia" w:ascii="宋体" w:hAnsi="宋体" w:cs="宋体"/>
          <w:b/>
          <w:bCs/>
          <w:color w:val="auto"/>
          <w:kern w:val="0"/>
          <w:sz w:val="24"/>
          <w:u w:val="single"/>
          <w:lang w:val="en-US" w:eastAsia="zh-CN"/>
        </w:rPr>
        <w:t xml:space="preserve"> </w:t>
      </w:r>
    </w:p>
    <w:p w14:paraId="1C41FE80">
      <w:pPr>
        <w:widowControl/>
        <w:adjustRightInd w:val="0"/>
        <w:snapToGrid w:val="0"/>
        <w:spacing w:line="360" w:lineRule="auto"/>
        <w:ind w:firstLine="482" w:firstLineChars="200"/>
        <w:rPr>
          <w:rFonts w:ascii="宋体" w:hAnsi="宋体" w:cs="宋体"/>
          <w:b/>
          <w:bCs/>
          <w:color w:val="auto"/>
          <w:kern w:val="0"/>
          <w:sz w:val="24"/>
        </w:rPr>
      </w:pPr>
      <w:r>
        <w:rPr>
          <w:rFonts w:hint="eastAsia" w:ascii="宋体" w:hAnsi="宋体" w:cs="宋体"/>
          <w:b/>
          <w:bCs/>
          <w:color w:val="auto"/>
          <w:kern w:val="0"/>
          <w:sz w:val="24"/>
        </w:rPr>
        <w:t xml:space="preserve">              </w:t>
      </w:r>
    </w:p>
    <w:p w14:paraId="38C08277">
      <w:pPr>
        <w:widowControl/>
        <w:adjustRightInd w:val="0"/>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依据《中华人民共和国民法典》等规定，经双方协商同意，签订本合同并信守下列条款，共同严格履行。</w:t>
      </w:r>
    </w:p>
    <w:p w14:paraId="2E2AB502">
      <w:pPr>
        <w:widowControl/>
        <w:adjustRightInd w:val="0"/>
        <w:snapToGrid w:val="0"/>
        <w:spacing w:line="360" w:lineRule="auto"/>
        <w:ind w:firstLine="480" w:firstLineChars="200"/>
        <w:jc w:val="left"/>
        <w:rPr>
          <w:rFonts w:ascii="宋体" w:hAnsi="宋体" w:cs="宋体"/>
          <w:color w:val="auto"/>
          <w:sz w:val="24"/>
        </w:rPr>
      </w:pPr>
      <w:r>
        <w:rPr>
          <w:rFonts w:hint="eastAsia" w:ascii="宋体" w:hAnsi="宋体" w:cs="宋体"/>
          <w:color w:val="auto"/>
          <w:kern w:val="0"/>
          <w:sz w:val="24"/>
        </w:rPr>
        <w:t>一、</w:t>
      </w:r>
      <w:r>
        <w:rPr>
          <w:rFonts w:hint="eastAsia" w:ascii="宋体" w:hAnsi="宋体" w:cs="宋体"/>
          <w:b/>
          <w:color w:val="auto"/>
          <w:kern w:val="0"/>
          <w:sz w:val="24"/>
        </w:rPr>
        <w:t>产品名称、数量、价格</w:t>
      </w:r>
    </w:p>
    <w:tbl>
      <w:tblPr>
        <w:tblStyle w:val="4"/>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5C3C46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3B89B541">
            <w:pPr>
              <w:widowControl/>
              <w:adjustRightInd w:val="0"/>
              <w:snapToGrid w:val="0"/>
              <w:spacing w:line="360" w:lineRule="auto"/>
              <w:jc w:val="center"/>
              <w:rPr>
                <w:rFonts w:ascii="宋体" w:hAnsi="宋体" w:cs="宋体"/>
                <w:color w:val="auto"/>
                <w:kern w:val="0"/>
                <w:sz w:val="24"/>
              </w:rPr>
            </w:pPr>
            <w:r>
              <w:rPr>
                <w:rFonts w:hint="eastAsia" w:ascii="宋体" w:hAnsi="宋体" w:cs="宋体"/>
                <w:color w:val="auto"/>
                <w:kern w:val="0"/>
                <w:sz w:val="24"/>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38B04779">
            <w:pPr>
              <w:adjustRightInd w:val="0"/>
              <w:snapToGrid w:val="0"/>
              <w:spacing w:line="360" w:lineRule="auto"/>
              <w:jc w:val="center"/>
              <w:rPr>
                <w:rFonts w:ascii="宋体" w:hAnsi="宋体" w:cs="宋体"/>
                <w:color w:val="auto"/>
                <w:kern w:val="0"/>
                <w:sz w:val="24"/>
              </w:rPr>
            </w:pPr>
            <w:r>
              <w:rPr>
                <w:rFonts w:hint="eastAsia" w:ascii="宋体" w:hAnsi="宋体" w:cs="宋体"/>
                <w:color w:val="auto"/>
                <w:kern w:val="0"/>
                <w:sz w:val="24"/>
              </w:rPr>
              <w:t>产品</w:t>
            </w:r>
          </w:p>
          <w:p w14:paraId="05D3B8AC">
            <w:pPr>
              <w:adjustRightInd w:val="0"/>
              <w:snapToGrid w:val="0"/>
              <w:spacing w:line="360" w:lineRule="auto"/>
              <w:jc w:val="center"/>
              <w:rPr>
                <w:rFonts w:ascii="宋体" w:hAnsi="宋体" w:cs="宋体"/>
                <w:color w:val="auto"/>
                <w:kern w:val="0"/>
                <w:sz w:val="24"/>
              </w:rPr>
            </w:pPr>
            <w:r>
              <w:rPr>
                <w:rFonts w:hint="eastAsia" w:ascii="宋体" w:hAnsi="宋体" w:cs="宋体"/>
                <w:color w:val="auto"/>
                <w:kern w:val="0"/>
                <w:sz w:val="24"/>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7CB1B9CD">
            <w:pPr>
              <w:widowControl/>
              <w:adjustRightInd w:val="0"/>
              <w:snapToGrid w:val="0"/>
              <w:spacing w:line="360" w:lineRule="auto"/>
              <w:jc w:val="center"/>
              <w:rPr>
                <w:rFonts w:ascii="宋体" w:hAnsi="宋体" w:cs="宋体"/>
                <w:color w:val="auto"/>
                <w:kern w:val="0"/>
                <w:sz w:val="24"/>
              </w:rPr>
            </w:pPr>
            <w:r>
              <w:rPr>
                <w:rFonts w:hint="eastAsia" w:ascii="宋体" w:hAnsi="宋体" w:cs="宋体"/>
                <w:color w:val="auto"/>
                <w:kern w:val="0"/>
                <w:sz w:val="24"/>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512CFD17">
            <w:pPr>
              <w:widowControl/>
              <w:adjustRightInd w:val="0"/>
              <w:snapToGrid w:val="0"/>
              <w:spacing w:line="360" w:lineRule="auto"/>
              <w:jc w:val="center"/>
              <w:rPr>
                <w:rFonts w:ascii="宋体" w:hAnsi="宋体" w:cs="宋体"/>
                <w:color w:val="auto"/>
                <w:kern w:val="0"/>
                <w:sz w:val="24"/>
              </w:rPr>
            </w:pPr>
            <w:r>
              <w:rPr>
                <w:rFonts w:hint="eastAsia" w:ascii="宋体" w:hAnsi="宋体" w:cs="宋体"/>
                <w:color w:val="auto"/>
                <w:kern w:val="0"/>
                <w:sz w:val="24"/>
              </w:rPr>
              <w:t>品牌</w:t>
            </w:r>
          </w:p>
          <w:p w14:paraId="60980178">
            <w:pPr>
              <w:widowControl/>
              <w:adjustRightInd w:val="0"/>
              <w:snapToGrid w:val="0"/>
              <w:spacing w:line="360" w:lineRule="auto"/>
              <w:jc w:val="center"/>
              <w:rPr>
                <w:rFonts w:ascii="宋体" w:hAnsi="宋体" w:cs="宋体"/>
                <w:color w:val="auto"/>
                <w:kern w:val="0"/>
                <w:sz w:val="24"/>
              </w:rPr>
            </w:pPr>
            <w:r>
              <w:rPr>
                <w:rFonts w:hint="eastAsia" w:ascii="宋体" w:hAnsi="宋体" w:cs="宋体"/>
                <w:color w:val="auto"/>
                <w:kern w:val="0"/>
                <w:sz w:val="24"/>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21A29D0B">
            <w:pPr>
              <w:widowControl/>
              <w:adjustRightInd w:val="0"/>
              <w:snapToGrid w:val="0"/>
              <w:spacing w:line="360" w:lineRule="auto"/>
              <w:jc w:val="center"/>
              <w:rPr>
                <w:rFonts w:ascii="宋体" w:hAnsi="宋体" w:cs="宋体"/>
                <w:color w:val="auto"/>
                <w:kern w:val="0"/>
                <w:sz w:val="24"/>
              </w:rPr>
            </w:pPr>
            <w:r>
              <w:rPr>
                <w:rFonts w:hint="eastAsia" w:ascii="宋体" w:hAnsi="宋体" w:cs="宋体"/>
                <w:color w:val="auto"/>
                <w:kern w:val="0"/>
                <w:sz w:val="24"/>
              </w:rPr>
              <w:t>生产</w:t>
            </w:r>
          </w:p>
          <w:p w14:paraId="569E309B">
            <w:pPr>
              <w:widowControl/>
              <w:adjustRightInd w:val="0"/>
              <w:snapToGrid w:val="0"/>
              <w:spacing w:line="360" w:lineRule="auto"/>
              <w:jc w:val="center"/>
              <w:rPr>
                <w:rFonts w:ascii="宋体" w:hAnsi="宋体" w:cs="宋体"/>
                <w:color w:val="auto"/>
                <w:kern w:val="0"/>
                <w:sz w:val="24"/>
              </w:rPr>
            </w:pPr>
            <w:r>
              <w:rPr>
                <w:rFonts w:hint="eastAsia" w:ascii="宋体" w:hAnsi="宋体" w:cs="宋体"/>
                <w:color w:val="auto"/>
                <w:kern w:val="0"/>
                <w:sz w:val="24"/>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7B7BC130">
            <w:pPr>
              <w:widowControl/>
              <w:adjustRightInd w:val="0"/>
              <w:snapToGrid w:val="0"/>
              <w:spacing w:line="360" w:lineRule="auto"/>
              <w:rPr>
                <w:rFonts w:ascii="宋体" w:hAnsi="宋体" w:cs="宋体"/>
                <w:color w:val="auto"/>
                <w:kern w:val="0"/>
                <w:sz w:val="24"/>
              </w:rPr>
            </w:pPr>
            <w:r>
              <w:rPr>
                <w:rFonts w:hint="eastAsia" w:ascii="宋体" w:hAnsi="宋体" w:cs="宋体"/>
                <w:color w:val="auto"/>
                <w:kern w:val="0"/>
                <w:sz w:val="24"/>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6F677357">
            <w:pPr>
              <w:widowControl/>
              <w:adjustRightInd w:val="0"/>
              <w:snapToGrid w:val="0"/>
              <w:spacing w:line="360" w:lineRule="auto"/>
              <w:rPr>
                <w:rFonts w:ascii="宋体" w:hAnsi="宋体" w:cs="宋体"/>
                <w:color w:val="auto"/>
                <w:kern w:val="0"/>
                <w:sz w:val="24"/>
              </w:rPr>
            </w:pPr>
            <w:r>
              <w:rPr>
                <w:rFonts w:hint="eastAsia" w:ascii="宋体" w:hAnsi="宋体" w:cs="宋体"/>
                <w:color w:val="auto"/>
                <w:kern w:val="0"/>
                <w:sz w:val="24"/>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2738546F">
            <w:pPr>
              <w:widowControl/>
              <w:adjustRightInd w:val="0"/>
              <w:snapToGrid w:val="0"/>
              <w:spacing w:line="360" w:lineRule="auto"/>
              <w:jc w:val="center"/>
              <w:rPr>
                <w:rFonts w:ascii="宋体" w:hAnsi="宋体" w:cs="宋体"/>
                <w:color w:val="auto"/>
                <w:kern w:val="0"/>
                <w:sz w:val="24"/>
              </w:rPr>
            </w:pPr>
            <w:r>
              <w:rPr>
                <w:rFonts w:hint="eastAsia" w:ascii="宋体" w:hAnsi="宋体" w:cs="宋体"/>
                <w:color w:val="auto"/>
                <w:kern w:val="0"/>
                <w:sz w:val="24"/>
              </w:rPr>
              <w:t>单价</w:t>
            </w:r>
          </w:p>
          <w:p w14:paraId="564D054B">
            <w:pPr>
              <w:widowControl/>
              <w:adjustRightInd w:val="0"/>
              <w:snapToGrid w:val="0"/>
              <w:spacing w:line="360" w:lineRule="auto"/>
              <w:jc w:val="center"/>
              <w:rPr>
                <w:rFonts w:ascii="宋体" w:hAnsi="宋体" w:cs="宋体"/>
                <w:color w:val="auto"/>
                <w:kern w:val="0"/>
                <w:sz w:val="24"/>
              </w:rPr>
            </w:pPr>
            <w:r>
              <w:rPr>
                <w:rFonts w:hint="eastAsia" w:ascii="宋体" w:hAnsi="宋体" w:cs="宋体"/>
                <w:color w:val="auto"/>
                <w:kern w:val="0"/>
                <w:sz w:val="24"/>
              </w:rPr>
              <w:t>(元）</w:t>
            </w:r>
          </w:p>
        </w:tc>
        <w:tc>
          <w:tcPr>
            <w:tcW w:w="1080" w:type="dxa"/>
            <w:tcBorders>
              <w:top w:val="single" w:color="auto" w:sz="4" w:space="0"/>
              <w:left w:val="single" w:color="auto" w:sz="4" w:space="0"/>
              <w:bottom w:val="single" w:color="auto" w:sz="4" w:space="0"/>
              <w:right w:val="single" w:color="auto" w:sz="4" w:space="0"/>
            </w:tcBorders>
            <w:vAlign w:val="center"/>
          </w:tcPr>
          <w:p w14:paraId="7D946891">
            <w:pPr>
              <w:widowControl/>
              <w:adjustRightInd w:val="0"/>
              <w:snapToGrid w:val="0"/>
              <w:spacing w:line="360" w:lineRule="auto"/>
              <w:jc w:val="center"/>
              <w:rPr>
                <w:rFonts w:ascii="宋体" w:hAnsi="宋体" w:cs="宋体"/>
                <w:color w:val="auto"/>
                <w:kern w:val="0"/>
                <w:sz w:val="24"/>
              </w:rPr>
            </w:pPr>
            <w:r>
              <w:rPr>
                <w:rFonts w:hint="eastAsia" w:ascii="宋体" w:hAnsi="宋体" w:cs="宋体"/>
                <w:color w:val="auto"/>
                <w:kern w:val="0"/>
                <w:sz w:val="24"/>
              </w:rPr>
              <w:t>总金额</w:t>
            </w:r>
          </w:p>
          <w:p w14:paraId="6DE48822">
            <w:pPr>
              <w:widowControl/>
              <w:adjustRightInd w:val="0"/>
              <w:snapToGrid w:val="0"/>
              <w:spacing w:line="360" w:lineRule="auto"/>
              <w:jc w:val="center"/>
              <w:rPr>
                <w:rFonts w:ascii="宋体" w:hAnsi="宋体" w:cs="宋体"/>
                <w:color w:val="auto"/>
                <w:kern w:val="0"/>
                <w:sz w:val="24"/>
              </w:rPr>
            </w:pPr>
            <w:r>
              <w:rPr>
                <w:rFonts w:hint="eastAsia" w:ascii="宋体" w:hAnsi="宋体" w:cs="宋体"/>
                <w:color w:val="auto"/>
                <w:kern w:val="0"/>
                <w:sz w:val="24"/>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38EDFC7A">
            <w:pPr>
              <w:widowControl/>
              <w:adjustRightInd w:val="0"/>
              <w:snapToGrid w:val="0"/>
              <w:spacing w:line="360" w:lineRule="auto"/>
              <w:rPr>
                <w:rFonts w:ascii="宋体" w:hAnsi="宋体" w:cs="宋体"/>
                <w:color w:val="auto"/>
                <w:kern w:val="0"/>
                <w:sz w:val="24"/>
              </w:rPr>
            </w:pPr>
            <w:r>
              <w:rPr>
                <w:rFonts w:hint="eastAsia" w:ascii="宋体" w:hAnsi="宋体" w:cs="宋体"/>
                <w:color w:val="auto"/>
                <w:kern w:val="0"/>
                <w:sz w:val="24"/>
              </w:rPr>
              <w:t>备注</w:t>
            </w:r>
          </w:p>
        </w:tc>
      </w:tr>
      <w:tr w14:paraId="27EA31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1C9BB4D6">
            <w:pPr>
              <w:adjustRightInd w:val="0"/>
              <w:snapToGrid w:val="0"/>
              <w:spacing w:line="360" w:lineRule="auto"/>
              <w:rPr>
                <w:rFonts w:ascii="宋体" w:hAnsi="宋体" w:cs="宋体"/>
                <w:b/>
                <w:color w:val="auto"/>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6A2B2BFD">
            <w:pPr>
              <w:adjustRightInd w:val="0"/>
              <w:snapToGrid w:val="0"/>
              <w:spacing w:line="360" w:lineRule="auto"/>
              <w:rPr>
                <w:rFonts w:ascii="宋体" w:hAnsi="宋体" w:cs="宋体"/>
                <w:b/>
                <w:color w:val="auto"/>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7D97FDB1">
            <w:pPr>
              <w:adjustRightInd w:val="0"/>
              <w:snapToGrid w:val="0"/>
              <w:spacing w:line="360" w:lineRule="auto"/>
              <w:rPr>
                <w:rFonts w:ascii="宋体" w:hAnsi="宋体" w:cs="宋体"/>
                <w:b/>
                <w:color w:val="auto"/>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AA6265A">
            <w:pPr>
              <w:widowControl/>
              <w:adjustRightInd w:val="0"/>
              <w:snapToGrid w:val="0"/>
              <w:spacing w:line="360" w:lineRule="auto"/>
              <w:jc w:val="center"/>
              <w:rPr>
                <w:rFonts w:ascii="宋体" w:hAnsi="宋体" w:cs="宋体"/>
                <w:b/>
                <w:color w:val="auto"/>
                <w:kern w:val="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4547696">
            <w:pPr>
              <w:widowControl/>
              <w:adjustRightInd w:val="0"/>
              <w:snapToGrid w:val="0"/>
              <w:spacing w:line="360" w:lineRule="auto"/>
              <w:jc w:val="center"/>
              <w:rPr>
                <w:rFonts w:ascii="宋体" w:hAnsi="宋体" w:cs="宋体"/>
                <w:b/>
                <w:color w:val="auto"/>
                <w:kern w:val="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30D44788">
            <w:pPr>
              <w:adjustRightInd w:val="0"/>
              <w:snapToGrid w:val="0"/>
              <w:spacing w:line="360" w:lineRule="auto"/>
              <w:rPr>
                <w:rFonts w:ascii="宋体" w:hAnsi="宋体" w:cs="宋体"/>
                <w:b/>
                <w:color w:val="auto"/>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528D593">
            <w:pPr>
              <w:adjustRightInd w:val="0"/>
              <w:snapToGrid w:val="0"/>
              <w:spacing w:line="360" w:lineRule="auto"/>
              <w:jc w:val="center"/>
              <w:rPr>
                <w:rFonts w:ascii="宋体" w:hAnsi="宋体" w:cs="宋体"/>
                <w:b/>
                <w:color w:val="auto"/>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1771F75B">
            <w:pPr>
              <w:adjustRightInd w:val="0"/>
              <w:snapToGrid w:val="0"/>
              <w:spacing w:line="360" w:lineRule="auto"/>
              <w:jc w:val="center"/>
              <w:rPr>
                <w:rFonts w:ascii="宋体" w:hAnsi="宋体" w:cs="宋体"/>
                <w:b/>
                <w:color w:val="auto"/>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6E782E47">
            <w:pPr>
              <w:widowControl/>
              <w:adjustRightInd w:val="0"/>
              <w:snapToGrid w:val="0"/>
              <w:spacing w:line="360" w:lineRule="auto"/>
              <w:jc w:val="center"/>
              <w:rPr>
                <w:rFonts w:ascii="宋体" w:hAnsi="宋体" w:cs="宋体"/>
                <w:b/>
                <w:color w:val="auto"/>
                <w:kern w:val="0"/>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618E7DF2">
            <w:pPr>
              <w:widowControl/>
              <w:adjustRightInd w:val="0"/>
              <w:snapToGrid w:val="0"/>
              <w:spacing w:line="360" w:lineRule="auto"/>
              <w:jc w:val="center"/>
              <w:rPr>
                <w:rFonts w:ascii="宋体" w:hAnsi="宋体" w:cs="宋体"/>
                <w:b/>
                <w:color w:val="auto"/>
                <w:kern w:val="0"/>
                <w:sz w:val="24"/>
              </w:rPr>
            </w:pPr>
          </w:p>
        </w:tc>
      </w:tr>
      <w:tr w14:paraId="7BD340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528A860">
            <w:pPr>
              <w:adjustRightInd w:val="0"/>
              <w:snapToGrid w:val="0"/>
              <w:spacing w:line="360" w:lineRule="auto"/>
              <w:rPr>
                <w:rFonts w:ascii="宋体" w:hAnsi="宋体" w:cs="宋体"/>
                <w:b/>
                <w:color w:val="auto"/>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3E9430D6">
            <w:pPr>
              <w:adjustRightInd w:val="0"/>
              <w:snapToGrid w:val="0"/>
              <w:spacing w:line="360" w:lineRule="auto"/>
              <w:rPr>
                <w:rFonts w:ascii="宋体" w:hAnsi="宋体" w:cs="宋体"/>
                <w:b/>
                <w:color w:val="auto"/>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66B408D1">
            <w:pPr>
              <w:adjustRightInd w:val="0"/>
              <w:snapToGrid w:val="0"/>
              <w:spacing w:line="360" w:lineRule="auto"/>
              <w:rPr>
                <w:rFonts w:ascii="宋体" w:hAnsi="宋体" w:cs="宋体"/>
                <w:b/>
                <w:color w:val="auto"/>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0114FA0">
            <w:pPr>
              <w:widowControl/>
              <w:adjustRightInd w:val="0"/>
              <w:snapToGrid w:val="0"/>
              <w:spacing w:line="360" w:lineRule="auto"/>
              <w:jc w:val="center"/>
              <w:rPr>
                <w:rFonts w:ascii="宋体" w:hAnsi="宋体" w:cs="宋体"/>
                <w:color w:val="auto"/>
                <w:kern w:val="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419D5BCE">
            <w:pPr>
              <w:widowControl/>
              <w:adjustRightInd w:val="0"/>
              <w:snapToGrid w:val="0"/>
              <w:spacing w:line="360" w:lineRule="auto"/>
              <w:jc w:val="center"/>
              <w:rPr>
                <w:rFonts w:ascii="宋体" w:hAnsi="宋体" w:cs="宋体"/>
                <w:color w:val="auto"/>
                <w:kern w:val="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F588FC9">
            <w:pPr>
              <w:adjustRightInd w:val="0"/>
              <w:snapToGrid w:val="0"/>
              <w:spacing w:line="360" w:lineRule="auto"/>
              <w:jc w:val="center"/>
              <w:rPr>
                <w:rFonts w:ascii="宋体" w:hAnsi="宋体" w:cs="宋体"/>
                <w:b/>
                <w:color w:val="auto"/>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38C11D38">
            <w:pPr>
              <w:adjustRightInd w:val="0"/>
              <w:snapToGrid w:val="0"/>
              <w:spacing w:line="360" w:lineRule="auto"/>
              <w:jc w:val="center"/>
              <w:rPr>
                <w:rFonts w:ascii="宋体" w:hAnsi="宋体" w:cs="宋体"/>
                <w:b/>
                <w:color w:val="auto"/>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5A244EC7">
            <w:pPr>
              <w:adjustRightInd w:val="0"/>
              <w:snapToGrid w:val="0"/>
              <w:spacing w:line="360" w:lineRule="auto"/>
              <w:jc w:val="center"/>
              <w:rPr>
                <w:rFonts w:ascii="宋体" w:hAnsi="宋体" w:cs="宋体"/>
                <w:b/>
                <w:color w:val="auto"/>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13F5CC85">
            <w:pPr>
              <w:widowControl/>
              <w:adjustRightInd w:val="0"/>
              <w:snapToGrid w:val="0"/>
              <w:spacing w:line="360" w:lineRule="auto"/>
              <w:jc w:val="center"/>
              <w:rPr>
                <w:rFonts w:ascii="宋体" w:hAnsi="宋体" w:cs="宋体"/>
                <w:b/>
                <w:color w:val="auto"/>
                <w:kern w:val="0"/>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1C69CE57">
            <w:pPr>
              <w:widowControl/>
              <w:adjustRightInd w:val="0"/>
              <w:snapToGrid w:val="0"/>
              <w:spacing w:line="360" w:lineRule="auto"/>
              <w:jc w:val="center"/>
              <w:rPr>
                <w:rFonts w:ascii="宋体" w:hAnsi="宋体" w:cs="宋体"/>
                <w:b/>
                <w:color w:val="auto"/>
                <w:kern w:val="0"/>
                <w:sz w:val="24"/>
              </w:rPr>
            </w:pPr>
          </w:p>
        </w:tc>
      </w:tr>
      <w:tr w14:paraId="1D1021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512CBB4A">
            <w:pPr>
              <w:adjustRightInd w:val="0"/>
              <w:snapToGrid w:val="0"/>
              <w:spacing w:line="360" w:lineRule="auto"/>
              <w:rPr>
                <w:rFonts w:ascii="宋体" w:hAnsi="宋体" w:cs="宋体"/>
                <w:b/>
                <w:color w:val="auto"/>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1F4DA6E6">
            <w:pPr>
              <w:adjustRightInd w:val="0"/>
              <w:snapToGrid w:val="0"/>
              <w:spacing w:line="360" w:lineRule="auto"/>
              <w:rPr>
                <w:rFonts w:ascii="宋体" w:hAnsi="宋体" w:cs="宋体"/>
                <w:b/>
                <w:color w:val="auto"/>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554506BC">
            <w:pPr>
              <w:adjustRightInd w:val="0"/>
              <w:snapToGrid w:val="0"/>
              <w:spacing w:line="360" w:lineRule="auto"/>
              <w:rPr>
                <w:rFonts w:ascii="宋体" w:hAnsi="宋体" w:cs="宋体"/>
                <w:b/>
                <w:color w:val="auto"/>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84136A7">
            <w:pPr>
              <w:widowControl/>
              <w:adjustRightInd w:val="0"/>
              <w:snapToGrid w:val="0"/>
              <w:spacing w:line="360" w:lineRule="auto"/>
              <w:jc w:val="center"/>
              <w:rPr>
                <w:rFonts w:ascii="宋体" w:hAnsi="宋体" w:cs="宋体"/>
                <w:color w:val="auto"/>
                <w:kern w:val="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26916D7A">
            <w:pPr>
              <w:widowControl/>
              <w:adjustRightInd w:val="0"/>
              <w:snapToGrid w:val="0"/>
              <w:spacing w:line="360" w:lineRule="auto"/>
              <w:jc w:val="center"/>
              <w:rPr>
                <w:rFonts w:ascii="宋体" w:hAnsi="宋体" w:cs="宋体"/>
                <w:color w:val="auto"/>
                <w:kern w:val="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B0420E0">
            <w:pPr>
              <w:adjustRightInd w:val="0"/>
              <w:snapToGrid w:val="0"/>
              <w:spacing w:line="360" w:lineRule="auto"/>
              <w:jc w:val="center"/>
              <w:rPr>
                <w:rFonts w:ascii="宋体" w:hAnsi="宋体" w:cs="宋体"/>
                <w:b/>
                <w:color w:val="auto"/>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BFCC4D2">
            <w:pPr>
              <w:adjustRightInd w:val="0"/>
              <w:snapToGrid w:val="0"/>
              <w:spacing w:line="360" w:lineRule="auto"/>
              <w:jc w:val="center"/>
              <w:rPr>
                <w:rFonts w:ascii="宋体" w:hAnsi="宋体" w:cs="宋体"/>
                <w:b/>
                <w:color w:val="auto"/>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0C3AF05C">
            <w:pPr>
              <w:adjustRightInd w:val="0"/>
              <w:snapToGrid w:val="0"/>
              <w:spacing w:line="360" w:lineRule="auto"/>
              <w:jc w:val="center"/>
              <w:rPr>
                <w:rFonts w:ascii="宋体" w:hAnsi="宋体" w:cs="宋体"/>
                <w:b/>
                <w:color w:val="auto"/>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D3C0D84">
            <w:pPr>
              <w:widowControl/>
              <w:adjustRightInd w:val="0"/>
              <w:snapToGrid w:val="0"/>
              <w:spacing w:line="360" w:lineRule="auto"/>
              <w:jc w:val="center"/>
              <w:rPr>
                <w:rFonts w:ascii="宋体" w:hAnsi="宋体" w:cs="宋体"/>
                <w:b/>
                <w:color w:val="auto"/>
                <w:kern w:val="0"/>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5EB537B2">
            <w:pPr>
              <w:widowControl/>
              <w:adjustRightInd w:val="0"/>
              <w:snapToGrid w:val="0"/>
              <w:spacing w:line="360" w:lineRule="auto"/>
              <w:jc w:val="center"/>
              <w:rPr>
                <w:rFonts w:ascii="宋体" w:hAnsi="宋体" w:cs="宋体"/>
                <w:b/>
                <w:color w:val="auto"/>
                <w:kern w:val="0"/>
                <w:sz w:val="24"/>
              </w:rPr>
            </w:pPr>
          </w:p>
        </w:tc>
      </w:tr>
      <w:tr w14:paraId="301596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7F4B356D">
            <w:pPr>
              <w:adjustRightInd w:val="0"/>
              <w:snapToGrid w:val="0"/>
              <w:spacing w:line="360" w:lineRule="auto"/>
              <w:rPr>
                <w:rFonts w:ascii="宋体" w:hAnsi="宋体" w:cs="宋体"/>
                <w:b/>
                <w:color w:val="auto"/>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21066670">
            <w:pPr>
              <w:adjustRightInd w:val="0"/>
              <w:snapToGrid w:val="0"/>
              <w:spacing w:line="360" w:lineRule="auto"/>
              <w:rPr>
                <w:rFonts w:ascii="宋体" w:hAnsi="宋体" w:cs="宋体"/>
                <w:b/>
                <w:color w:val="auto"/>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24E598AB">
            <w:pPr>
              <w:adjustRightInd w:val="0"/>
              <w:snapToGrid w:val="0"/>
              <w:spacing w:line="360" w:lineRule="auto"/>
              <w:rPr>
                <w:rFonts w:ascii="宋体" w:hAnsi="宋体" w:cs="宋体"/>
                <w:b/>
                <w:color w:val="auto"/>
                <w:sz w:val="24"/>
              </w:rPr>
            </w:pPr>
          </w:p>
        </w:tc>
        <w:tc>
          <w:tcPr>
            <w:tcW w:w="900" w:type="dxa"/>
            <w:tcBorders>
              <w:top w:val="single" w:color="auto" w:sz="4" w:space="0"/>
              <w:left w:val="single" w:color="auto" w:sz="4" w:space="0"/>
              <w:right w:val="single" w:color="auto" w:sz="4" w:space="0"/>
            </w:tcBorders>
            <w:vAlign w:val="center"/>
          </w:tcPr>
          <w:p w14:paraId="09D25343">
            <w:pPr>
              <w:widowControl/>
              <w:adjustRightInd w:val="0"/>
              <w:snapToGrid w:val="0"/>
              <w:spacing w:line="360" w:lineRule="auto"/>
              <w:jc w:val="center"/>
              <w:rPr>
                <w:rFonts w:ascii="宋体" w:hAnsi="宋体" w:cs="宋体"/>
                <w:color w:val="auto"/>
                <w:kern w:val="0"/>
                <w:sz w:val="24"/>
              </w:rPr>
            </w:pPr>
          </w:p>
        </w:tc>
        <w:tc>
          <w:tcPr>
            <w:tcW w:w="900" w:type="dxa"/>
            <w:tcBorders>
              <w:top w:val="single" w:color="auto" w:sz="4" w:space="0"/>
              <w:left w:val="single" w:color="auto" w:sz="4" w:space="0"/>
              <w:right w:val="single" w:color="auto" w:sz="4" w:space="0"/>
            </w:tcBorders>
            <w:vAlign w:val="center"/>
          </w:tcPr>
          <w:p w14:paraId="4F57D748">
            <w:pPr>
              <w:widowControl/>
              <w:adjustRightInd w:val="0"/>
              <w:snapToGrid w:val="0"/>
              <w:spacing w:line="360" w:lineRule="auto"/>
              <w:jc w:val="center"/>
              <w:rPr>
                <w:rFonts w:ascii="宋体" w:hAnsi="宋体" w:cs="宋体"/>
                <w:color w:val="auto"/>
                <w:kern w:val="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30171B4">
            <w:pPr>
              <w:adjustRightInd w:val="0"/>
              <w:snapToGrid w:val="0"/>
              <w:spacing w:line="360" w:lineRule="auto"/>
              <w:jc w:val="center"/>
              <w:rPr>
                <w:rFonts w:ascii="宋体" w:hAnsi="宋体" w:cs="宋体"/>
                <w:b/>
                <w:color w:val="auto"/>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42600B5">
            <w:pPr>
              <w:adjustRightInd w:val="0"/>
              <w:snapToGrid w:val="0"/>
              <w:spacing w:line="360" w:lineRule="auto"/>
              <w:jc w:val="center"/>
              <w:rPr>
                <w:rFonts w:ascii="宋体" w:hAnsi="宋体" w:cs="宋体"/>
                <w:b/>
                <w:color w:val="auto"/>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99951B8">
            <w:pPr>
              <w:adjustRightInd w:val="0"/>
              <w:snapToGrid w:val="0"/>
              <w:spacing w:line="360" w:lineRule="auto"/>
              <w:rPr>
                <w:rFonts w:ascii="宋体" w:hAnsi="宋体" w:cs="宋体"/>
                <w:b/>
                <w:color w:val="auto"/>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164CA1CE">
            <w:pPr>
              <w:widowControl/>
              <w:adjustRightInd w:val="0"/>
              <w:snapToGrid w:val="0"/>
              <w:spacing w:line="360" w:lineRule="auto"/>
              <w:rPr>
                <w:rFonts w:ascii="宋体" w:hAnsi="宋体" w:cs="宋体"/>
                <w:b/>
                <w:color w:val="auto"/>
                <w:kern w:val="0"/>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3A1EBF8E">
            <w:pPr>
              <w:widowControl/>
              <w:adjustRightInd w:val="0"/>
              <w:snapToGrid w:val="0"/>
              <w:spacing w:line="360" w:lineRule="auto"/>
              <w:rPr>
                <w:rFonts w:ascii="宋体" w:hAnsi="宋体" w:cs="宋体"/>
                <w:b/>
                <w:color w:val="auto"/>
                <w:kern w:val="0"/>
                <w:sz w:val="24"/>
              </w:rPr>
            </w:pPr>
          </w:p>
        </w:tc>
      </w:tr>
      <w:tr w14:paraId="56487B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30F16F25">
            <w:pPr>
              <w:widowControl/>
              <w:adjustRightInd w:val="0"/>
              <w:snapToGrid w:val="0"/>
              <w:spacing w:line="360" w:lineRule="auto"/>
              <w:rPr>
                <w:rFonts w:ascii="宋体" w:hAnsi="宋体" w:cs="宋体"/>
                <w:b/>
                <w:color w:val="auto"/>
                <w:kern w:val="0"/>
                <w:sz w:val="24"/>
              </w:rPr>
            </w:pPr>
            <w:r>
              <w:rPr>
                <w:rFonts w:hint="eastAsia" w:ascii="宋体" w:hAnsi="宋体" w:cs="宋体"/>
                <w:b/>
                <w:color w:val="auto"/>
                <w:kern w:val="0"/>
                <w:sz w:val="24"/>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18803568">
            <w:pPr>
              <w:widowControl/>
              <w:adjustRightInd w:val="0"/>
              <w:snapToGrid w:val="0"/>
              <w:spacing w:line="360" w:lineRule="auto"/>
              <w:rPr>
                <w:rFonts w:ascii="宋体" w:hAnsi="宋体" w:cs="宋体"/>
                <w:b/>
                <w:color w:val="auto"/>
                <w:kern w:val="0"/>
                <w:sz w:val="24"/>
              </w:rPr>
            </w:pPr>
            <w:r>
              <w:rPr>
                <w:rFonts w:hint="eastAsia" w:ascii="宋体" w:hAnsi="宋体" w:cs="宋体"/>
                <w:b/>
                <w:color w:val="auto"/>
                <w:kern w:val="0"/>
                <w:sz w:val="24"/>
              </w:rPr>
              <w:t>合计金额（小写）：</w:t>
            </w:r>
          </w:p>
        </w:tc>
      </w:tr>
    </w:tbl>
    <w:p w14:paraId="4B0B8A31">
      <w:pPr>
        <w:widowControl/>
        <w:adjustRightInd w:val="0"/>
        <w:snapToGrid w:val="0"/>
        <w:spacing w:line="360" w:lineRule="auto"/>
        <w:ind w:firstLine="482" w:firstLineChars="200"/>
        <w:jc w:val="left"/>
        <w:rPr>
          <w:rFonts w:ascii="宋体" w:hAnsi="宋体" w:cs="宋体"/>
          <w:b/>
          <w:color w:val="auto"/>
          <w:kern w:val="0"/>
          <w:sz w:val="24"/>
        </w:rPr>
      </w:pPr>
      <w:r>
        <w:rPr>
          <w:rFonts w:hint="eastAsia" w:ascii="宋体" w:hAnsi="宋体" w:cs="宋体"/>
          <w:b/>
          <w:color w:val="auto"/>
          <w:kern w:val="0"/>
          <w:sz w:val="24"/>
        </w:rPr>
        <w:t>二、</w:t>
      </w:r>
      <w:r>
        <w:rPr>
          <w:rFonts w:hint="eastAsia" w:ascii="宋体" w:hAnsi="宋体" w:cs="宋体"/>
          <w:b/>
          <w:color w:val="auto"/>
          <w:kern w:val="0"/>
          <w:sz w:val="24"/>
          <w:lang w:val="en-US" w:eastAsia="zh-CN"/>
        </w:rPr>
        <w:t>技术要求</w:t>
      </w:r>
    </w:p>
    <w:p w14:paraId="5FA4445C">
      <w:pPr>
        <w:widowControl/>
        <w:adjustRightInd w:val="0"/>
        <w:snapToGrid w:val="0"/>
        <w:spacing w:line="360" w:lineRule="auto"/>
        <w:ind w:firstLine="480" w:firstLineChars="200"/>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供货方生产出的 CPC 卡技术指标要符合以下标准:</w:t>
      </w:r>
    </w:p>
    <w:p w14:paraId="3624D34D">
      <w:pPr>
        <w:widowControl/>
        <w:adjustRightInd w:val="0"/>
        <w:snapToGrid w:val="0"/>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1.GB/T 20851.2—2019 《电子收费 专用短程通信 第2部分：数据链路层》</w:t>
      </w:r>
      <w:r>
        <w:rPr>
          <w:rFonts w:hint="eastAsia" w:ascii="宋体" w:hAnsi="宋体" w:cs="宋体"/>
          <w:color w:val="auto"/>
          <w:sz w:val="24"/>
          <w:lang w:eastAsia="zh-CN"/>
        </w:rPr>
        <w:t>；</w:t>
      </w:r>
    </w:p>
    <w:p w14:paraId="3070CACC">
      <w:pPr>
        <w:widowControl/>
        <w:adjustRightInd w:val="0"/>
        <w:snapToGrid w:val="0"/>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2.GB/T 20851.3—2019 《电子收费 专用短程通信 第3部分：应用层》</w:t>
      </w:r>
      <w:r>
        <w:rPr>
          <w:rFonts w:hint="eastAsia" w:ascii="宋体" w:hAnsi="宋体" w:cs="宋体"/>
          <w:color w:val="auto"/>
          <w:sz w:val="24"/>
          <w:lang w:eastAsia="zh-CN"/>
        </w:rPr>
        <w:t>；</w:t>
      </w:r>
    </w:p>
    <w:p w14:paraId="73EE4144">
      <w:pPr>
        <w:widowControl/>
        <w:adjustRightInd w:val="0"/>
        <w:snapToGrid w:val="0"/>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3.GB/T 20851.4—2019 《电子收费 专用短程通信 第4部分：设备应用》</w:t>
      </w:r>
      <w:r>
        <w:rPr>
          <w:rFonts w:hint="eastAsia" w:ascii="宋体" w:hAnsi="宋体" w:cs="宋体"/>
          <w:color w:val="auto"/>
          <w:sz w:val="24"/>
          <w:lang w:eastAsia="zh-CN"/>
        </w:rPr>
        <w:t>；</w:t>
      </w:r>
    </w:p>
    <w:p w14:paraId="4A727E3D">
      <w:pPr>
        <w:widowControl/>
        <w:adjustRightInd w:val="0"/>
        <w:snapToGrid w:val="0"/>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4.GB/T 20851.5—2019 《电子收费 专用短程通信 第5部分：物理层主要参数测试方法》</w:t>
      </w:r>
      <w:r>
        <w:rPr>
          <w:rFonts w:hint="eastAsia" w:ascii="宋体" w:hAnsi="宋体" w:cs="宋体"/>
          <w:color w:val="auto"/>
          <w:sz w:val="24"/>
          <w:lang w:eastAsia="zh-CN"/>
        </w:rPr>
        <w:t>；</w:t>
      </w:r>
    </w:p>
    <w:p w14:paraId="05C1B9E3">
      <w:pPr>
        <w:widowControl/>
        <w:adjustRightInd w:val="0"/>
        <w:snapToGrid w:val="0"/>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5.JTG 6310—2022 《收费公路联网收费技术标准》</w:t>
      </w:r>
      <w:r>
        <w:rPr>
          <w:rFonts w:hint="eastAsia" w:ascii="宋体" w:hAnsi="宋体" w:cs="宋体"/>
          <w:color w:val="auto"/>
          <w:sz w:val="24"/>
          <w:lang w:eastAsia="zh-CN"/>
        </w:rPr>
        <w:t>；</w:t>
      </w:r>
    </w:p>
    <w:p w14:paraId="6DAD1A09">
      <w:pPr>
        <w:widowControl/>
        <w:adjustRightInd w:val="0"/>
        <w:snapToGrid w:val="0"/>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6.《收费公路联网收费多义性路径识别技术要求》（交通运输部2015年第40号公告）</w:t>
      </w:r>
      <w:r>
        <w:rPr>
          <w:rFonts w:hint="eastAsia" w:ascii="宋体" w:hAnsi="宋体" w:cs="宋体"/>
          <w:color w:val="auto"/>
          <w:sz w:val="24"/>
          <w:lang w:eastAsia="zh-CN"/>
        </w:rPr>
        <w:t>；</w:t>
      </w:r>
    </w:p>
    <w:p w14:paraId="0C7BF172">
      <w:pPr>
        <w:widowControl/>
        <w:adjustRightInd w:val="0"/>
        <w:snapToGrid w:val="0"/>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7.《高速公路复合通行卡（CPC）技术要求》（交通运输部2019年第43号公告）</w:t>
      </w:r>
      <w:r>
        <w:rPr>
          <w:rFonts w:hint="eastAsia" w:ascii="宋体" w:hAnsi="宋体" w:cs="宋体"/>
          <w:color w:val="auto"/>
          <w:sz w:val="24"/>
          <w:lang w:eastAsia="zh-CN"/>
        </w:rPr>
        <w:t>；</w:t>
      </w:r>
    </w:p>
    <w:p w14:paraId="4E16CE8A">
      <w:pPr>
        <w:widowControl/>
        <w:adjustRightInd w:val="0"/>
        <w:snapToGrid w:val="0"/>
        <w:spacing w:line="360" w:lineRule="auto"/>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8.《高速公路ETC门架系统及关键设备检测规程》（交通运输部2019年第59号公告）</w:t>
      </w:r>
      <w:r>
        <w:rPr>
          <w:rFonts w:hint="eastAsia" w:ascii="宋体" w:hAnsi="宋体" w:cs="宋体"/>
          <w:color w:val="auto"/>
          <w:sz w:val="24"/>
          <w:lang w:eastAsia="zh-CN"/>
        </w:rPr>
        <w:t>。</w:t>
      </w:r>
    </w:p>
    <w:p w14:paraId="21BCA390">
      <w:pPr>
        <w:adjustRightInd w:val="0"/>
        <w:snapToGrid w:val="0"/>
        <w:spacing w:line="360" w:lineRule="auto"/>
        <w:ind w:firstLine="482" w:firstLineChars="200"/>
        <w:outlineLvl w:val="9"/>
        <w:rPr>
          <w:rFonts w:ascii="宋体" w:hAnsi="宋体" w:cs="宋体"/>
          <w:b/>
          <w:color w:val="auto"/>
          <w:kern w:val="0"/>
          <w:sz w:val="24"/>
        </w:rPr>
      </w:pPr>
      <w:r>
        <w:rPr>
          <w:rFonts w:hint="eastAsia" w:ascii="宋体" w:hAnsi="宋体" w:cs="宋体"/>
          <w:b/>
          <w:color w:val="auto"/>
          <w:kern w:val="0"/>
          <w:sz w:val="24"/>
        </w:rPr>
        <w:t>三、交货日期、方式及地点</w:t>
      </w:r>
    </w:p>
    <w:p w14:paraId="2BCDC324">
      <w:pPr>
        <w:adjustRightInd w:val="0"/>
        <w:snapToGrid w:val="0"/>
        <w:spacing w:line="360" w:lineRule="auto"/>
        <w:ind w:firstLine="480" w:firstLineChars="200"/>
        <w:outlineLvl w:val="9"/>
        <w:rPr>
          <w:rFonts w:ascii="宋体" w:hAnsi="宋体" w:cs="宋体"/>
          <w:color w:val="auto"/>
          <w:sz w:val="24"/>
        </w:rPr>
      </w:pPr>
      <w:r>
        <w:rPr>
          <w:rFonts w:hint="eastAsia" w:ascii="宋体" w:hAnsi="宋体" w:cs="宋体"/>
          <w:color w:val="auto"/>
          <w:sz w:val="24"/>
        </w:rPr>
        <w:t>从签订合同起开始计算，包含CPC卡初始化发行、1‰随机号段的CPC卡送检、发货到招标人指定地点不能超过120个自然日。</w:t>
      </w:r>
    </w:p>
    <w:p w14:paraId="6962BBF1">
      <w:pPr>
        <w:widowControl/>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四、双方的权利和义务</w:t>
      </w:r>
    </w:p>
    <w:p w14:paraId="6006A225">
      <w:pPr>
        <w:widowControl/>
        <w:adjustRightInd w:val="0"/>
        <w:snapToGrid w:val="0"/>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lang w:eastAsia="zh-CN"/>
        </w:rPr>
        <w:t>1、</w:t>
      </w:r>
      <w:r>
        <w:rPr>
          <w:rFonts w:hint="eastAsia" w:ascii="宋体" w:hAnsi="宋体" w:cs="宋体"/>
          <w:bCs/>
          <w:color w:val="auto"/>
          <w:kern w:val="0"/>
          <w:sz w:val="24"/>
        </w:rPr>
        <w:t>甲方的权利和义务</w:t>
      </w:r>
    </w:p>
    <w:p w14:paraId="47B8F6D8">
      <w:pPr>
        <w:widowControl/>
        <w:adjustRightInd w:val="0"/>
        <w:snapToGrid w:val="0"/>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lang w:eastAsia="zh-CN"/>
        </w:rPr>
        <w:t>（</w:t>
      </w:r>
      <w:r>
        <w:rPr>
          <w:rFonts w:hint="eastAsia" w:ascii="宋体" w:hAnsi="宋体" w:cs="宋体"/>
          <w:bCs/>
          <w:color w:val="auto"/>
          <w:kern w:val="0"/>
          <w:sz w:val="24"/>
          <w:lang w:val="en-US" w:eastAsia="zh-CN"/>
        </w:rPr>
        <w:t>1</w:t>
      </w:r>
      <w:r>
        <w:rPr>
          <w:rFonts w:hint="eastAsia" w:ascii="宋体" w:hAnsi="宋体" w:cs="宋体"/>
          <w:bCs/>
          <w:color w:val="auto"/>
          <w:kern w:val="0"/>
          <w:sz w:val="24"/>
          <w:lang w:eastAsia="zh-CN"/>
        </w:rPr>
        <w:t>）</w:t>
      </w:r>
      <w:r>
        <w:rPr>
          <w:rFonts w:hint="eastAsia" w:ascii="宋体" w:hAnsi="宋体" w:cs="宋体"/>
          <w:bCs/>
          <w:color w:val="auto"/>
          <w:kern w:val="0"/>
          <w:sz w:val="24"/>
        </w:rPr>
        <w:t>甲方应按与乙方签订的合同中规定，履行甲方应尽的责任和义务。向乙方按照合同条款支付款项，配合乙方完成合同执行。</w:t>
      </w:r>
    </w:p>
    <w:p w14:paraId="12F33E7B">
      <w:pPr>
        <w:widowControl/>
        <w:adjustRightInd w:val="0"/>
        <w:snapToGrid w:val="0"/>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lang w:eastAsia="zh-CN"/>
        </w:rPr>
        <w:t>（</w:t>
      </w:r>
      <w:r>
        <w:rPr>
          <w:rFonts w:hint="eastAsia" w:ascii="宋体" w:hAnsi="宋体" w:cs="宋体"/>
          <w:bCs/>
          <w:color w:val="auto"/>
          <w:kern w:val="0"/>
          <w:sz w:val="24"/>
          <w:lang w:val="en-US" w:eastAsia="zh-CN"/>
        </w:rPr>
        <w:t>2</w:t>
      </w:r>
      <w:r>
        <w:rPr>
          <w:rFonts w:hint="eastAsia" w:ascii="宋体" w:hAnsi="宋体" w:cs="宋体"/>
          <w:bCs/>
          <w:color w:val="auto"/>
          <w:kern w:val="0"/>
          <w:sz w:val="24"/>
          <w:lang w:eastAsia="zh-CN"/>
        </w:rPr>
        <w:t>）</w:t>
      </w:r>
      <w:r>
        <w:rPr>
          <w:rFonts w:hint="eastAsia" w:ascii="宋体" w:hAnsi="宋体" w:cs="宋体"/>
          <w:bCs/>
          <w:color w:val="auto"/>
          <w:kern w:val="0"/>
          <w:sz w:val="24"/>
        </w:rPr>
        <w:t>甲方负责组织到货后的货物现场验收。</w:t>
      </w:r>
    </w:p>
    <w:p w14:paraId="6B232A46">
      <w:pPr>
        <w:widowControl/>
        <w:adjustRightInd w:val="0"/>
        <w:snapToGrid w:val="0"/>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lang w:eastAsia="zh-CN"/>
        </w:rPr>
        <w:t>2、</w:t>
      </w:r>
      <w:r>
        <w:rPr>
          <w:rFonts w:hint="eastAsia" w:ascii="宋体" w:hAnsi="宋体" w:cs="宋体"/>
          <w:bCs/>
          <w:color w:val="auto"/>
          <w:kern w:val="0"/>
          <w:sz w:val="24"/>
        </w:rPr>
        <w:t>乙方的权利和义务</w:t>
      </w:r>
    </w:p>
    <w:p w14:paraId="61FE92F5">
      <w:pPr>
        <w:widowControl/>
        <w:adjustRightInd w:val="0"/>
        <w:snapToGrid w:val="0"/>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lang w:eastAsia="zh-CN"/>
        </w:rPr>
        <w:t>（</w:t>
      </w:r>
      <w:r>
        <w:rPr>
          <w:rFonts w:hint="eastAsia" w:ascii="宋体" w:hAnsi="宋体" w:cs="宋体"/>
          <w:bCs/>
          <w:color w:val="auto"/>
          <w:kern w:val="0"/>
          <w:sz w:val="24"/>
          <w:lang w:val="en-US" w:eastAsia="zh-CN"/>
        </w:rPr>
        <w:t>1</w:t>
      </w:r>
      <w:r>
        <w:rPr>
          <w:rFonts w:hint="eastAsia" w:ascii="宋体" w:hAnsi="宋体" w:cs="宋体"/>
          <w:bCs/>
          <w:color w:val="auto"/>
          <w:kern w:val="0"/>
          <w:sz w:val="24"/>
          <w:lang w:eastAsia="zh-CN"/>
        </w:rPr>
        <w:t>）</w:t>
      </w:r>
      <w:r>
        <w:rPr>
          <w:rFonts w:hint="eastAsia" w:ascii="宋体" w:hAnsi="宋体" w:cs="宋体"/>
          <w:bCs/>
          <w:color w:val="auto"/>
          <w:kern w:val="0"/>
          <w:sz w:val="24"/>
        </w:rPr>
        <w:t>乙方应严格按照合同约定履行货物的生产、发行、抽检和供货。</w:t>
      </w:r>
    </w:p>
    <w:p w14:paraId="096D4985">
      <w:pPr>
        <w:widowControl/>
        <w:adjustRightInd w:val="0"/>
        <w:snapToGrid w:val="0"/>
        <w:spacing w:line="360" w:lineRule="auto"/>
        <w:ind w:firstLine="480" w:firstLineChars="200"/>
        <w:jc w:val="left"/>
        <w:rPr>
          <w:rFonts w:hint="eastAsia" w:ascii="宋体" w:hAnsi="宋体" w:cs="宋体"/>
          <w:bCs/>
          <w:color w:val="auto"/>
          <w:kern w:val="0"/>
          <w:sz w:val="24"/>
          <w:lang w:eastAsia="zh-CN"/>
        </w:rPr>
      </w:pPr>
      <w:r>
        <w:rPr>
          <w:rFonts w:hint="eastAsia" w:ascii="宋体" w:hAnsi="宋体" w:cs="宋体"/>
          <w:bCs/>
          <w:color w:val="auto"/>
          <w:kern w:val="0"/>
          <w:sz w:val="24"/>
          <w:lang w:eastAsia="zh-CN"/>
        </w:rPr>
        <w:t>（</w:t>
      </w:r>
      <w:r>
        <w:rPr>
          <w:rFonts w:hint="eastAsia" w:ascii="宋体" w:hAnsi="宋体" w:cs="宋体"/>
          <w:bCs/>
          <w:color w:val="auto"/>
          <w:kern w:val="0"/>
          <w:sz w:val="24"/>
          <w:lang w:val="en-US" w:eastAsia="zh-CN"/>
        </w:rPr>
        <w:t>2</w:t>
      </w:r>
      <w:r>
        <w:rPr>
          <w:rFonts w:hint="eastAsia" w:ascii="宋体" w:hAnsi="宋体" w:cs="宋体"/>
          <w:bCs/>
          <w:color w:val="auto"/>
          <w:kern w:val="0"/>
          <w:sz w:val="24"/>
          <w:lang w:eastAsia="zh-CN"/>
        </w:rPr>
        <w:t>）</w:t>
      </w:r>
      <w:r>
        <w:rPr>
          <w:rFonts w:hint="eastAsia" w:ascii="宋体" w:hAnsi="宋体" w:cs="宋体"/>
          <w:bCs/>
          <w:color w:val="auto"/>
          <w:kern w:val="0"/>
          <w:sz w:val="24"/>
        </w:rPr>
        <w:t>CPC卡生产、供货、送(抽)检、发行、验收、售后服务及税金等一切费用均由</w:t>
      </w:r>
      <w:r>
        <w:rPr>
          <w:rFonts w:hint="eastAsia" w:ascii="宋体" w:hAnsi="宋体" w:cs="宋体"/>
          <w:bCs/>
          <w:color w:val="auto"/>
          <w:kern w:val="0"/>
          <w:sz w:val="24"/>
          <w:lang w:val="en-US" w:eastAsia="zh-CN"/>
        </w:rPr>
        <w:t>乙</w:t>
      </w:r>
      <w:r>
        <w:rPr>
          <w:rFonts w:hint="eastAsia" w:ascii="宋体" w:hAnsi="宋体" w:cs="宋体"/>
          <w:bCs/>
          <w:color w:val="auto"/>
          <w:kern w:val="0"/>
          <w:sz w:val="24"/>
        </w:rPr>
        <w:t>方自行承担。</w:t>
      </w:r>
    </w:p>
    <w:p w14:paraId="3AB6D56A">
      <w:pPr>
        <w:widowControl/>
        <w:adjustRightInd w:val="0"/>
        <w:snapToGrid w:val="0"/>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lang w:eastAsia="zh-CN"/>
        </w:rPr>
        <w:t>（</w:t>
      </w:r>
      <w:r>
        <w:rPr>
          <w:rFonts w:hint="eastAsia" w:ascii="宋体" w:hAnsi="宋体" w:cs="宋体"/>
          <w:bCs/>
          <w:color w:val="auto"/>
          <w:kern w:val="0"/>
          <w:sz w:val="24"/>
          <w:lang w:val="en-US" w:eastAsia="zh-CN"/>
        </w:rPr>
        <w:t>3</w:t>
      </w:r>
      <w:r>
        <w:rPr>
          <w:rFonts w:hint="eastAsia" w:ascii="宋体" w:hAnsi="宋体" w:cs="宋体"/>
          <w:bCs/>
          <w:color w:val="auto"/>
          <w:kern w:val="0"/>
          <w:sz w:val="24"/>
          <w:lang w:eastAsia="zh-CN"/>
        </w:rPr>
        <w:t>）</w:t>
      </w:r>
      <w:r>
        <w:rPr>
          <w:rFonts w:hint="eastAsia" w:ascii="宋体" w:hAnsi="宋体" w:cs="宋体"/>
          <w:bCs/>
          <w:color w:val="auto"/>
          <w:kern w:val="0"/>
          <w:sz w:val="24"/>
        </w:rPr>
        <w:t>供货期内，甲方可调整货物使用计划，乙方须根据其供货计划、数量、到货时间、交货地点和收货单位，保证货物供应的及时到位。</w:t>
      </w:r>
    </w:p>
    <w:p w14:paraId="72F53969">
      <w:pPr>
        <w:widowControl/>
        <w:adjustRightInd w:val="0"/>
        <w:snapToGrid w:val="0"/>
        <w:spacing w:line="360" w:lineRule="auto"/>
        <w:ind w:firstLine="480" w:firstLineChars="200"/>
        <w:jc w:val="left"/>
        <w:rPr>
          <w:rFonts w:hint="eastAsia" w:ascii="宋体" w:hAnsi="宋体" w:cs="宋体"/>
          <w:b w:val="0"/>
          <w:bCs/>
          <w:color w:val="auto"/>
          <w:kern w:val="0"/>
          <w:sz w:val="24"/>
        </w:rPr>
      </w:pPr>
      <w:r>
        <w:rPr>
          <w:rFonts w:hint="eastAsia" w:ascii="宋体" w:hAnsi="宋体" w:cs="宋体"/>
          <w:bCs/>
          <w:color w:val="auto"/>
          <w:kern w:val="0"/>
          <w:sz w:val="24"/>
          <w:lang w:eastAsia="zh-CN"/>
        </w:rPr>
        <w:t>（</w:t>
      </w:r>
      <w:r>
        <w:rPr>
          <w:rFonts w:hint="eastAsia" w:ascii="宋体" w:hAnsi="宋体" w:cs="宋体"/>
          <w:bCs/>
          <w:color w:val="auto"/>
          <w:kern w:val="0"/>
          <w:sz w:val="24"/>
          <w:lang w:val="en-US" w:eastAsia="zh-CN"/>
        </w:rPr>
        <w:t>4</w:t>
      </w:r>
      <w:r>
        <w:rPr>
          <w:rFonts w:hint="eastAsia" w:ascii="宋体" w:hAnsi="宋体" w:cs="宋体"/>
          <w:bCs/>
          <w:color w:val="auto"/>
          <w:kern w:val="0"/>
          <w:sz w:val="24"/>
          <w:lang w:eastAsia="zh-CN"/>
        </w:rPr>
        <w:t>）</w:t>
      </w:r>
      <w:r>
        <w:rPr>
          <w:rFonts w:hint="eastAsia" w:ascii="宋体" w:hAnsi="宋体" w:cs="宋体"/>
          <w:bCs/>
          <w:color w:val="auto"/>
          <w:kern w:val="0"/>
          <w:sz w:val="24"/>
        </w:rPr>
        <w:t>乙方除在本合同另有规定外，</w:t>
      </w:r>
      <w:r>
        <w:rPr>
          <w:rFonts w:hint="eastAsia" w:ascii="宋体" w:hAnsi="宋体" w:cs="宋体"/>
          <w:bCs/>
          <w:color w:val="auto"/>
          <w:kern w:val="0"/>
          <w:sz w:val="24"/>
          <w:lang w:val="en-US" w:eastAsia="zh-CN"/>
        </w:rPr>
        <w:t>合同的</w:t>
      </w:r>
      <w:r>
        <w:rPr>
          <w:rFonts w:hint="eastAsia" w:ascii="宋体" w:hAnsi="宋体" w:cs="宋体"/>
          <w:bCs/>
          <w:color w:val="auto"/>
          <w:kern w:val="0"/>
          <w:sz w:val="24"/>
        </w:rPr>
        <w:t>单价和总额价已包括了合同中规定的乙方的全部义务，包括：货物的基本价（成本费）、包装费、初始化费用、运输费、装卸费、保险费、各种税费、管理费、检测费和利润等，还包含了所提供货物相关服务、质量保证期的修复及更换的全部内容。</w:t>
      </w:r>
    </w:p>
    <w:p w14:paraId="248AF4BD">
      <w:pPr>
        <w:widowControl/>
        <w:adjustRightInd w:val="0"/>
        <w:snapToGrid w:val="0"/>
        <w:spacing w:line="360" w:lineRule="auto"/>
        <w:ind w:firstLine="482" w:firstLineChars="200"/>
        <w:jc w:val="left"/>
        <w:rPr>
          <w:rFonts w:hint="eastAsia" w:ascii="宋体" w:hAnsi="宋体" w:eastAsia="宋体" w:cs="宋体"/>
          <w:b/>
          <w:bCs/>
          <w:color w:val="auto"/>
          <w:kern w:val="0"/>
          <w:sz w:val="24"/>
          <w:lang w:eastAsia="zh-CN"/>
        </w:rPr>
      </w:pPr>
      <w:r>
        <w:rPr>
          <w:rFonts w:hint="eastAsia" w:ascii="宋体" w:hAnsi="宋体" w:cs="宋体"/>
          <w:b/>
          <w:color w:val="auto"/>
          <w:kern w:val="0"/>
          <w:sz w:val="24"/>
          <w:lang w:val="en-US" w:eastAsia="zh-CN"/>
        </w:rPr>
        <w:t>五、</w:t>
      </w:r>
      <w:r>
        <w:rPr>
          <w:rFonts w:hint="eastAsia" w:ascii="宋体" w:hAnsi="宋体" w:cs="宋体"/>
          <w:b/>
          <w:color w:val="auto"/>
          <w:kern w:val="0"/>
          <w:sz w:val="24"/>
        </w:rPr>
        <w:t>质保及售后</w:t>
      </w:r>
    </w:p>
    <w:p w14:paraId="3C0005FE">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1.CPC卡的质保期不能少于5年。</w:t>
      </w:r>
    </w:p>
    <w:p w14:paraId="7D58F366">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2.质保期内乙方须免费维修或更换电量不足、无法读写、电池鼓包等原因导致不能正常使用的卡片(人为损坏除外)，并承担运输、分拣、检测等一切费用。如质保期内发生质量问题，乙方未能按照甲方要求及时提供维修、更换服务，甲方有权要求乙方支付合同金额10%的违约金。</w:t>
      </w:r>
      <w:r>
        <w:rPr>
          <w:rFonts w:hint="eastAsia" w:ascii="宋体" w:hAnsi="宋体" w:cs="宋体"/>
          <w:color w:val="auto"/>
          <w:sz w:val="24"/>
          <w:lang w:val="en-US" w:eastAsia="zh-CN"/>
        </w:rPr>
        <w:t>乙方须承担由此造成的一切损失。</w:t>
      </w:r>
    </w:p>
    <w:p w14:paraId="6C9B01DC">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kern w:val="0"/>
          <w:sz w:val="24"/>
        </w:rPr>
        <w:t>3.质保期内乙方对甲方提出的服务响应，制定解决方案</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并在</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rPr>
        <w:t>个工作日内派人</w:t>
      </w:r>
      <w:r>
        <w:rPr>
          <w:rFonts w:hint="eastAsia" w:ascii="宋体" w:hAnsi="宋体" w:cs="宋体"/>
          <w:color w:val="auto"/>
          <w:kern w:val="0"/>
          <w:sz w:val="24"/>
          <w:lang w:val="en-US" w:eastAsia="zh-CN"/>
        </w:rPr>
        <w:t>处理</w:t>
      </w:r>
      <w:r>
        <w:rPr>
          <w:rFonts w:hint="eastAsia" w:ascii="宋体" w:hAnsi="宋体" w:cs="宋体"/>
          <w:color w:val="auto"/>
          <w:kern w:val="0"/>
          <w:sz w:val="24"/>
        </w:rPr>
        <w:t>维修。</w:t>
      </w:r>
    </w:p>
    <w:p w14:paraId="4C26F904">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4.乙方对</w:t>
      </w:r>
      <w:r>
        <w:rPr>
          <w:rFonts w:hint="eastAsia" w:ascii="宋体" w:hAnsi="宋体" w:cs="宋体"/>
          <w:color w:val="auto"/>
          <w:kern w:val="0"/>
          <w:sz w:val="24"/>
          <w:lang w:val="en-US" w:eastAsia="zh-CN"/>
        </w:rPr>
        <w:t>货物</w:t>
      </w:r>
      <w:r>
        <w:rPr>
          <w:rFonts w:hint="eastAsia" w:ascii="宋体" w:hAnsi="宋体" w:cs="宋体"/>
          <w:color w:val="auto"/>
          <w:kern w:val="0"/>
          <w:sz w:val="24"/>
        </w:rPr>
        <w:t>出现的有关技术性问题或安全问题负责处理、解决，</w:t>
      </w:r>
      <w:r>
        <w:rPr>
          <w:rFonts w:hint="eastAsia" w:ascii="宋体" w:hAnsi="宋体" w:cs="宋体"/>
          <w:color w:val="auto"/>
          <w:sz w:val="24"/>
        </w:rPr>
        <w:t>承担因质量引起的事故损失。</w:t>
      </w:r>
    </w:p>
    <w:p w14:paraId="2BA3C053">
      <w:pPr>
        <w:widowControl/>
        <w:tabs>
          <w:tab w:val="left" w:pos="1080"/>
        </w:tabs>
        <w:adjustRightInd w:val="0"/>
        <w:snapToGrid w:val="0"/>
        <w:spacing w:line="360" w:lineRule="auto"/>
        <w:ind w:firstLine="482" w:firstLineChars="200"/>
        <w:jc w:val="left"/>
        <w:rPr>
          <w:rFonts w:ascii="宋体" w:hAnsi="宋体" w:cs="宋体"/>
          <w:b/>
          <w:color w:val="auto"/>
          <w:kern w:val="0"/>
          <w:sz w:val="24"/>
        </w:rPr>
      </w:pPr>
      <w:r>
        <w:rPr>
          <w:rFonts w:hint="eastAsia" w:ascii="宋体" w:hAnsi="宋体" w:cs="宋体"/>
          <w:b/>
          <w:color w:val="auto"/>
          <w:kern w:val="0"/>
          <w:sz w:val="24"/>
          <w:lang w:val="en-US" w:eastAsia="zh-CN"/>
        </w:rPr>
        <w:t>六</w:t>
      </w:r>
      <w:r>
        <w:rPr>
          <w:rFonts w:hint="eastAsia" w:ascii="宋体" w:hAnsi="宋体" w:cs="宋体"/>
          <w:b/>
          <w:color w:val="auto"/>
          <w:kern w:val="0"/>
          <w:sz w:val="24"/>
        </w:rPr>
        <w:t>、包装及运输</w:t>
      </w:r>
    </w:p>
    <w:p w14:paraId="12AE0916">
      <w:pPr>
        <w:widowControl/>
        <w:adjustRightInd w:val="0"/>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乙方负责</w:t>
      </w:r>
      <w:r>
        <w:rPr>
          <w:rFonts w:hint="eastAsia" w:ascii="宋体" w:hAnsi="宋体" w:cs="宋体"/>
          <w:color w:val="auto"/>
          <w:kern w:val="0"/>
          <w:sz w:val="24"/>
          <w:lang w:val="en-US" w:eastAsia="zh-CN"/>
        </w:rPr>
        <w:t>货物的</w:t>
      </w:r>
      <w:r>
        <w:rPr>
          <w:rFonts w:hint="eastAsia" w:ascii="宋体" w:hAnsi="宋体" w:cs="宋体"/>
          <w:color w:val="auto"/>
          <w:kern w:val="0"/>
          <w:sz w:val="24"/>
        </w:rPr>
        <w:t>运输、搬运等一切费用并承担运保费，</w:t>
      </w:r>
      <w:r>
        <w:rPr>
          <w:rFonts w:hint="eastAsia" w:ascii="宋体" w:hAnsi="宋体" w:cs="宋体"/>
          <w:color w:val="auto"/>
          <w:sz w:val="24"/>
        </w:rPr>
        <w:t>保证所供产品为原厂包装，</w:t>
      </w:r>
      <w:r>
        <w:rPr>
          <w:rFonts w:hint="eastAsia" w:ascii="宋体" w:hAnsi="宋体" w:cs="宋体"/>
          <w:bCs/>
          <w:color w:val="auto"/>
          <w:sz w:val="24"/>
        </w:rPr>
        <w:t>开箱合格率达到100%，</w:t>
      </w:r>
      <w:r>
        <w:rPr>
          <w:rFonts w:hint="eastAsia" w:ascii="宋体" w:hAnsi="宋体" w:cs="宋体"/>
          <w:color w:val="auto"/>
          <w:kern w:val="0"/>
          <w:sz w:val="24"/>
        </w:rPr>
        <w:t>使用说明书、质量检验证明书</w:t>
      </w:r>
      <w:r>
        <w:rPr>
          <w:rFonts w:hint="eastAsia" w:ascii="宋体" w:hAnsi="宋体" w:cs="宋体"/>
          <w:color w:val="auto"/>
          <w:kern w:val="0"/>
          <w:sz w:val="24"/>
          <w:lang w:val="en-US" w:eastAsia="zh-CN"/>
        </w:rPr>
        <w:t>等</w:t>
      </w:r>
      <w:r>
        <w:rPr>
          <w:rFonts w:hint="eastAsia" w:ascii="宋体" w:hAnsi="宋体" w:cs="宋体"/>
          <w:color w:val="auto"/>
          <w:kern w:val="0"/>
          <w:sz w:val="24"/>
        </w:rPr>
        <w:t>一起发送。</w:t>
      </w:r>
    </w:p>
    <w:p w14:paraId="37E8C5F1">
      <w:pPr>
        <w:widowControl/>
        <w:adjustRightInd w:val="0"/>
        <w:snapToGrid w:val="0"/>
        <w:spacing w:line="360" w:lineRule="auto"/>
        <w:ind w:firstLine="482" w:firstLineChars="200"/>
        <w:jc w:val="left"/>
        <w:rPr>
          <w:rFonts w:ascii="宋体" w:hAnsi="宋体" w:cs="宋体"/>
          <w:b/>
          <w:color w:val="auto"/>
          <w:kern w:val="0"/>
          <w:sz w:val="24"/>
        </w:rPr>
      </w:pPr>
      <w:r>
        <w:rPr>
          <w:rFonts w:hint="eastAsia" w:ascii="宋体" w:hAnsi="宋体" w:cs="宋体"/>
          <w:b/>
          <w:color w:val="auto"/>
          <w:kern w:val="0"/>
          <w:sz w:val="24"/>
          <w:lang w:val="en-US" w:eastAsia="zh-CN"/>
        </w:rPr>
        <w:t>七</w:t>
      </w:r>
      <w:r>
        <w:rPr>
          <w:rFonts w:ascii="宋体" w:hAnsi="宋体" w:cs="宋体"/>
          <w:b/>
          <w:color w:val="auto"/>
          <w:kern w:val="0"/>
          <w:sz w:val="24"/>
        </w:rPr>
        <w:t>、</w:t>
      </w:r>
      <w:r>
        <w:rPr>
          <w:rFonts w:hint="eastAsia" w:ascii="宋体" w:hAnsi="宋体" w:cs="宋体"/>
          <w:b/>
          <w:color w:val="auto"/>
          <w:kern w:val="0"/>
          <w:sz w:val="24"/>
        </w:rPr>
        <w:t>送检及抽检要求</w:t>
      </w:r>
    </w:p>
    <w:p w14:paraId="181E9BA5">
      <w:pPr>
        <w:widowControl/>
        <w:adjustRightInd w:val="0"/>
        <w:snapToGrid w:val="0"/>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已方需送检一定数量样品（拟定为100张）到交通运输部或甲方指定的第三方检测机构。已方供货后，根据甲方要求抽取1‰随机号段的CPC卡再次送检。</w:t>
      </w:r>
    </w:p>
    <w:p w14:paraId="1237FC68">
      <w:pPr>
        <w:widowControl/>
        <w:adjustRightInd w:val="0"/>
        <w:snapToGrid w:val="0"/>
        <w:spacing w:line="360" w:lineRule="auto"/>
        <w:ind w:firstLine="480" w:firstLineChars="200"/>
        <w:jc w:val="left"/>
        <w:rPr>
          <w:rFonts w:hint="eastAsia" w:ascii="宋体" w:hAnsi="宋体" w:cs="宋体"/>
          <w:b/>
          <w:color w:val="auto"/>
          <w:kern w:val="0"/>
          <w:sz w:val="24"/>
          <w:lang w:val="en-US" w:eastAsia="zh-CN"/>
        </w:rPr>
      </w:pPr>
      <w:r>
        <w:rPr>
          <w:rFonts w:hint="eastAsia" w:ascii="宋体" w:hAnsi="宋体" w:cs="宋体"/>
          <w:bCs/>
          <w:color w:val="auto"/>
          <w:kern w:val="0"/>
          <w:sz w:val="24"/>
        </w:rPr>
        <w:t>两批样品须符合CPC卡的相关检测指标且保持一致，如果已方的送检产品未通过交通运输部或甲方指定的检测单位的检测，甲方有权单方无责任解除合同。</w:t>
      </w:r>
    </w:p>
    <w:p w14:paraId="2F421D3D">
      <w:pPr>
        <w:widowControl/>
        <w:adjustRightInd w:val="0"/>
        <w:snapToGrid w:val="0"/>
        <w:spacing w:line="360" w:lineRule="auto"/>
        <w:ind w:firstLine="482" w:firstLineChars="200"/>
        <w:jc w:val="left"/>
        <w:rPr>
          <w:rFonts w:ascii="宋体" w:hAnsi="宋体" w:cs="宋体"/>
          <w:b/>
          <w:color w:val="auto"/>
          <w:kern w:val="0"/>
          <w:sz w:val="24"/>
        </w:rPr>
      </w:pPr>
      <w:r>
        <w:rPr>
          <w:rFonts w:hint="eastAsia" w:ascii="宋体" w:hAnsi="宋体" w:cs="宋体"/>
          <w:b/>
          <w:color w:val="auto"/>
          <w:kern w:val="0"/>
          <w:sz w:val="24"/>
          <w:lang w:val="en-US" w:eastAsia="zh-CN"/>
        </w:rPr>
        <w:t>八、验收程序</w:t>
      </w:r>
    </w:p>
    <w:p w14:paraId="2C740D09">
      <w:pPr>
        <w:widowControl/>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项目履约验收主体为</w:t>
      </w:r>
      <w:r>
        <w:rPr>
          <w:rFonts w:hint="eastAsia" w:ascii="宋体" w:hAnsi="宋体" w:cs="宋体"/>
          <w:color w:val="auto"/>
          <w:kern w:val="0"/>
          <w:sz w:val="24"/>
          <w:lang w:val="en-US" w:eastAsia="zh-CN"/>
        </w:rPr>
        <w:t>甲方</w:t>
      </w:r>
      <w:r>
        <w:rPr>
          <w:rFonts w:hint="eastAsia" w:ascii="宋体" w:hAnsi="宋体" w:cs="宋体"/>
          <w:color w:val="auto"/>
          <w:kern w:val="0"/>
          <w:sz w:val="24"/>
        </w:rPr>
        <w:t>，验收工作流程为</w:t>
      </w:r>
      <w:r>
        <w:rPr>
          <w:rFonts w:hint="eastAsia" w:ascii="宋体" w:hAnsi="宋体" w:cs="宋体"/>
          <w:color w:val="auto"/>
          <w:kern w:val="0"/>
          <w:sz w:val="24"/>
          <w:lang w:val="en-US" w:eastAsia="zh-CN"/>
        </w:rPr>
        <w:t>乙方</w:t>
      </w:r>
      <w:r>
        <w:rPr>
          <w:rFonts w:hint="eastAsia" w:ascii="宋体" w:hAnsi="宋体" w:cs="宋体"/>
          <w:color w:val="auto"/>
          <w:kern w:val="0"/>
          <w:sz w:val="24"/>
        </w:rPr>
        <w:t>提出验收申请之日起30日内，由</w:t>
      </w:r>
      <w:r>
        <w:rPr>
          <w:rFonts w:hint="eastAsia" w:ascii="宋体" w:hAnsi="宋体" w:cs="宋体"/>
          <w:color w:val="auto"/>
          <w:kern w:val="0"/>
          <w:sz w:val="24"/>
          <w:lang w:val="en-US" w:eastAsia="zh-CN"/>
        </w:rPr>
        <w:t>甲方</w:t>
      </w:r>
      <w:r>
        <w:rPr>
          <w:rFonts w:hint="eastAsia" w:ascii="宋体" w:hAnsi="宋体" w:cs="宋体"/>
          <w:color w:val="auto"/>
          <w:kern w:val="0"/>
          <w:sz w:val="24"/>
        </w:rPr>
        <w:t>组织验收工作。本项目为一次性验收，</w:t>
      </w:r>
      <w:r>
        <w:rPr>
          <w:rFonts w:hint="eastAsia" w:ascii="宋体" w:hAnsi="宋体" w:cs="宋体"/>
          <w:color w:val="auto"/>
          <w:kern w:val="0"/>
          <w:sz w:val="24"/>
          <w:lang w:val="en-US" w:eastAsia="zh-CN"/>
        </w:rPr>
        <w:t>甲方</w:t>
      </w:r>
      <w:r>
        <w:rPr>
          <w:rFonts w:hint="eastAsia" w:ascii="宋体" w:hAnsi="宋体" w:cs="宋体"/>
          <w:color w:val="auto"/>
          <w:kern w:val="0"/>
          <w:sz w:val="24"/>
        </w:rPr>
        <w:t>严格按照招标文件、投标文件和合同约定内容进行履约验收</w:t>
      </w:r>
      <w:r>
        <w:rPr>
          <w:rFonts w:hint="eastAsia" w:ascii="宋体" w:hAnsi="宋体" w:cs="宋体"/>
          <w:color w:val="auto"/>
          <w:kern w:val="0"/>
          <w:sz w:val="24"/>
          <w:lang w:eastAsia="zh-CN"/>
        </w:rPr>
        <w:t>，</w:t>
      </w:r>
      <w:r>
        <w:rPr>
          <w:rFonts w:hint="eastAsia" w:ascii="宋体" w:hAnsi="宋体" w:cs="宋体"/>
          <w:color w:val="auto"/>
          <w:kern w:val="0"/>
          <w:sz w:val="24"/>
        </w:rPr>
        <w:t>验收工作程序：</w:t>
      </w:r>
    </w:p>
    <w:p w14:paraId="0E9B3D64">
      <w:pPr>
        <w:widowControl/>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lang w:val="en-US" w:eastAsia="zh-CN"/>
        </w:rPr>
        <w:t>1.</w:t>
      </w:r>
      <w:r>
        <w:rPr>
          <w:rFonts w:hint="eastAsia" w:ascii="宋体" w:hAnsi="宋体" w:cs="宋体"/>
          <w:color w:val="auto"/>
          <w:kern w:val="0"/>
          <w:sz w:val="24"/>
        </w:rPr>
        <w:t>到货验收。</w:t>
      </w:r>
      <w:r>
        <w:rPr>
          <w:rFonts w:hint="eastAsia" w:ascii="宋体" w:hAnsi="宋体" w:cs="宋体"/>
          <w:color w:val="auto"/>
          <w:kern w:val="0"/>
          <w:sz w:val="24"/>
          <w:lang w:val="en-US" w:eastAsia="zh-CN"/>
        </w:rPr>
        <w:t>乙方</w:t>
      </w:r>
      <w:r>
        <w:rPr>
          <w:rFonts w:hint="eastAsia" w:ascii="宋体" w:hAnsi="宋体" w:cs="宋体"/>
          <w:color w:val="auto"/>
          <w:kern w:val="0"/>
          <w:sz w:val="24"/>
        </w:rPr>
        <w:t>供货后，</w:t>
      </w:r>
      <w:r>
        <w:rPr>
          <w:rFonts w:hint="eastAsia" w:ascii="宋体" w:hAnsi="宋体" w:cs="宋体"/>
          <w:color w:val="auto"/>
          <w:kern w:val="0"/>
          <w:sz w:val="24"/>
          <w:lang w:val="en-US" w:eastAsia="zh-CN"/>
        </w:rPr>
        <w:t>甲方</w:t>
      </w:r>
      <w:r>
        <w:rPr>
          <w:rFonts w:hint="eastAsia" w:ascii="宋体" w:hAnsi="宋体" w:cs="宋体"/>
          <w:color w:val="auto"/>
          <w:kern w:val="0"/>
          <w:sz w:val="24"/>
        </w:rPr>
        <w:t>组织进行到货验收。到货验收是对</w:t>
      </w:r>
      <w:r>
        <w:rPr>
          <w:rFonts w:hint="eastAsia" w:ascii="宋体" w:hAnsi="宋体" w:cs="宋体"/>
          <w:color w:val="auto"/>
          <w:kern w:val="0"/>
          <w:sz w:val="24"/>
          <w:lang w:val="en-US" w:eastAsia="zh-CN"/>
        </w:rPr>
        <w:t>乙</w:t>
      </w:r>
      <w:r>
        <w:rPr>
          <w:rFonts w:hint="eastAsia" w:ascii="宋体" w:hAnsi="宋体" w:cs="宋体"/>
          <w:color w:val="auto"/>
          <w:kern w:val="0"/>
          <w:sz w:val="24"/>
        </w:rPr>
        <w:t>方所交付的产品数量、规格型号、生产厂家和外包装等进行验收,验收合格后由双方工作人员签署到货证明(即《到货验收单》)。验收合格的结果仅表明产品在外观、数量上完好无缺失的证明及</w:t>
      </w:r>
      <w:r>
        <w:rPr>
          <w:rFonts w:hint="eastAsia" w:ascii="宋体" w:hAnsi="宋体" w:cs="宋体"/>
          <w:color w:val="auto"/>
          <w:kern w:val="0"/>
          <w:sz w:val="24"/>
          <w:lang w:val="en-US" w:eastAsia="zh-CN"/>
        </w:rPr>
        <w:t>乙方</w:t>
      </w:r>
      <w:r>
        <w:rPr>
          <w:rFonts w:hint="eastAsia" w:ascii="宋体" w:hAnsi="宋体" w:cs="宋体"/>
          <w:color w:val="auto"/>
          <w:kern w:val="0"/>
          <w:sz w:val="24"/>
        </w:rPr>
        <w:t>履行其交付货物义务的必要证据。</w:t>
      </w:r>
    </w:p>
    <w:p w14:paraId="378CCB51">
      <w:pPr>
        <w:widowControl/>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lang w:val="en-US" w:eastAsia="zh-CN"/>
        </w:rPr>
        <w:t>2.</w:t>
      </w:r>
      <w:r>
        <w:rPr>
          <w:rFonts w:hint="eastAsia" w:ascii="宋体" w:hAnsi="宋体" w:cs="宋体"/>
          <w:color w:val="auto"/>
          <w:kern w:val="0"/>
          <w:sz w:val="24"/>
        </w:rPr>
        <w:t>抽（送）检。</w:t>
      </w:r>
      <w:r>
        <w:rPr>
          <w:rFonts w:hint="eastAsia" w:ascii="宋体" w:hAnsi="宋体" w:cs="宋体"/>
          <w:color w:val="auto"/>
          <w:kern w:val="0"/>
          <w:sz w:val="24"/>
          <w:lang w:val="en-US" w:eastAsia="zh-CN"/>
        </w:rPr>
        <w:t>甲方</w:t>
      </w:r>
      <w:r>
        <w:rPr>
          <w:rFonts w:hint="eastAsia" w:ascii="宋体" w:hAnsi="宋体" w:cs="宋体"/>
          <w:color w:val="auto"/>
          <w:kern w:val="0"/>
          <w:sz w:val="24"/>
        </w:rPr>
        <w:t>抽取150张随机号段的CPC卡送至交通运输部或</w:t>
      </w:r>
      <w:r>
        <w:rPr>
          <w:rFonts w:hint="eastAsia" w:ascii="宋体" w:hAnsi="宋体" w:cs="宋体"/>
          <w:color w:val="auto"/>
          <w:kern w:val="0"/>
          <w:sz w:val="24"/>
          <w:lang w:val="en-US" w:eastAsia="zh-CN"/>
        </w:rPr>
        <w:t>甲方</w:t>
      </w:r>
      <w:r>
        <w:rPr>
          <w:rFonts w:hint="eastAsia" w:ascii="宋体" w:hAnsi="宋体" w:cs="宋体"/>
          <w:color w:val="auto"/>
          <w:kern w:val="0"/>
          <w:sz w:val="24"/>
        </w:rPr>
        <w:t>指定的第三方检测机构进行检测。检测合格后进行初始化发行。未通过检测的，</w:t>
      </w:r>
      <w:r>
        <w:rPr>
          <w:rFonts w:hint="eastAsia" w:ascii="宋体" w:hAnsi="宋体" w:cs="宋体"/>
          <w:color w:val="auto"/>
          <w:kern w:val="0"/>
          <w:sz w:val="24"/>
          <w:lang w:val="en-US" w:eastAsia="zh-CN"/>
        </w:rPr>
        <w:t>甲方</w:t>
      </w:r>
      <w:r>
        <w:rPr>
          <w:rFonts w:hint="eastAsia" w:ascii="宋体" w:hAnsi="宋体" w:cs="宋体"/>
          <w:color w:val="auto"/>
          <w:kern w:val="0"/>
          <w:sz w:val="24"/>
        </w:rPr>
        <w:t>可退回货物，单方无责任解除合同。</w:t>
      </w:r>
    </w:p>
    <w:p w14:paraId="77D216DC">
      <w:pPr>
        <w:widowControl/>
        <w:adjustRightInd w:val="0"/>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lang w:val="en-US" w:eastAsia="zh-CN"/>
        </w:rPr>
        <w:t>3.</w:t>
      </w:r>
      <w:r>
        <w:rPr>
          <w:rFonts w:hint="eastAsia" w:ascii="宋体" w:hAnsi="宋体" w:cs="宋体"/>
          <w:color w:val="auto"/>
          <w:kern w:val="0"/>
          <w:sz w:val="24"/>
        </w:rPr>
        <w:t>发行。初始化发行按照国家标准、行业规范及有关技术要求进行，</w:t>
      </w:r>
      <w:r>
        <w:rPr>
          <w:rFonts w:hint="eastAsia" w:ascii="宋体" w:hAnsi="宋体" w:cs="宋体"/>
          <w:color w:val="auto"/>
          <w:kern w:val="0"/>
          <w:sz w:val="24"/>
          <w:lang w:val="en-US" w:eastAsia="zh-CN"/>
        </w:rPr>
        <w:t>乙方</w:t>
      </w:r>
      <w:r>
        <w:rPr>
          <w:rFonts w:hint="eastAsia" w:ascii="宋体" w:hAnsi="宋体" w:cs="宋体"/>
          <w:color w:val="auto"/>
          <w:kern w:val="0"/>
          <w:sz w:val="24"/>
        </w:rPr>
        <w:t>应做好发行时间安排以及人员配备等。在发行过程中，由于</w:t>
      </w:r>
      <w:r>
        <w:rPr>
          <w:rFonts w:hint="eastAsia" w:ascii="宋体" w:hAnsi="宋体" w:cs="宋体"/>
          <w:color w:val="auto"/>
          <w:kern w:val="0"/>
          <w:sz w:val="24"/>
          <w:lang w:val="en-US" w:eastAsia="zh-CN"/>
        </w:rPr>
        <w:t>乙方</w:t>
      </w:r>
      <w:r>
        <w:rPr>
          <w:rFonts w:hint="eastAsia" w:ascii="宋体" w:hAnsi="宋体" w:cs="宋体"/>
          <w:color w:val="auto"/>
          <w:kern w:val="0"/>
          <w:sz w:val="24"/>
        </w:rPr>
        <w:t>原因造成发行设备、设施损坏,</w:t>
      </w:r>
      <w:r>
        <w:rPr>
          <w:rFonts w:hint="eastAsia" w:ascii="宋体" w:hAnsi="宋体" w:cs="宋体"/>
          <w:color w:val="auto"/>
          <w:kern w:val="0"/>
          <w:sz w:val="24"/>
          <w:lang w:val="en-US" w:eastAsia="zh-CN"/>
        </w:rPr>
        <w:t>乙方</w:t>
      </w:r>
      <w:r>
        <w:rPr>
          <w:rFonts w:hint="eastAsia" w:ascii="宋体" w:hAnsi="宋体" w:cs="宋体"/>
          <w:color w:val="auto"/>
          <w:kern w:val="0"/>
          <w:sz w:val="24"/>
        </w:rPr>
        <w:t>应负责修理或赔偿损失。发行完成后,由</w:t>
      </w:r>
      <w:r>
        <w:rPr>
          <w:rFonts w:hint="eastAsia" w:ascii="宋体" w:hAnsi="宋体" w:cs="宋体"/>
          <w:color w:val="auto"/>
          <w:kern w:val="0"/>
          <w:sz w:val="24"/>
          <w:lang w:val="en-US" w:eastAsia="zh-CN"/>
        </w:rPr>
        <w:t>乙方</w:t>
      </w:r>
      <w:r>
        <w:rPr>
          <w:rFonts w:hint="eastAsia" w:ascii="宋体" w:hAnsi="宋体" w:cs="宋体"/>
          <w:color w:val="auto"/>
          <w:kern w:val="0"/>
          <w:sz w:val="24"/>
        </w:rPr>
        <w:t>进行自检，自检合格后向</w:t>
      </w:r>
      <w:r>
        <w:rPr>
          <w:rFonts w:hint="eastAsia" w:ascii="宋体" w:hAnsi="宋体" w:cs="宋体"/>
          <w:color w:val="auto"/>
          <w:kern w:val="0"/>
          <w:sz w:val="24"/>
          <w:lang w:val="en-US" w:eastAsia="zh-CN"/>
        </w:rPr>
        <w:t>甲方</w:t>
      </w:r>
      <w:r>
        <w:rPr>
          <w:rFonts w:hint="eastAsia" w:ascii="宋体" w:hAnsi="宋体" w:cs="宋体"/>
          <w:color w:val="auto"/>
          <w:kern w:val="0"/>
          <w:sz w:val="24"/>
        </w:rPr>
        <w:t>书面提交验收申请。</w:t>
      </w:r>
    </w:p>
    <w:p w14:paraId="39E4E18C">
      <w:pPr>
        <w:widowControl/>
        <w:adjustRightInd w:val="0"/>
        <w:snapToGrid w:val="0"/>
        <w:spacing w:line="360" w:lineRule="auto"/>
        <w:ind w:firstLine="482" w:firstLineChars="200"/>
        <w:jc w:val="left"/>
        <w:rPr>
          <w:rFonts w:ascii="宋体" w:hAnsi="宋体" w:cs="宋体"/>
          <w:b/>
          <w:color w:val="auto"/>
          <w:kern w:val="0"/>
          <w:sz w:val="24"/>
        </w:rPr>
      </w:pPr>
      <w:r>
        <w:rPr>
          <w:rFonts w:hint="eastAsia" w:ascii="宋体" w:hAnsi="宋体" w:cs="宋体"/>
          <w:b/>
          <w:color w:val="auto"/>
          <w:kern w:val="0"/>
          <w:sz w:val="24"/>
          <w:lang w:val="en-US" w:eastAsia="zh-CN"/>
        </w:rPr>
        <w:t>九</w:t>
      </w:r>
      <w:r>
        <w:rPr>
          <w:rFonts w:ascii="宋体" w:hAnsi="宋体" w:cs="宋体"/>
          <w:b/>
          <w:color w:val="auto"/>
          <w:kern w:val="0"/>
          <w:sz w:val="24"/>
        </w:rPr>
        <w:t>、</w:t>
      </w:r>
      <w:r>
        <w:rPr>
          <w:rFonts w:hint="eastAsia" w:ascii="宋体" w:hAnsi="宋体" w:cs="宋体"/>
          <w:b/>
          <w:color w:val="auto"/>
          <w:kern w:val="0"/>
          <w:sz w:val="24"/>
        </w:rPr>
        <w:t>付款方式</w:t>
      </w:r>
    </w:p>
    <w:p w14:paraId="2C4F1D55">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货物全部到货，经到货验收并取得第三方检测合格报告后，供应商须向采购人出具合法有效的全额发票，15个工作日内支付合同总金额的30.00%。供应商完成初始化发行，经采购人验收合格后，15个工作日内支付合同总金额的70.00%。</w:t>
      </w:r>
    </w:p>
    <w:p w14:paraId="5DEB9DFA">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2.乙方</w:t>
      </w:r>
      <w:r>
        <w:rPr>
          <w:rFonts w:hint="eastAsia" w:ascii="宋体" w:hAnsi="宋体" w:cs="宋体"/>
          <w:color w:val="auto"/>
          <w:kern w:val="0"/>
          <w:sz w:val="24"/>
          <w:highlight w:val="none"/>
        </w:rPr>
        <w:t>须向</w:t>
      </w:r>
      <w:r>
        <w:rPr>
          <w:rFonts w:hint="eastAsia" w:ascii="宋体" w:hAnsi="宋体" w:cs="宋体"/>
          <w:color w:val="auto"/>
          <w:kern w:val="0"/>
          <w:sz w:val="24"/>
          <w:highlight w:val="none"/>
          <w:lang w:val="en-US" w:eastAsia="zh-CN"/>
        </w:rPr>
        <w:t>甲方</w:t>
      </w:r>
      <w:r>
        <w:rPr>
          <w:rFonts w:hint="eastAsia" w:ascii="宋体" w:hAnsi="宋体" w:cs="宋体"/>
          <w:color w:val="auto"/>
          <w:kern w:val="0"/>
          <w:sz w:val="24"/>
          <w:highlight w:val="none"/>
        </w:rPr>
        <w:t>出具合法有效的发票，</w:t>
      </w:r>
      <w:r>
        <w:rPr>
          <w:rFonts w:hint="eastAsia" w:ascii="宋体" w:hAnsi="宋体" w:cs="宋体"/>
          <w:color w:val="auto"/>
          <w:kern w:val="0"/>
          <w:sz w:val="24"/>
          <w:highlight w:val="none"/>
          <w:lang w:val="en-US" w:eastAsia="zh-CN"/>
        </w:rPr>
        <w:t>甲方</w:t>
      </w:r>
      <w:r>
        <w:rPr>
          <w:rFonts w:hint="eastAsia" w:ascii="宋体" w:hAnsi="宋体" w:cs="宋体"/>
          <w:color w:val="auto"/>
          <w:kern w:val="0"/>
          <w:sz w:val="24"/>
          <w:highlight w:val="none"/>
        </w:rPr>
        <w:t>进行支付结算。首次支付时供应商应开具全额发票。</w:t>
      </w:r>
    </w:p>
    <w:p w14:paraId="7D66C7D8">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结算方式：银行转账。</w:t>
      </w:r>
    </w:p>
    <w:p w14:paraId="4C804598">
      <w:pPr>
        <w:adjustRightInd w:val="0"/>
        <w:snapToGrid w:val="0"/>
        <w:spacing w:line="360" w:lineRule="auto"/>
        <w:ind w:firstLine="482" w:firstLineChars="200"/>
        <w:rPr>
          <w:rFonts w:ascii="宋体" w:hAnsi="宋体" w:cs="宋体"/>
          <w:b/>
          <w:color w:val="auto"/>
          <w:kern w:val="0"/>
          <w:sz w:val="24"/>
        </w:rPr>
      </w:pPr>
      <w:r>
        <w:rPr>
          <w:rFonts w:hint="eastAsia" w:ascii="宋体" w:hAnsi="宋体" w:cs="宋体"/>
          <w:b/>
          <w:color w:val="auto"/>
          <w:kern w:val="0"/>
          <w:sz w:val="24"/>
          <w:lang w:val="en-US" w:eastAsia="zh-CN"/>
        </w:rPr>
        <w:t>十</w:t>
      </w:r>
      <w:r>
        <w:rPr>
          <w:rFonts w:hint="eastAsia" w:ascii="宋体" w:hAnsi="宋体" w:cs="宋体"/>
          <w:b/>
          <w:color w:val="auto"/>
          <w:kern w:val="0"/>
          <w:sz w:val="24"/>
        </w:rPr>
        <w:t>、知识产权</w:t>
      </w:r>
    </w:p>
    <w:p w14:paraId="04955115">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如果乙方提供给甲方的产品侵犯第三方知识产权，责任完全由乙方承担并赔偿由此给甲方造成的全部损失。</w:t>
      </w:r>
    </w:p>
    <w:p w14:paraId="683C7BD1">
      <w:pPr>
        <w:widowControl/>
        <w:adjustRightInd w:val="0"/>
        <w:snapToGrid w:val="0"/>
        <w:spacing w:line="360" w:lineRule="auto"/>
        <w:ind w:firstLine="482" w:firstLineChars="200"/>
        <w:jc w:val="left"/>
        <w:rPr>
          <w:rFonts w:ascii="宋体" w:hAnsi="宋体" w:cs="宋体"/>
          <w:b/>
          <w:color w:val="auto"/>
          <w:kern w:val="0"/>
          <w:sz w:val="24"/>
        </w:rPr>
      </w:pPr>
      <w:r>
        <w:rPr>
          <w:rFonts w:hint="eastAsia" w:ascii="宋体" w:hAnsi="宋体" w:cs="宋体"/>
          <w:b/>
          <w:color w:val="auto"/>
          <w:kern w:val="0"/>
          <w:sz w:val="24"/>
          <w:lang w:val="en-US" w:eastAsia="zh-CN"/>
        </w:rPr>
        <w:t>十一</w:t>
      </w:r>
      <w:r>
        <w:rPr>
          <w:rFonts w:ascii="宋体" w:hAnsi="宋体" w:cs="宋体"/>
          <w:b/>
          <w:color w:val="auto"/>
          <w:kern w:val="0"/>
          <w:sz w:val="24"/>
        </w:rPr>
        <w:t>、</w:t>
      </w:r>
      <w:r>
        <w:rPr>
          <w:rFonts w:hint="eastAsia" w:ascii="宋体" w:hAnsi="宋体" w:cs="宋体"/>
          <w:b/>
          <w:color w:val="auto"/>
          <w:kern w:val="0"/>
          <w:sz w:val="24"/>
        </w:rPr>
        <w:t>违约责任</w:t>
      </w:r>
    </w:p>
    <w:p w14:paraId="7DF0CCD3">
      <w:pPr>
        <w:widowControl/>
        <w:adjustRightInd w:val="0"/>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1.合同生效后，甲乙双方应按合同规定认真履约。合同履约责任只涉及合同甲乙双方，不考虑第三方因素。</w:t>
      </w:r>
    </w:p>
    <w:p w14:paraId="249BF348">
      <w:pPr>
        <w:widowControl/>
        <w:adjustRightInd w:val="0"/>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2.乙方逾期交货，每天应按合同总价的1‰向甲方支付违约金。如乙方逾期含三十天仍未履行或未完全履行交货义务的，甲方有权终止合同，乙方须按合同总价的30%计算向甲方支付违约赔偿金。违约金不足以弥补乙方给甲方造成损失的，乙方应当承担全部赔偿责任，全部赔偿责任的范围包括但不限于预期可得利益、直接损失、赔偿金、违约金、诉讼费用、仲裁费、鉴定费、保全费、保全担保费用、律师费等。</w:t>
      </w:r>
    </w:p>
    <w:p w14:paraId="5F18F97A">
      <w:pPr>
        <w:widowControl/>
        <w:adjustRightInd w:val="0"/>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3.乙方所交</w:t>
      </w:r>
      <w:r>
        <w:rPr>
          <w:rFonts w:hint="eastAsia" w:ascii="宋体" w:hAnsi="宋体" w:cs="宋体"/>
          <w:color w:val="auto"/>
          <w:kern w:val="0"/>
          <w:sz w:val="24"/>
          <w:lang w:val="en-US" w:eastAsia="zh-CN"/>
        </w:rPr>
        <w:t>货物</w:t>
      </w:r>
      <w:r>
        <w:rPr>
          <w:rFonts w:hint="eastAsia" w:ascii="宋体" w:hAnsi="宋体" w:cs="宋体"/>
          <w:color w:val="auto"/>
          <w:kern w:val="0"/>
          <w:sz w:val="24"/>
        </w:rPr>
        <w:t>的产品数量、规格型号、生产厂家和外包装等不符合合同约定，所供</w:t>
      </w:r>
      <w:r>
        <w:rPr>
          <w:rFonts w:hint="eastAsia" w:ascii="宋体" w:hAnsi="宋体" w:cs="宋体"/>
          <w:color w:val="auto"/>
          <w:kern w:val="0"/>
          <w:sz w:val="24"/>
          <w:lang w:val="en-US" w:eastAsia="zh-CN"/>
        </w:rPr>
        <w:t>货物</w:t>
      </w:r>
      <w:r>
        <w:rPr>
          <w:rFonts w:hint="eastAsia" w:ascii="宋体" w:hAnsi="宋体" w:cs="宋体"/>
          <w:color w:val="auto"/>
          <w:kern w:val="0"/>
          <w:sz w:val="24"/>
        </w:rPr>
        <w:t>达不到双方确认的技术标准的，乙方必须无条件退回全部货款，并向甲方支付合同总价款30%的赔偿金。</w:t>
      </w:r>
    </w:p>
    <w:p w14:paraId="77BEAC6D">
      <w:pPr>
        <w:widowControl/>
        <w:adjustRightInd w:val="0"/>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lang w:val="en-US" w:eastAsia="zh-CN"/>
        </w:rPr>
        <w:t>4</w:t>
      </w:r>
      <w:r>
        <w:rPr>
          <w:rFonts w:hint="eastAsia" w:ascii="宋体" w:hAnsi="宋体" w:cs="宋体"/>
          <w:color w:val="auto"/>
          <w:kern w:val="0"/>
          <w:sz w:val="24"/>
        </w:rPr>
        <w:t>.因乙方提供的产品存在缺陷或由于乙方的过错使产品存在缺陷造成人身、缺陷产品以外的其他财产损害，乙应当承担全部赔偿责任。若由此造成甲方先行承担责任的，甲方在承担责任后有权全额向乙方追偿。</w:t>
      </w:r>
    </w:p>
    <w:p w14:paraId="22CB0A94">
      <w:pPr>
        <w:widowControl/>
        <w:adjustRightInd w:val="0"/>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lang w:val="en-US" w:eastAsia="zh-CN"/>
        </w:rPr>
        <w:t>5</w:t>
      </w:r>
      <w:r>
        <w:rPr>
          <w:rFonts w:hint="eastAsia" w:ascii="宋体" w:hAnsi="宋体" w:cs="宋体"/>
          <w:color w:val="auto"/>
          <w:kern w:val="0"/>
          <w:sz w:val="24"/>
        </w:rPr>
        <w:t>.在合同款项付清后、质保期内，乙方未履行质量保证条款约定的义务，乙方对甲方承担本合同总价10%的违约金。</w:t>
      </w:r>
    </w:p>
    <w:p w14:paraId="2B8FFB79">
      <w:pPr>
        <w:widowControl/>
        <w:adjustRightInd w:val="0"/>
        <w:snapToGrid w:val="0"/>
        <w:spacing w:line="360" w:lineRule="auto"/>
        <w:ind w:firstLine="482" w:firstLineChars="200"/>
        <w:jc w:val="left"/>
        <w:rPr>
          <w:rFonts w:ascii="宋体" w:hAnsi="宋体" w:cs="宋体"/>
          <w:b/>
          <w:color w:val="auto"/>
          <w:kern w:val="0"/>
          <w:sz w:val="24"/>
        </w:rPr>
      </w:pPr>
      <w:r>
        <w:rPr>
          <w:rFonts w:hint="eastAsia" w:ascii="宋体" w:hAnsi="宋体" w:cs="宋体"/>
          <w:b/>
          <w:color w:val="auto"/>
          <w:kern w:val="0"/>
          <w:sz w:val="24"/>
          <w:lang w:val="en-US" w:eastAsia="zh-CN"/>
        </w:rPr>
        <w:t>十二</w:t>
      </w:r>
      <w:r>
        <w:rPr>
          <w:rFonts w:hint="eastAsia" w:ascii="宋体" w:hAnsi="宋体" w:cs="宋体"/>
          <w:b/>
          <w:color w:val="auto"/>
          <w:kern w:val="0"/>
          <w:sz w:val="24"/>
        </w:rPr>
        <w:t>、争议解决方式</w:t>
      </w:r>
    </w:p>
    <w:p w14:paraId="07D04428">
      <w:pPr>
        <w:widowControl/>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本合同在履行过程中，如发生争议，双方友好协商解决，如协商不成，双方同意在甲方所在地法院起诉解决。</w:t>
      </w:r>
    </w:p>
    <w:p w14:paraId="4115FD10">
      <w:pPr>
        <w:widowControl/>
        <w:adjustRightInd w:val="0"/>
        <w:snapToGrid w:val="0"/>
        <w:spacing w:line="360" w:lineRule="auto"/>
        <w:ind w:firstLine="482" w:firstLineChars="200"/>
        <w:jc w:val="left"/>
        <w:rPr>
          <w:rFonts w:ascii="宋体" w:hAnsi="宋体" w:cs="宋体"/>
          <w:b/>
          <w:color w:val="auto"/>
          <w:kern w:val="0"/>
          <w:sz w:val="24"/>
        </w:rPr>
      </w:pPr>
      <w:r>
        <w:rPr>
          <w:rFonts w:hint="eastAsia" w:ascii="宋体" w:hAnsi="宋体" w:cs="宋体"/>
          <w:b/>
          <w:color w:val="auto"/>
          <w:kern w:val="0"/>
          <w:sz w:val="24"/>
          <w:lang w:val="en-US" w:eastAsia="zh-CN"/>
        </w:rPr>
        <w:t>十三</w:t>
      </w:r>
      <w:r>
        <w:rPr>
          <w:rFonts w:hint="eastAsia" w:ascii="宋体" w:hAnsi="宋体" w:cs="宋体"/>
          <w:b/>
          <w:color w:val="auto"/>
          <w:kern w:val="0"/>
          <w:sz w:val="24"/>
        </w:rPr>
        <w:t>、其他</w:t>
      </w:r>
    </w:p>
    <w:p w14:paraId="4D2200BA">
      <w:pPr>
        <w:pStyle w:val="3"/>
        <w:snapToGrid w:val="0"/>
        <w:spacing w:line="360" w:lineRule="auto"/>
        <w:ind w:firstLine="480" w:firstLineChars="200"/>
        <w:textAlignment w:val="auto"/>
        <w:rPr>
          <w:rFonts w:ascii="宋体" w:hAnsi="宋体" w:eastAsia="宋体" w:cs="宋体"/>
          <w:b w:val="0"/>
          <w:color w:val="auto"/>
          <w:sz w:val="24"/>
          <w:szCs w:val="24"/>
        </w:rPr>
      </w:pPr>
      <w:r>
        <w:rPr>
          <w:rFonts w:hint="eastAsia" w:ascii="宋体" w:hAnsi="宋体" w:eastAsia="宋体" w:cs="宋体"/>
          <w:b w:val="0"/>
          <w:color w:val="auto"/>
          <w:sz w:val="24"/>
          <w:szCs w:val="24"/>
        </w:rPr>
        <w:t>1.本合同一式</w:t>
      </w:r>
      <w:r>
        <w:rPr>
          <w:rFonts w:hint="eastAsia" w:ascii="宋体" w:hAnsi="宋体" w:eastAsia="宋体" w:cs="宋体"/>
          <w:b w:val="0"/>
          <w:color w:val="auto"/>
          <w:sz w:val="24"/>
          <w:szCs w:val="24"/>
          <w:u w:val="single"/>
          <w:lang w:val="en-US" w:eastAsia="zh-CN"/>
        </w:rPr>
        <w:t xml:space="preserve">   </w:t>
      </w:r>
      <w:r>
        <w:rPr>
          <w:rFonts w:hint="eastAsia" w:ascii="宋体" w:hAnsi="宋体" w:eastAsia="宋体" w:cs="宋体"/>
          <w:b w:val="0"/>
          <w:color w:val="auto"/>
          <w:sz w:val="24"/>
          <w:szCs w:val="24"/>
        </w:rPr>
        <w:t>份，甲方执</w:t>
      </w:r>
      <w:r>
        <w:rPr>
          <w:rFonts w:hint="eastAsia" w:ascii="宋体" w:hAnsi="宋体" w:eastAsia="宋体" w:cs="宋体"/>
          <w:b w:val="0"/>
          <w:color w:val="auto"/>
          <w:sz w:val="24"/>
          <w:szCs w:val="24"/>
          <w:u w:val="single"/>
          <w:lang w:val="en-US" w:eastAsia="zh-CN"/>
        </w:rPr>
        <w:t xml:space="preserve">   </w:t>
      </w:r>
      <w:r>
        <w:rPr>
          <w:rFonts w:hint="eastAsia" w:ascii="宋体" w:hAnsi="宋体" w:eastAsia="宋体" w:cs="宋体"/>
          <w:b w:val="0"/>
          <w:color w:val="auto"/>
          <w:sz w:val="24"/>
          <w:szCs w:val="24"/>
        </w:rPr>
        <w:t>份，乙方执</w:t>
      </w:r>
      <w:r>
        <w:rPr>
          <w:rFonts w:hint="eastAsia" w:ascii="宋体" w:hAnsi="宋体" w:eastAsia="宋体" w:cs="宋体"/>
          <w:b w:val="0"/>
          <w:color w:val="auto"/>
          <w:sz w:val="24"/>
          <w:szCs w:val="24"/>
          <w:u w:val="single"/>
          <w:lang w:val="en-US" w:eastAsia="zh-CN"/>
        </w:rPr>
        <w:t xml:space="preserve">   </w:t>
      </w:r>
      <w:r>
        <w:rPr>
          <w:rFonts w:hint="eastAsia" w:ascii="宋体" w:hAnsi="宋体" w:eastAsia="宋体" w:cs="宋体"/>
          <w:b w:val="0"/>
          <w:color w:val="auto"/>
          <w:sz w:val="24"/>
          <w:szCs w:val="24"/>
        </w:rPr>
        <w:t>份，双方签字并盖章后生效，具有同等法律效力。合同未尽事宜</w:t>
      </w:r>
      <w:r>
        <w:rPr>
          <w:rFonts w:hint="eastAsia" w:ascii="宋体" w:hAnsi="宋体" w:eastAsia="宋体" w:cs="宋体"/>
          <w:b w:val="0"/>
          <w:color w:val="auto"/>
          <w:kern w:val="2"/>
          <w:sz w:val="24"/>
          <w:szCs w:val="24"/>
        </w:rPr>
        <w:t>双方</w:t>
      </w:r>
      <w:r>
        <w:rPr>
          <w:rFonts w:hint="eastAsia" w:ascii="宋体" w:hAnsi="宋体" w:eastAsia="宋体" w:cs="宋体"/>
          <w:b w:val="0"/>
          <w:color w:val="auto"/>
          <w:sz w:val="24"/>
          <w:szCs w:val="24"/>
        </w:rPr>
        <w:t>可协商解决或另立补充协议。</w:t>
      </w:r>
    </w:p>
    <w:p w14:paraId="65F81915">
      <w:pPr>
        <w:pStyle w:val="3"/>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2.在合同实施过程如双方出现争议，</w:t>
      </w:r>
      <w:r>
        <w:rPr>
          <w:rFonts w:hint="eastAsia" w:ascii="宋体" w:hAnsi="宋体" w:eastAsia="宋体" w:cs="宋体"/>
          <w:b w:val="0"/>
          <w:color w:val="auto"/>
          <w:sz w:val="24"/>
          <w:szCs w:val="24"/>
          <w:lang w:val="en-US" w:eastAsia="zh-CN"/>
        </w:rPr>
        <w:t>货物的</w:t>
      </w:r>
      <w:r>
        <w:rPr>
          <w:rFonts w:hint="eastAsia" w:ascii="宋体" w:hAnsi="宋体" w:eastAsia="宋体" w:cs="宋体"/>
          <w:b w:val="0"/>
          <w:color w:val="auto"/>
          <w:sz w:val="24"/>
          <w:szCs w:val="24"/>
        </w:rPr>
        <w:t>产品数量、规格型号、生产厂家和外包装、甲方招标文件、乙方投标文件等均作为解决争议的参考文件，与本合同具有同等法律效力。</w:t>
      </w:r>
    </w:p>
    <w:p w14:paraId="5043A73F">
      <w:pPr>
        <w:keepNext w:val="0"/>
        <w:keepLines w:val="0"/>
        <w:pageBreakBefore w:val="0"/>
        <w:kinsoku/>
        <w:wordWrap/>
        <w:overflowPunct/>
        <w:topLinePunct w:val="0"/>
        <w:bidi w:val="0"/>
        <w:snapToGrid/>
        <w:spacing w:line="360" w:lineRule="auto"/>
        <w:ind w:firstLine="480"/>
        <w:textAlignment w:val="auto"/>
        <w:rPr>
          <w:rFonts w:hint="eastAsia" w:ascii="宋体" w:hAnsi="宋体" w:cs="宋体" w:eastAsiaTheme="minorEastAsia"/>
          <w:color w:val="auto"/>
          <w:kern w:val="0"/>
          <w:sz w:val="24"/>
          <w:lang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此页无正文</w:t>
      </w:r>
      <w:r>
        <w:rPr>
          <w:rFonts w:hint="eastAsia" w:ascii="宋体" w:hAnsi="宋体" w:cs="宋体"/>
          <w:color w:val="auto"/>
          <w:kern w:val="0"/>
          <w:sz w:val="24"/>
          <w:lang w:eastAsia="zh-CN"/>
        </w:rPr>
        <w:t>）</w:t>
      </w:r>
    </w:p>
    <w:p w14:paraId="53F6CB44">
      <w:pPr>
        <w:pStyle w:val="2"/>
        <w:rPr>
          <w:rFonts w:hint="eastAsia"/>
          <w:color w:val="auto"/>
        </w:rPr>
      </w:pPr>
    </w:p>
    <w:p w14:paraId="1F772DFC">
      <w:pPr>
        <w:rPr>
          <w:rFonts w:hint="eastAsia" w:ascii="宋体" w:hAnsi="宋体" w:cs="宋体"/>
          <w:color w:val="auto"/>
          <w:kern w:val="0"/>
          <w:sz w:val="24"/>
        </w:rPr>
      </w:pPr>
    </w:p>
    <w:p w14:paraId="475B53B3">
      <w:pPr>
        <w:rPr>
          <w:rFonts w:hint="eastAsia"/>
          <w:color w:val="auto"/>
        </w:rPr>
      </w:pPr>
    </w:p>
    <w:p w14:paraId="76BE659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 xml:space="preserve">甲方：（盖章）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乙方：（盖章）</w:t>
      </w:r>
    </w:p>
    <w:p w14:paraId="0633772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法定代表人/授权代表：              法定代表人/授权代表：</w:t>
      </w:r>
    </w:p>
    <w:p w14:paraId="4FCB142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地    址：                         地    址：</w:t>
      </w:r>
    </w:p>
    <w:p w14:paraId="1654907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开户银行：                         开户银行：</w:t>
      </w:r>
    </w:p>
    <w:p w14:paraId="365D996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账    号：                         账    号：</w:t>
      </w:r>
    </w:p>
    <w:p w14:paraId="0055F1F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电    话：                         电    话：</w:t>
      </w:r>
    </w:p>
    <w:p w14:paraId="265BA40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rPr>
      </w:pPr>
      <w:r>
        <w:rPr>
          <w:rFonts w:hint="eastAsia" w:ascii="宋体" w:hAnsi="宋体" w:cs="宋体"/>
          <w:color w:val="auto"/>
          <w:kern w:val="0"/>
          <w:sz w:val="24"/>
        </w:rPr>
        <w:t>传    真：                         传    真：</w:t>
      </w:r>
    </w:p>
    <w:p w14:paraId="002AB130">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kern w:val="0"/>
          <w:sz w:val="24"/>
          <w:lang w:val="en-US" w:eastAsia="zh-CN"/>
        </w:rPr>
        <w:t>签订</w:t>
      </w:r>
      <w:r>
        <w:rPr>
          <w:rFonts w:hint="eastAsia" w:ascii="宋体" w:hAnsi="宋体" w:cs="宋体"/>
          <w:color w:val="auto"/>
          <w:kern w:val="0"/>
          <w:sz w:val="24"/>
        </w:rPr>
        <w:t xml:space="preserve">日期：  年   月  日 </w:t>
      </w:r>
      <w:r>
        <w:rPr>
          <w:rFonts w:hint="eastAsia" w:ascii="宋体" w:hAnsi="宋体" w:cs="宋体"/>
          <w:color w:val="auto"/>
          <w:kern w:val="0"/>
          <w:sz w:val="24"/>
        </w:rPr>
        <w:tab/>
      </w:r>
      <w:r>
        <w:rPr>
          <w:rFonts w:hint="eastAsia" w:ascii="宋体" w:hAnsi="宋体" w:cs="宋体"/>
          <w:color w:val="auto"/>
          <w:kern w:val="0"/>
          <w:sz w:val="24"/>
        </w:rPr>
        <w:tab/>
      </w:r>
      <w:r>
        <w:rPr>
          <w:rFonts w:hint="eastAsia" w:ascii="宋体" w:hAnsi="宋体" w:cs="宋体"/>
          <w:color w:val="auto"/>
          <w:kern w:val="0"/>
          <w:sz w:val="24"/>
        </w:rPr>
        <w:t xml:space="preserve">    </w:t>
      </w:r>
      <w:r>
        <w:rPr>
          <w:rFonts w:hint="eastAsia" w:ascii="宋体" w:hAnsi="宋体" w:cs="宋体"/>
          <w:color w:val="auto"/>
          <w:kern w:val="0"/>
          <w:sz w:val="24"/>
          <w:lang w:val="en-US" w:eastAsia="zh-CN"/>
        </w:rPr>
        <w:t>签订</w:t>
      </w:r>
      <w:r>
        <w:rPr>
          <w:rFonts w:hint="eastAsia" w:ascii="宋体" w:hAnsi="宋体" w:cs="宋体"/>
          <w:color w:val="auto"/>
          <w:kern w:val="0"/>
          <w:sz w:val="24"/>
        </w:rPr>
        <w:t>日期：  年  月   日</w:t>
      </w:r>
    </w:p>
    <w:p w14:paraId="5ECDA5EC">
      <w:pPr>
        <w:jc w:val="center"/>
        <w:rPr>
          <w:b/>
          <w:bCs/>
          <w:color w:val="auto"/>
          <w:sz w:val="28"/>
          <w:szCs w:val="28"/>
        </w:rPr>
      </w:pPr>
    </w:p>
    <w:p w14:paraId="1AC04D8A">
      <w:pPr>
        <w:pStyle w:val="6"/>
        <w:rPr>
          <w:rFonts w:hint="default"/>
          <w:color w:val="auto"/>
          <w:lang w:eastAsia="zh-CN"/>
        </w:rPr>
      </w:pPr>
      <w:r>
        <w:rPr>
          <w:color w:val="auto"/>
          <w:lang w:eastAsia="zh-CN"/>
        </w:rPr>
        <w:br w:type="textWrapping"/>
      </w:r>
    </w:p>
    <w:p w14:paraId="03D5BFB9">
      <w:pPr>
        <w:snapToGrid w:val="0"/>
        <w:spacing w:line="360" w:lineRule="auto"/>
        <w:jc w:val="both"/>
        <w:rPr>
          <w:rFonts w:hint="eastAsia"/>
          <w:color w:val="auto"/>
          <w:highlight w:val="none"/>
          <w:lang w:eastAsia="zh-CN"/>
        </w:rPr>
      </w:pPr>
    </w:p>
    <w:p w14:paraId="6CC9E4BE">
      <w:pPr>
        <w:rPr>
          <w:color w:val="auto"/>
        </w:rPr>
      </w:pPr>
    </w:p>
    <w:p w14:paraId="0D59C796">
      <w:pPr>
        <w:pStyle w:val="6"/>
        <w:rPr>
          <w:rFonts w:ascii="仿宋_GB2312" w:hAnsi="仿宋_GB2312" w:eastAsia="仿宋_GB2312" w:cs="仿宋_GB2312"/>
          <w:color w:val="auto"/>
        </w:rPr>
      </w:pPr>
    </w:p>
    <w:p w14:paraId="691D85AA">
      <w:pPr>
        <w:pStyle w:val="6"/>
        <w:rPr>
          <w:rFonts w:hint="eastAsia"/>
          <w:color w:val="auto"/>
          <w:lang w:val="en-US" w:eastAsia="zh-Hans"/>
        </w:rPr>
      </w:pPr>
    </w:p>
    <w:p w14:paraId="10E8C82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236372"/>
    <w:rsid w:val="0C441966"/>
    <w:rsid w:val="2FE31855"/>
    <w:rsid w:val="3D236372"/>
    <w:rsid w:val="3D7A6E14"/>
    <w:rsid w:val="42331903"/>
    <w:rsid w:val="4EA50814"/>
    <w:rsid w:val="58523085"/>
    <w:rsid w:val="673267CD"/>
    <w:rsid w:val="78AB5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8"/>
      <w:szCs w:val="18"/>
      <w:lang w:val="en-US" w:eastAsia="en-US" w:bidi="ar-SA"/>
    </w:rPr>
  </w:style>
  <w:style w:type="paragraph" w:styleId="3">
    <w:name w:val="Date"/>
    <w:basedOn w:val="1"/>
    <w:next w:val="1"/>
    <w:qFormat/>
    <w:uiPriority w:val="0"/>
    <w:pPr>
      <w:adjustRightInd w:val="0"/>
      <w:spacing w:line="312" w:lineRule="atLeast"/>
      <w:textAlignment w:val="baseline"/>
    </w:pPr>
    <w:rPr>
      <w:rFonts w:eastAsia="楷体_GB2312"/>
      <w:b/>
      <w:kern w:val="0"/>
      <w:szCs w:val="20"/>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2266</Words>
  <Characters>2396</Characters>
  <Lines>0</Lines>
  <Paragraphs>0</Paragraphs>
  <TotalTime>0</TotalTime>
  <ScaleCrop>false</ScaleCrop>
  <LinksUpToDate>false</LinksUpToDate>
  <CharactersWithSpaces>2710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2026-04-02T06:14:00Z</dcterms:created>
  <dc:creator>知子</dc:creator>
  <cp:lastModifiedBy>知子</cp:lastModifiedBy>
  <dcterms:modified xsi:type="dcterms:W3CDTF">2026-05-07T00:28:51Z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F7B344C1BBFC49DCA0F4997ED583A2DE_11</vt:lpwstr>
  </property>
  <property fmtid="{D5CDD505-2E9C-101B-9397-08002B2CF9AE}" pid="4" name="KSOTemplateDocerSaveRecord">
    <vt:lpwstr>eyJoZGlkIjoiMmQyYzYzYTI2MjQ2OGY1N2ZmZWYxOGNiNTQwMjNiYmYiLCJ1c2VySWQiOiI0ODM2OTkwMzcifQ==</vt:lpwstr>
  </property>
</Properties>
</file>