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C24200">
      <w:pPr>
        <w:jc w:val="center"/>
        <w:rPr>
          <w:rFonts w:hint="eastAsia" w:ascii="仿宋" w:hAnsi="仿宋" w:eastAsia="仿宋" w:cs="仿宋"/>
          <w:b/>
          <w:bCs/>
          <w:sz w:val="36"/>
          <w:szCs w:val="44"/>
          <w:lang w:val="en-US" w:eastAsia="zh-CN"/>
        </w:rPr>
      </w:pPr>
      <w:r>
        <w:rPr>
          <w:rFonts w:hint="eastAsia" w:ascii="仿宋" w:hAnsi="仿宋" w:eastAsia="仿宋" w:cs="仿宋"/>
          <w:b/>
          <w:bCs/>
          <w:sz w:val="36"/>
          <w:szCs w:val="44"/>
          <w:lang w:val="en-US" w:eastAsia="zh-CN"/>
        </w:rPr>
        <w:t>采购需求</w:t>
      </w:r>
    </w:p>
    <w:p w14:paraId="52D4ED36">
      <w:pPr>
        <w:pStyle w:val="7"/>
        <w:spacing w:before="75"/>
        <w:ind w:left="495"/>
        <w:jc w:val="left"/>
      </w:pPr>
      <w:r>
        <w:rPr>
          <w:rFonts w:ascii="仿宋_GB2312" w:hAnsi="仿宋_GB2312" w:eastAsia="仿宋_GB2312" w:cs="仿宋_GB2312"/>
          <w:color w:val="000000"/>
          <w:sz w:val="30"/>
        </w:rPr>
        <w:t>一、投保范围</w:t>
      </w:r>
    </w:p>
    <w:p w14:paraId="1189D560">
      <w:pPr>
        <w:pStyle w:val="7"/>
        <w:ind w:firstLine="600"/>
        <w:jc w:val="left"/>
      </w:pPr>
      <w:r>
        <w:rPr>
          <w:rFonts w:ascii="仿宋_GB2312" w:hAnsi="仿宋_GB2312" w:eastAsia="仿宋_GB2312" w:cs="仿宋_GB2312"/>
          <w:color w:val="000000"/>
          <w:sz w:val="30"/>
        </w:rPr>
        <w:t>1、灞桥教育局辖区公、民办中小学及幼儿园学生 (以 2026 年9 月实际注册人数为准) ，公、 民办中小学及幼儿园在职教职工 (以 2026年9 月学校实际投保教职工人数为准) ，本次保险内容为：</w:t>
      </w:r>
    </w:p>
    <w:p w14:paraId="1950D51E">
      <w:pPr>
        <w:pStyle w:val="7"/>
        <w:ind w:firstLine="600"/>
        <w:jc w:val="left"/>
      </w:pPr>
      <w:r>
        <w:rPr>
          <w:rFonts w:ascii="仿宋_GB2312" w:hAnsi="仿宋_GB2312" w:eastAsia="仿宋_GB2312" w:cs="仿宋_GB2312"/>
          <w:color w:val="000000"/>
          <w:sz w:val="30"/>
        </w:rPr>
        <w:t>(1) 校 (园) 方责任险每生每年保费 7 元。</w:t>
      </w:r>
    </w:p>
    <w:p w14:paraId="75E0B357">
      <w:pPr>
        <w:pStyle w:val="7"/>
        <w:ind w:firstLine="600"/>
        <w:jc w:val="left"/>
      </w:pPr>
      <w:r>
        <w:rPr>
          <w:rFonts w:ascii="仿宋_GB2312" w:hAnsi="仿宋_GB2312" w:eastAsia="仿宋_GB2312" w:cs="仿宋_GB2312"/>
          <w:color w:val="000000"/>
          <w:sz w:val="30"/>
        </w:rPr>
        <w:t>(2) 校 (园) 方无过失责任险每生每年保费 3 元。</w:t>
      </w:r>
    </w:p>
    <w:p w14:paraId="5BFEB051">
      <w:pPr>
        <w:pStyle w:val="7"/>
        <w:ind w:firstLine="600"/>
        <w:jc w:val="left"/>
      </w:pPr>
      <w:r>
        <w:rPr>
          <w:rFonts w:ascii="仿宋_GB2312" w:hAnsi="仿宋_GB2312" w:eastAsia="仿宋_GB2312" w:cs="仿宋_GB2312"/>
          <w:color w:val="000000"/>
          <w:sz w:val="30"/>
        </w:rPr>
        <w:t>(3) 每生每年单人保费 10 元/人。</w:t>
      </w:r>
    </w:p>
    <w:p w14:paraId="71254F85">
      <w:pPr>
        <w:pStyle w:val="7"/>
        <w:ind w:firstLine="600"/>
        <w:jc w:val="left"/>
      </w:pPr>
      <w:r>
        <w:rPr>
          <w:rFonts w:ascii="仿宋_GB2312" w:hAnsi="仿宋_GB2312" w:eastAsia="仿宋_GB2312" w:cs="仿宋_GB2312"/>
          <w:color w:val="000000"/>
          <w:sz w:val="30"/>
        </w:rPr>
        <w:t>(4) 教职员工校 (园) 方责任险每人每年保费 50 元。</w:t>
      </w:r>
    </w:p>
    <w:tbl>
      <w:tblPr>
        <w:tblStyle w:val="5"/>
        <w:tblW w:w="0" w:type="auto"/>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7"/>
        <w:gridCol w:w="2088"/>
        <w:gridCol w:w="4881"/>
        <w:gridCol w:w="1333"/>
      </w:tblGrid>
      <w:tr w14:paraId="6230E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1297" w:type="dxa"/>
            <w:tcMar>
              <w:top w:w="0" w:type="dxa"/>
              <w:left w:w="0" w:type="dxa"/>
              <w:bottom w:w="0" w:type="dxa"/>
              <w:right w:w="0" w:type="dxa"/>
            </w:tcMar>
            <w:vAlign w:val="top"/>
          </w:tcPr>
          <w:p w14:paraId="77A5D6CF">
            <w:pPr>
              <w:pStyle w:val="7"/>
              <w:keepNext w:val="0"/>
              <w:keepLines w:val="0"/>
              <w:pageBreakBefore w:val="0"/>
              <w:widowControl/>
              <w:kinsoku/>
              <w:wordWrap/>
              <w:overflowPunct/>
              <w:topLinePunct w:val="0"/>
              <w:autoSpaceDE/>
              <w:autoSpaceDN/>
              <w:bidi w:val="0"/>
              <w:adjustRightInd w:val="0"/>
              <w:snapToGrid w:val="0"/>
              <w:spacing w:line="240" w:lineRule="auto"/>
              <w:jc w:val="center"/>
              <w:textAlignment w:val="auto"/>
            </w:pPr>
            <w:r>
              <w:rPr>
                <w:rFonts w:ascii="仿宋_GB2312" w:hAnsi="仿宋_GB2312" w:eastAsia="仿宋_GB2312" w:cs="仿宋_GB2312"/>
                <w:color w:val="000000"/>
                <w:sz w:val="28"/>
              </w:rPr>
              <w:t>保障项目保</w:t>
            </w:r>
          </w:p>
        </w:tc>
        <w:tc>
          <w:tcPr>
            <w:tcW w:w="6969" w:type="dxa"/>
            <w:gridSpan w:val="2"/>
            <w:tcMar>
              <w:top w:w="0" w:type="dxa"/>
              <w:left w:w="0" w:type="dxa"/>
              <w:bottom w:w="0" w:type="dxa"/>
              <w:right w:w="0" w:type="dxa"/>
            </w:tcMar>
            <w:vAlign w:val="top"/>
          </w:tcPr>
          <w:p w14:paraId="0F0EB49C">
            <w:pPr>
              <w:pStyle w:val="7"/>
              <w:spacing w:line="240" w:lineRule="auto"/>
              <w:jc w:val="center"/>
            </w:pPr>
            <w:r>
              <w:rPr>
                <w:rFonts w:ascii="仿宋_GB2312" w:hAnsi="仿宋_GB2312" w:eastAsia="仿宋_GB2312" w:cs="仿宋_GB2312"/>
                <w:color w:val="000000"/>
                <w:sz w:val="28"/>
              </w:rPr>
              <w:t>保障金额</w:t>
            </w:r>
          </w:p>
        </w:tc>
        <w:tc>
          <w:tcPr>
            <w:tcW w:w="1333" w:type="dxa"/>
            <w:tcMar>
              <w:top w:w="0" w:type="dxa"/>
              <w:left w:w="0" w:type="dxa"/>
              <w:bottom w:w="0" w:type="dxa"/>
              <w:right w:w="0" w:type="dxa"/>
            </w:tcMar>
            <w:vAlign w:val="top"/>
          </w:tcPr>
          <w:p w14:paraId="4A493EC0">
            <w:pPr>
              <w:pStyle w:val="7"/>
              <w:keepNext w:val="0"/>
              <w:keepLines w:val="0"/>
              <w:pageBreakBefore w:val="0"/>
              <w:widowControl/>
              <w:kinsoku/>
              <w:wordWrap/>
              <w:overflowPunct/>
              <w:topLinePunct w:val="0"/>
              <w:autoSpaceDE/>
              <w:autoSpaceDN/>
              <w:bidi w:val="0"/>
              <w:adjustRightInd w:val="0"/>
              <w:snapToGrid w:val="0"/>
              <w:spacing w:line="240" w:lineRule="auto"/>
              <w:jc w:val="center"/>
              <w:textAlignment w:val="auto"/>
            </w:pPr>
            <w:r>
              <w:rPr>
                <w:rFonts w:ascii="仿宋_GB2312" w:hAnsi="仿宋_GB2312" w:eastAsia="仿宋_GB2312" w:cs="仿宋_GB2312"/>
                <w:color w:val="000000"/>
                <w:sz w:val="28"/>
              </w:rPr>
              <w:t>单人保费标准</w:t>
            </w:r>
          </w:p>
        </w:tc>
      </w:tr>
      <w:tr w14:paraId="6E273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297" w:type="dxa"/>
            <w:vMerge w:val="restart"/>
            <w:tcMar>
              <w:top w:w="0" w:type="dxa"/>
              <w:left w:w="0" w:type="dxa"/>
              <w:bottom w:w="0" w:type="dxa"/>
              <w:right w:w="0" w:type="dxa"/>
            </w:tcMar>
            <w:vAlign w:val="top"/>
          </w:tcPr>
          <w:p w14:paraId="524390E1">
            <w:pPr>
              <w:pStyle w:val="7"/>
              <w:spacing w:line="240" w:lineRule="auto"/>
              <w:jc w:val="center"/>
            </w:pPr>
            <w:r>
              <w:rPr>
                <w:rFonts w:ascii="仿宋_GB2312" w:hAnsi="仿宋_GB2312" w:eastAsia="仿宋_GB2312" w:cs="仿宋_GB2312"/>
                <w:color w:val="000000"/>
                <w:sz w:val="28"/>
              </w:rPr>
              <w:t>学生校方责任险</w:t>
            </w:r>
          </w:p>
        </w:tc>
        <w:tc>
          <w:tcPr>
            <w:tcW w:w="6969" w:type="dxa"/>
            <w:gridSpan w:val="2"/>
            <w:tcMar>
              <w:top w:w="0" w:type="dxa"/>
              <w:left w:w="0" w:type="dxa"/>
              <w:bottom w:w="0" w:type="dxa"/>
              <w:right w:w="0" w:type="dxa"/>
            </w:tcMar>
            <w:vAlign w:val="top"/>
          </w:tcPr>
          <w:p w14:paraId="610C96D4">
            <w:pPr>
              <w:pStyle w:val="7"/>
              <w:spacing w:line="240" w:lineRule="auto"/>
              <w:jc w:val="both"/>
            </w:pPr>
            <w:r>
              <w:rPr>
                <w:rFonts w:ascii="仿宋_GB2312" w:hAnsi="仿宋_GB2312" w:eastAsia="仿宋_GB2312" w:cs="仿宋_GB2312"/>
                <w:color w:val="000000"/>
                <w:sz w:val="28"/>
              </w:rPr>
              <w:t>①每生每年累计赔偿限额≥55万元</w:t>
            </w:r>
          </w:p>
        </w:tc>
        <w:tc>
          <w:tcPr>
            <w:tcW w:w="1333" w:type="dxa"/>
            <w:vMerge w:val="restart"/>
            <w:tcMar>
              <w:top w:w="0" w:type="dxa"/>
              <w:left w:w="0" w:type="dxa"/>
              <w:bottom w:w="0" w:type="dxa"/>
              <w:right w:w="0" w:type="dxa"/>
            </w:tcMar>
            <w:vAlign w:val="center"/>
          </w:tcPr>
          <w:p w14:paraId="653794FA">
            <w:pPr>
              <w:pStyle w:val="7"/>
              <w:spacing w:line="240" w:lineRule="auto"/>
              <w:jc w:val="center"/>
            </w:pPr>
            <w:r>
              <w:rPr>
                <w:rFonts w:ascii="仿宋_GB2312" w:hAnsi="仿宋_GB2312" w:eastAsia="仿宋_GB2312" w:cs="仿宋_GB2312"/>
                <w:color w:val="000000"/>
                <w:sz w:val="24"/>
              </w:rPr>
              <w:t>7元/人</w:t>
            </w:r>
          </w:p>
        </w:tc>
      </w:tr>
      <w:tr w14:paraId="039B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297" w:type="dxa"/>
            <w:vMerge w:val="continue"/>
            <w:tcMar>
              <w:top w:w="0" w:type="dxa"/>
              <w:left w:w="0" w:type="dxa"/>
              <w:bottom w:w="0" w:type="dxa"/>
              <w:right w:w="0" w:type="dxa"/>
            </w:tcMar>
            <w:vAlign w:val="top"/>
          </w:tcPr>
          <w:p w14:paraId="66DEE904">
            <w:pPr>
              <w:pStyle w:val="7"/>
              <w:spacing w:line="240" w:lineRule="auto"/>
              <w:jc w:val="center"/>
              <w:rPr>
                <w:rFonts w:ascii="仿宋_GB2312" w:hAnsi="仿宋_GB2312" w:eastAsia="仿宋_GB2312" w:cs="仿宋_GB2312"/>
                <w:color w:val="000000"/>
                <w:sz w:val="28"/>
              </w:rPr>
            </w:pPr>
          </w:p>
        </w:tc>
        <w:tc>
          <w:tcPr>
            <w:tcW w:w="6969" w:type="dxa"/>
            <w:gridSpan w:val="2"/>
            <w:tcMar>
              <w:top w:w="0" w:type="dxa"/>
              <w:left w:w="0" w:type="dxa"/>
              <w:bottom w:w="0" w:type="dxa"/>
              <w:right w:w="0" w:type="dxa"/>
            </w:tcMar>
            <w:vAlign w:val="top"/>
          </w:tcPr>
          <w:p w14:paraId="722F4E1A">
            <w:pPr>
              <w:pStyle w:val="7"/>
              <w:spacing w:line="240" w:lineRule="auto"/>
              <w:jc w:val="both"/>
              <w:rPr>
                <w:rFonts w:ascii="仿宋_GB2312" w:hAnsi="仿宋_GB2312" w:eastAsia="仿宋_GB2312" w:cs="仿宋_GB2312"/>
                <w:color w:val="000000"/>
                <w:sz w:val="28"/>
              </w:rPr>
            </w:pPr>
            <w:r>
              <w:rPr>
                <w:rFonts w:ascii="仿宋_GB2312" w:hAnsi="仿宋_GB2312" w:eastAsia="仿宋_GB2312" w:cs="仿宋_GB2312"/>
                <w:color w:val="000000"/>
                <w:sz w:val="28"/>
              </w:rPr>
              <w:t>②每所学校每次事故赔偿限额≥800万元</w:t>
            </w:r>
          </w:p>
        </w:tc>
        <w:tc>
          <w:tcPr>
            <w:tcW w:w="1333" w:type="dxa"/>
            <w:vMerge w:val="continue"/>
            <w:tcMar>
              <w:top w:w="0" w:type="dxa"/>
              <w:left w:w="0" w:type="dxa"/>
              <w:bottom w:w="0" w:type="dxa"/>
              <w:right w:w="0" w:type="dxa"/>
            </w:tcMar>
            <w:vAlign w:val="center"/>
          </w:tcPr>
          <w:p w14:paraId="5567ED19">
            <w:pPr>
              <w:pStyle w:val="7"/>
              <w:spacing w:line="240" w:lineRule="auto"/>
              <w:jc w:val="center"/>
              <w:rPr>
                <w:rFonts w:ascii="仿宋_GB2312" w:hAnsi="仿宋_GB2312" w:eastAsia="仿宋_GB2312" w:cs="仿宋_GB2312"/>
                <w:color w:val="000000"/>
                <w:sz w:val="24"/>
              </w:rPr>
            </w:pPr>
          </w:p>
        </w:tc>
      </w:tr>
      <w:tr w14:paraId="12F3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97" w:type="dxa"/>
            <w:vMerge w:val="restart"/>
            <w:tcMar>
              <w:top w:w="0" w:type="dxa"/>
              <w:left w:w="0" w:type="dxa"/>
              <w:bottom w:w="0" w:type="dxa"/>
              <w:right w:w="0" w:type="dxa"/>
            </w:tcMar>
            <w:vAlign w:val="top"/>
          </w:tcPr>
          <w:p w14:paraId="48DD687F">
            <w:pPr>
              <w:pStyle w:val="7"/>
              <w:spacing w:line="240" w:lineRule="auto"/>
              <w:jc w:val="center"/>
            </w:pPr>
            <w:r>
              <w:rPr>
                <w:rFonts w:ascii="仿宋_GB2312" w:hAnsi="仿宋_GB2312" w:eastAsia="仿宋_GB2312" w:cs="仿宋_GB2312"/>
                <w:color w:val="000000"/>
                <w:sz w:val="28"/>
              </w:rPr>
              <w:t>学生无过</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8"/>
              </w:rPr>
              <w:t>失责任险</w:t>
            </w:r>
          </w:p>
        </w:tc>
        <w:tc>
          <w:tcPr>
            <w:tcW w:w="6969" w:type="dxa"/>
            <w:gridSpan w:val="2"/>
            <w:tcMar>
              <w:top w:w="0" w:type="dxa"/>
              <w:left w:w="0" w:type="dxa"/>
              <w:bottom w:w="0" w:type="dxa"/>
              <w:right w:w="0" w:type="dxa"/>
            </w:tcMar>
            <w:vAlign w:val="top"/>
          </w:tcPr>
          <w:p w14:paraId="06F48426">
            <w:pPr>
              <w:pStyle w:val="7"/>
              <w:spacing w:line="240" w:lineRule="auto"/>
              <w:jc w:val="both"/>
            </w:pPr>
            <w:r>
              <w:rPr>
                <w:rFonts w:ascii="仿宋_GB2312" w:hAnsi="仿宋_GB2312" w:eastAsia="仿宋_GB2312" w:cs="仿宋_GB2312"/>
                <w:color w:val="000000"/>
                <w:sz w:val="28"/>
              </w:rPr>
              <w:t>③每生每年累计赔偿限额≥15万元</w:t>
            </w:r>
          </w:p>
        </w:tc>
        <w:tc>
          <w:tcPr>
            <w:tcW w:w="1333" w:type="dxa"/>
            <w:vMerge w:val="restart"/>
            <w:tcMar>
              <w:top w:w="0" w:type="dxa"/>
              <w:left w:w="0" w:type="dxa"/>
              <w:bottom w:w="0" w:type="dxa"/>
              <w:right w:w="0" w:type="dxa"/>
            </w:tcMar>
            <w:vAlign w:val="center"/>
          </w:tcPr>
          <w:p w14:paraId="75D4DE33">
            <w:pPr>
              <w:pStyle w:val="7"/>
              <w:spacing w:line="240" w:lineRule="auto"/>
              <w:jc w:val="center"/>
            </w:pPr>
            <w:r>
              <w:rPr>
                <w:rFonts w:ascii="仿宋_GB2312" w:hAnsi="仿宋_GB2312" w:eastAsia="仿宋_GB2312" w:cs="仿宋_GB2312"/>
                <w:color w:val="000000"/>
                <w:sz w:val="24"/>
              </w:rPr>
              <w:t>3元/人</w:t>
            </w:r>
          </w:p>
        </w:tc>
      </w:tr>
      <w:tr w14:paraId="59D56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97" w:type="dxa"/>
            <w:vMerge w:val="continue"/>
            <w:tcMar>
              <w:top w:w="0" w:type="dxa"/>
              <w:left w:w="0" w:type="dxa"/>
              <w:bottom w:w="0" w:type="dxa"/>
              <w:right w:w="0" w:type="dxa"/>
            </w:tcMar>
            <w:vAlign w:val="top"/>
          </w:tcPr>
          <w:p w14:paraId="36FF5363">
            <w:pPr>
              <w:pStyle w:val="7"/>
              <w:spacing w:line="240" w:lineRule="auto"/>
              <w:jc w:val="center"/>
              <w:rPr>
                <w:rFonts w:ascii="仿宋_GB2312" w:hAnsi="仿宋_GB2312" w:eastAsia="仿宋_GB2312" w:cs="仿宋_GB2312"/>
                <w:color w:val="000000"/>
                <w:sz w:val="28"/>
              </w:rPr>
            </w:pPr>
          </w:p>
        </w:tc>
        <w:tc>
          <w:tcPr>
            <w:tcW w:w="6969" w:type="dxa"/>
            <w:gridSpan w:val="2"/>
            <w:tcMar>
              <w:top w:w="0" w:type="dxa"/>
              <w:left w:w="0" w:type="dxa"/>
              <w:bottom w:w="0" w:type="dxa"/>
              <w:right w:w="0" w:type="dxa"/>
            </w:tcMar>
            <w:vAlign w:val="top"/>
          </w:tcPr>
          <w:p w14:paraId="068BF33A">
            <w:pPr>
              <w:pStyle w:val="7"/>
              <w:spacing w:line="240" w:lineRule="auto"/>
              <w:jc w:val="both"/>
              <w:rPr>
                <w:rFonts w:ascii="仿宋_GB2312" w:hAnsi="仿宋_GB2312" w:eastAsia="仿宋_GB2312" w:cs="仿宋_GB2312"/>
                <w:color w:val="000000"/>
                <w:sz w:val="28"/>
              </w:rPr>
            </w:pPr>
            <w:r>
              <w:rPr>
                <w:rFonts w:ascii="仿宋_GB2312" w:hAnsi="仿宋_GB2312" w:eastAsia="仿宋_GB2312" w:cs="仿宋_GB2312"/>
                <w:color w:val="000000"/>
                <w:sz w:val="28"/>
              </w:rPr>
              <w:t>④每所学校每次事故赔偿限额≥100万元</w:t>
            </w:r>
          </w:p>
        </w:tc>
        <w:tc>
          <w:tcPr>
            <w:tcW w:w="1333" w:type="dxa"/>
            <w:vMerge w:val="continue"/>
            <w:tcBorders/>
            <w:tcMar>
              <w:top w:w="0" w:type="dxa"/>
              <w:left w:w="0" w:type="dxa"/>
              <w:bottom w:w="0" w:type="dxa"/>
              <w:right w:w="0" w:type="dxa"/>
            </w:tcMar>
            <w:vAlign w:val="top"/>
          </w:tcPr>
          <w:p w14:paraId="0F7871ED">
            <w:pPr>
              <w:pStyle w:val="7"/>
              <w:spacing w:line="240" w:lineRule="auto"/>
              <w:jc w:val="center"/>
              <w:rPr>
                <w:rFonts w:ascii="仿宋_GB2312" w:hAnsi="仿宋_GB2312" w:eastAsia="仿宋_GB2312" w:cs="仿宋_GB2312"/>
                <w:color w:val="000000"/>
                <w:sz w:val="24"/>
              </w:rPr>
            </w:pPr>
          </w:p>
        </w:tc>
      </w:tr>
      <w:tr w14:paraId="2CC89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97" w:type="dxa"/>
            <w:vMerge w:val="restart"/>
            <w:tcMar>
              <w:top w:w="0" w:type="dxa"/>
              <w:left w:w="0" w:type="dxa"/>
              <w:bottom w:w="0" w:type="dxa"/>
              <w:right w:w="0" w:type="dxa"/>
            </w:tcMar>
            <w:vAlign w:val="top"/>
          </w:tcPr>
          <w:p w14:paraId="531531BE">
            <w:pPr>
              <w:pStyle w:val="7"/>
              <w:spacing w:line="240" w:lineRule="auto"/>
              <w:jc w:val="center"/>
            </w:pPr>
            <w:r>
              <w:rPr>
                <w:rFonts w:ascii="仿宋_GB2312" w:hAnsi="仿宋_GB2312" w:eastAsia="仿宋_GB2312" w:cs="仿宋_GB2312"/>
                <w:color w:val="000000"/>
                <w:sz w:val="28"/>
              </w:rPr>
              <w:t>学生校方</w:t>
            </w:r>
          </w:p>
          <w:p w14:paraId="00C0DD0E">
            <w:pPr>
              <w:pStyle w:val="7"/>
              <w:spacing w:line="240" w:lineRule="auto"/>
              <w:jc w:val="center"/>
            </w:pPr>
            <w:r>
              <w:rPr>
                <w:rFonts w:ascii="仿宋_GB2312" w:hAnsi="仿宋_GB2312" w:eastAsia="仿宋_GB2312" w:cs="仿宋_GB2312"/>
                <w:color w:val="000000"/>
                <w:sz w:val="28"/>
              </w:rPr>
              <w:t>责任险特</w:t>
            </w:r>
          </w:p>
          <w:p w14:paraId="38E6B50B">
            <w:pPr>
              <w:pStyle w:val="7"/>
              <w:spacing w:line="240" w:lineRule="auto"/>
              <w:jc w:val="center"/>
            </w:pPr>
            <w:r>
              <w:rPr>
                <w:rFonts w:ascii="仿宋_GB2312" w:hAnsi="仿宋_GB2312" w:eastAsia="仿宋_GB2312" w:cs="仿宋_GB2312"/>
                <w:color w:val="000000"/>
                <w:sz w:val="28"/>
              </w:rPr>
              <w:t>别约定</w:t>
            </w:r>
          </w:p>
        </w:tc>
        <w:tc>
          <w:tcPr>
            <w:tcW w:w="2088" w:type="dxa"/>
            <w:vMerge w:val="restart"/>
            <w:tcMar>
              <w:top w:w="0" w:type="dxa"/>
              <w:left w:w="0" w:type="dxa"/>
              <w:bottom w:w="0" w:type="dxa"/>
              <w:right w:w="0" w:type="dxa"/>
            </w:tcMar>
            <w:vAlign w:val="top"/>
          </w:tcPr>
          <w:p w14:paraId="47980BCC">
            <w:pPr>
              <w:pStyle w:val="7"/>
              <w:spacing w:line="240" w:lineRule="auto"/>
              <w:jc w:val="both"/>
            </w:pPr>
            <w:r>
              <w:rPr>
                <w:rFonts w:ascii="仿宋_GB2312" w:hAnsi="仿宋_GB2312" w:eastAsia="仿宋_GB2312" w:cs="仿宋_GB2312"/>
                <w:color w:val="000000"/>
                <w:sz w:val="28"/>
              </w:rPr>
              <w:t>⑤在校内发生的自杀、 自伤、 打架、斗 殴、精神损 害事故医疗费用赔 偿限额</w:t>
            </w:r>
          </w:p>
        </w:tc>
        <w:tc>
          <w:tcPr>
            <w:tcW w:w="4881" w:type="dxa"/>
            <w:tcMar>
              <w:top w:w="0" w:type="dxa"/>
              <w:left w:w="0" w:type="dxa"/>
              <w:bottom w:w="0" w:type="dxa"/>
              <w:right w:w="0" w:type="dxa"/>
            </w:tcMar>
            <w:vAlign w:val="top"/>
          </w:tcPr>
          <w:p w14:paraId="51B32CE7">
            <w:pPr>
              <w:pStyle w:val="7"/>
              <w:spacing w:line="240" w:lineRule="auto"/>
              <w:ind w:firstLine="30"/>
              <w:jc w:val="both"/>
            </w:pPr>
            <w:r>
              <w:rPr>
                <w:rFonts w:ascii="仿宋_GB2312" w:hAnsi="仿宋_GB2312" w:eastAsia="仿宋_GB2312" w:cs="仿宋_GB2312"/>
                <w:color w:val="000000"/>
                <w:sz w:val="28"/>
              </w:rPr>
              <w:t>自杀、自伤事故每人赔偿限额≥10万元</w:t>
            </w:r>
          </w:p>
        </w:tc>
        <w:tc>
          <w:tcPr>
            <w:tcW w:w="1333" w:type="dxa"/>
            <w:vMerge w:val="restart"/>
            <w:tcMar>
              <w:top w:w="0" w:type="dxa"/>
              <w:left w:w="0" w:type="dxa"/>
              <w:bottom w:w="0" w:type="dxa"/>
              <w:right w:w="0" w:type="dxa"/>
            </w:tcMar>
            <w:vAlign w:val="top"/>
          </w:tcPr>
          <w:p w14:paraId="23F6E953">
            <w:pPr>
              <w:pStyle w:val="7"/>
              <w:spacing w:line="240" w:lineRule="auto"/>
              <w:jc w:val="center"/>
              <w:rPr>
                <w:rFonts w:hint="eastAsia" w:eastAsiaTheme="minorEastAsia"/>
                <w:lang w:val="en-US" w:eastAsia="zh-CN"/>
              </w:rPr>
            </w:pPr>
            <w:r>
              <w:rPr>
                <w:rFonts w:hint="eastAsia"/>
                <w:lang w:val="en-US" w:eastAsia="zh-CN"/>
              </w:rPr>
              <w:t>/</w:t>
            </w:r>
          </w:p>
        </w:tc>
      </w:tr>
      <w:tr w14:paraId="1FB4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297" w:type="dxa"/>
            <w:vMerge w:val="continue"/>
          </w:tcPr>
          <w:p w14:paraId="506863F7">
            <w:pPr>
              <w:spacing w:line="240" w:lineRule="auto"/>
            </w:pPr>
          </w:p>
        </w:tc>
        <w:tc>
          <w:tcPr>
            <w:tcW w:w="2088" w:type="dxa"/>
            <w:vMerge w:val="continue"/>
          </w:tcPr>
          <w:p w14:paraId="68E230A3">
            <w:pPr>
              <w:spacing w:line="240" w:lineRule="auto"/>
            </w:pPr>
          </w:p>
        </w:tc>
        <w:tc>
          <w:tcPr>
            <w:tcW w:w="4881" w:type="dxa"/>
            <w:tcMar>
              <w:top w:w="0" w:type="dxa"/>
              <w:left w:w="0" w:type="dxa"/>
              <w:bottom w:w="0" w:type="dxa"/>
              <w:right w:w="0" w:type="dxa"/>
            </w:tcMar>
            <w:vAlign w:val="top"/>
          </w:tcPr>
          <w:p w14:paraId="77205CF6">
            <w:pPr>
              <w:pStyle w:val="7"/>
              <w:spacing w:line="240" w:lineRule="auto"/>
              <w:jc w:val="both"/>
            </w:pPr>
            <w:r>
              <w:rPr>
                <w:rFonts w:ascii="仿宋_GB2312" w:hAnsi="仿宋_GB2312" w:eastAsia="仿宋_GB2312" w:cs="仿宋_GB2312"/>
                <w:color w:val="000000"/>
                <w:sz w:val="28"/>
              </w:rPr>
              <w:t>打架、斗殴事故每人赔偿限额≥6万元</w:t>
            </w:r>
          </w:p>
        </w:tc>
        <w:tc>
          <w:tcPr>
            <w:tcW w:w="1333" w:type="dxa"/>
            <w:vMerge w:val="continue"/>
          </w:tcPr>
          <w:p w14:paraId="0007AC73">
            <w:pPr>
              <w:spacing w:line="240" w:lineRule="auto"/>
            </w:pPr>
          </w:p>
        </w:tc>
      </w:tr>
      <w:tr w14:paraId="14F9D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76" w:hRule="atLeast"/>
        </w:trPr>
        <w:tc>
          <w:tcPr>
            <w:tcW w:w="1297" w:type="dxa"/>
            <w:vMerge w:val="continue"/>
          </w:tcPr>
          <w:p w14:paraId="68065685">
            <w:pPr>
              <w:spacing w:line="240" w:lineRule="auto"/>
            </w:pPr>
          </w:p>
        </w:tc>
        <w:tc>
          <w:tcPr>
            <w:tcW w:w="2088" w:type="dxa"/>
            <w:vMerge w:val="continue"/>
          </w:tcPr>
          <w:p w14:paraId="7E92B951">
            <w:pPr>
              <w:spacing w:line="240" w:lineRule="auto"/>
            </w:pPr>
          </w:p>
        </w:tc>
        <w:tc>
          <w:tcPr>
            <w:tcW w:w="4881" w:type="dxa"/>
            <w:tcMar>
              <w:top w:w="0" w:type="dxa"/>
              <w:left w:w="0" w:type="dxa"/>
              <w:bottom w:w="0" w:type="dxa"/>
              <w:right w:w="0" w:type="dxa"/>
            </w:tcMar>
            <w:vAlign w:val="top"/>
          </w:tcPr>
          <w:p w14:paraId="7A6A03BB">
            <w:pPr>
              <w:pStyle w:val="7"/>
              <w:spacing w:line="240" w:lineRule="auto"/>
              <w:jc w:val="both"/>
            </w:pPr>
            <w:r>
              <w:rPr>
                <w:rFonts w:ascii="仿宋_GB2312" w:hAnsi="仿宋_GB2312" w:eastAsia="仿宋_GB2312" w:cs="仿宋_GB2312"/>
                <w:color w:val="000000"/>
                <w:sz w:val="28"/>
              </w:rPr>
              <w:t>精神损害赔偿金每人赔</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8"/>
              </w:rPr>
              <w:t>偿限额≥0.2万元</w:t>
            </w:r>
          </w:p>
        </w:tc>
        <w:tc>
          <w:tcPr>
            <w:tcW w:w="1333" w:type="dxa"/>
            <w:vMerge w:val="continue"/>
          </w:tcPr>
          <w:p w14:paraId="1FB37E69">
            <w:pPr>
              <w:spacing w:line="240" w:lineRule="auto"/>
            </w:pPr>
          </w:p>
        </w:tc>
      </w:tr>
      <w:tr w14:paraId="00092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1297" w:type="dxa"/>
            <w:vMerge w:val="continue"/>
          </w:tcPr>
          <w:p w14:paraId="66F85711">
            <w:pPr>
              <w:spacing w:line="240" w:lineRule="auto"/>
            </w:pPr>
          </w:p>
        </w:tc>
        <w:tc>
          <w:tcPr>
            <w:tcW w:w="2088" w:type="dxa"/>
            <w:vMerge w:val="restart"/>
            <w:tcMar>
              <w:top w:w="0" w:type="dxa"/>
              <w:left w:w="0" w:type="dxa"/>
              <w:bottom w:w="0" w:type="dxa"/>
              <w:right w:w="0" w:type="dxa"/>
            </w:tcMar>
            <w:vAlign w:val="top"/>
          </w:tcPr>
          <w:p w14:paraId="3E717950">
            <w:pPr>
              <w:pStyle w:val="7"/>
              <w:spacing w:line="240" w:lineRule="auto"/>
              <w:jc w:val="both"/>
            </w:pPr>
            <w:r>
              <w:rPr>
                <w:rFonts w:ascii="仿宋_GB2312" w:hAnsi="仿宋_GB2312" w:eastAsia="仿宋_GB2312" w:cs="仿宋_GB2312"/>
                <w:color w:val="000000"/>
                <w:sz w:val="28"/>
              </w:rPr>
              <w:t>⑥在校内发生的磕牙事故后续治疗费赔偿限额</w:t>
            </w:r>
          </w:p>
        </w:tc>
        <w:tc>
          <w:tcPr>
            <w:tcW w:w="4881" w:type="dxa"/>
            <w:tcMar>
              <w:top w:w="0" w:type="dxa"/>
              <w:left w:w="0" w:type="dxa"/>
              <w:bottom w:w="0" w:type="dxa"/>
              <w:right w:w="0" w:type="dxa"/>
            </w:tcMar>
            <w:vAlign w:val="top"/>
          </w:tcPr>
          <w:p w14:paraId="0458871A">
            <w:pPr>
              <w:pStyle w:val="7"/>
              <w:spacing w:line="240" w:lineRule="auto"/>
              <w:ind w:left="30"/>
              <w:jc w:val="both"/>
            </w:pPr>
            <w:r>
              <w:rPr>
                <w:rFonts w:ascii="仿宋_GB2312" w:hAnsi="仿宋_GB2312" w:eastAsia="仿宋_GB2312" w:cs="仿宋_GB2312"/>
                <w:color w:val="000000"/>
                <w:sz w:val="28"/>
              </w:rPr>
              <w:t>种植牙每人每颗赔偿限额≥0.6万元</w:t>
            </w:r>
          </w:p>
        </w:tc>
        <w:tc>
          <w:tcPr>
            <w:tcW w:w="1333" w:type="dxa"/>
            <w:vMerge w:val="continue"/>
          </w:tcPr>
          <w:p w14:paraId="36AF4023">
            <w:pPr>
              <w:spacing w:line="240" w:lineRule="auto"/>
            </w:pPr>
          </w:p>
        </w:tc>
      </w:tr>
      <w:tr w14:paraId="56F1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1297" w:type="dxa"/>
            <w:vMerge w:val="continue"/>
          </w:tcPr>
          <w:p w14:paraId="29777FC8">
            <w:pPr>
              <w:spacing w:line="240" w:lineRule="auto"/>
            </w:pPr>
          </w:p>
        </w:tc>
        <w:tc>
          <w:tcPr>
            <w:tcW w:w="2088" w:type="dxa"/>
            <w:vMerge w:val="continue"/>
          </w:tcPr>
          <w:p w14:paraId="106A76AB">
            <w:pPr>
              <w:spacing w:line="240" w:lineRule="auto"/>
            </w:pPr>
          </w:p>
        </w:tc>
        <w:tc>
          <w:tcPr>
            <w:tcW w:w="4881" w:type="dxa"/>
            <w:tcMar>
              <w:top w:w="0" w:type="dxa"/>
              <w:left w:w="0" w:type="dxa"/>
              <w:bottom w:w="0" w:type="dxa"/>
              <w:right w:w="0" w:type="dxa"/>
            </w:tcMar>
            <w:vAlign w:val="top"/>
          </w:tcPr>
          <w:p w14:paraId="67C72F15">
            <w:pPr>
              <w:pStyle w:val="7"/>
              <w:spacing w:line="240" w:lineRule="auto"/>
              <w:ind w:left="30"/>
              <w:jc w:val="both"/>
            </w:pPr>
            <w:r>
              <w:rPr>
                <w:rFonts w:ascii="仿宋_GB2312" w:hAnsi="仿宋_GB2312" w:eastAsia="仿宋_GB2312" w:cs="仿宋_GB2312"/>
                <w:color w:val="000000"/>
                <w:sz w:val="28"/>
              </w:rPr>
              <w:t>牙冠治疗每人每颗赔偿限额≥0.3万元</w:t>
            </w:r>
          </w:p>
        </w:tc>
        <w:tc>
          <w:tcPr>
            <w:tcW w:w="1333" w:type="dxa"/>
            <w:vMerge w:val="continue"/>
          </w:tcPr>
          <w:p w14:paraId="2D376616">
            <w:pPr>
              <w:spacing w:line="240" w:lineRule="auto"/>
            </w:pPr>
          </w:p>
        </w:tc>
      </w:tr>
      <w:tr w14:paraId="676BB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96" w:hRule="atLeast"/>
        </w:trPr>
        <w:tc>
          <w:tcPr>
            <w:tcW w:w="1297" w:type="dxa"/>
            <w:vMerge w:val="continue"/>
          </w:tcPr>
          <w:p w14:paraId="653CCB79">
            <w:pPr>
              <w:spacing w:line="240" w:lineRule="auto"/>
            </w:pPr>
          </w:p>
        </w:tc>
        <w:tc>
          <w:tcPr>
            <w:tcW w:w="6969" w:type="dxa"/>
            <w:gridSpan w:val="2"/>
            <w:tcMar>
              <w:top w:w="0" w:type="dxa"/>
              <w:left w:w="0" w:type="dxa"/>
              <w:bottom w:w="0" w:type="dxa"/>
              <w:right w:w="0" w:type="dxa"/>
            </w:tcMar>
            <w:vAlign w:val="top"/>
          </w:tcPr>
          <w:p w14:paraId="6E9F4EF0">
            <w:pPr>
              <w:pStyle w:val="7"/>
              <w:spacing w:line="240" w:lineRule="auto"/>
              <w:ind w:left="30"/>
              <w:jc w:val="both"/>
            </w:pPr>
            <w:r>
              <w:rPr>
                <w:rFonts w:ascii="仿宋_GB2312" w:hAnsi="仿宋_GB2312" w:eastAsia="仿宋_GB2312" w:cs="仿宋_GB2312"/>
                <w:color w:val="000000"/>
                <w:sz w:val="28"/>
              </w:rPr>
              <w:t>⑦在校内发生的磕碰伤事故产生的必要的、合理的修复药品赔偿限额≥0.1万元</w:t>
            </w:r>
          </w:p>
        </w:tc>
        <w:tc>
          <w:tcPr>
            <w:tcW w:w="1333" w:type="dxa"/>
            <w:vMerge w:val="continue"/>
          </w:tcPr>
          <w:p w14:paraId="6D862B75">
            <w:pPr>
              <w:spacing w:line="240" w:lineRule="auto"/>
            </w:pPr>
          </w:p>
        </w:tc>
      </w:tr>
      <w:tr w14:paraId="4C81F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297" w:type="dxa"/>
            <w:vMerge w:val="restart"/>
            <w:tcMar>
              <w:top w:w="0" w:type="dxa"/>
              <w:left w:w="0" w:type="dxa"/>
              <w:bottom w:w="0" w:type="dxa"/>
              <w:right w:w="0" w:type="dxa"/>
            </w:tcMar>
            <w:vAlign w:val="top"/>
          </w:tcPr>
          <w:p w14:paraId="626BA06F">
            <w:pPr>
              <w:pStyle w:val="7"/>
              <w:spacing w:line="240" w:lineRule="auto"/>
              <w:jc w:val="center"/>
            </w:pPr>
            <w:r>
              <w:rPr>
                <w:rFonts w:ascii="仿宋_GB2312" w:hAnsi="仿宋_GB2312" w:eastAsia="仿宋_GB2312" w:cs="仿宋_GB2312"/>
                <w:color w:val="000000"/>
                <w:sz w:val="28"/>
              </w:rPr>
              <w:t>教工校方责任险</w:t>
            </w:r>
          </w:p>
        </w:tc>
        <w:tc>
          <w:tcPr>
            <w:tcW w:w="6969" w:type="dxa"/>
            <w:gridSpan w:val="2"/>
            <w:tcMar>
              <w:top w:w="0" w:type="dxa"/>
              <w:left w:w="0" w:type="dxa"/>
              <w:bottom w:w="0" w:type="dxa"/>
              <w:right w:w="0" w:type="dxa"/>
            </w:tcMar>
            <w:vAlign w:val="top"/>
          </w:tcPr>
          <w:p w14:paraId="6DB356C1">
            <w:pPr>
              <w:pStyle w:val="7"/>
              <w:spacing w:line="240" w:lineRule="auto"/>
              <w:jc w:val="both"/>
            </w:pPr>
            <w:r>
              <w:rPr>
                <w:rFonts w:ascii="仿宋_GB2312" w:hAnsi="仿宋_GB2312" w:eastAsia="仿宋_GB2312" w:cs="仿宋_GB2312"/>
                <w:color w:val="000000"/>
                <w:sz w:val="28"/>
              </w:rPr>
              <w:t>⑧每个教工死亡赔偿金赔偿限额≥40万元</w:t>
            </w:r>
          </w:p>
        </w:tc>
        <w:tc>
          <w:tcPr>
            <w:tcW w:w="1333" w:type="dxa"/>
            <w:vMerge w:val="restart"/>
            <w:tcMar>
              <w:top w:w="0" w:type="dxa"/>
              <w:left w:w="0" w:type="dxa"/>
              <w:bottom w:w="0" w:type="dxa"/>
              <w:right w:w="0" w:type="dxa"/>
            </w:tcMar>
            <w:vAlign w:val="center"/>
          </w:tcPr>
          <w:p w14:paraId="67B98D7F">
            <w:pPr>
              <w:pStyle w:val="7"/>
              <w:spacing w:line="240" w:lineRule="auto"/>
              <w:jc w:val="center"/>
            </w:pPr>
            <w:r>
              <w:rPr>
                <w:rFonts w:ascii="仿宋_GB2312" w:hAnsi="仿宋_GB2312" w:eastAsia="仿宋_GB2312" w:cs="仿宋_GB2312"/>
                <w:color w:val="000000"/>
                <w:sz w:val="24"/>
              </w:rPr>
              <w:t>50元/人</w:t>
            </w:r>
          </w:p>
        </w:tc>
      </w:tr>
      <w:tr w14:paraId="1E847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297" w:type="dxa"/>
            <w:vMerge w:val="continue"/>
          </w:tcPr>
          <w:p w14:paraId="292354A2">
            <w:pPr>
              <w:spacing w:line="240" w:lineRule="auto"/>
            </w:pPr>
          </w:p>
        </w:tc>
        <w:tc>
          <w:tcPr>
            <w:tcW w:w="6969" w:type="dxa"/>
            <w:gridSpan w:val="2"/>
            <w:tcMar>
              <w:top w:w="0" w:type="dxa"/>
              <w:left w:w="0" w:type="dxa"/>
              <w:bottom w:w="0" w:type="dxa"/>
              <w:right w:w="0" w:type="dxa"/>
            </w:tcMar>
            <w:vAlign w:val="top"/>
          </w:tcPr>
          <w:p w14:paraId="287907D8">
            <w:pPr>
              <w:pStyle w:val="7"/>
              <w:spacing w:line="240" w:lineRule="auto"/>
              <w:jc w:val="both"/>
            </w:pPr>
            <w:r>
              <w:rPr>
                <w:rFonts w:ascii="仿宋_GB2312" w:hAnsi="仿宋_GB2312" w:eastAsia="仿宋_GB2312" w:cs="仿宋_GB2312"/>
                <w:color w:val="000000"/>
                <w:sz w:val="28"/>
              </w:rPr>
              <w:t>⑨每个教工事故伤残赔偿金赔偿限额≥40万元</w:t>
            </w:r>
          </w:p>
        </w:tc>
        <w:tc>
          <w:tcPr>
            <w:tcW w:w="1333" w:type="dxa"/>
            <w:vMerge w:val="continue"/>
          </w:tcPr>
          <w:p w14:paraId="6BE20109">
            <w:pPr>
              <w:spacing w:line="240" w:lineRule="auto"/>
            </w:pPr>
          </w:p>
        </w:tc>
      </w:tr>
      <w:tr w14:paraId="39C5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297" w:type="dxa"/>
            <w:vMerge w:val="continue"/>
          </w:tcPr>
          <w:p w14:paraId="73E417F4">
            <w:pPr>
              <w:spacing w:line="240" w:lineRule="auto"/>
            </w:pPr>
          </w:p>
        </w:tc>
        <w:tc>
          <w:tcPr>
            <w:tcW w:w="6969" w:type="dxa"/>
            <w:gridSpan w:val="2"/>
            <w:tcMar>
              <w:top w:w="0" w:type="dxa"/>
              <w:left w:w="0" w:type="dxa"/>
              <w:bottom w:w="0" w:type="dxa"/>
              <w:right w:w="0" w:type="dxa"/>
            </w:tcMar>
            <w:vAlign w:val="top"/>
          </w:tcPr>
          <w:p w14:paraId="09786320">
            <w:pPr>
              <w:pStyle w:val="7"/>
              <w:spacing w:line="240" w:lineRule="auto"/>
              <w:jc w:val="both"/>
            </w:pPr>
            <w:r>
              <w:rPr>
                <w:rFonts w:ascii="仿宋_GB2312" w:hAnsi="仿宋_GB2312" w:eastAsia="仿宋_GB2312" w:cs="仿宋_GB2312"/>
                <w:color w:val="000000"/>
                <w:sz w:val="28"/>
              </w:rPr>
              <w:t>⑩每个教工每次事故误工赔偿限额≥2万元</w:t>
            </w:r>
          </w:p>
        </w:tc>
        <w:tc>
          <w:tcPr>
            <w:tcW w:w="1333" w:type="dxa"/>
            <w:vMerge w:val="continue"/>
          </w:tcPr>
          <w:p w14:paraId="5F27042E">
            <w:pPr>
              <w:spacing w:line="240" w:lineRule="auto"/>
            </w:pPr>
          </w:p>
        </w:tc>
      </w:tr>
      <w:tr w14:paraId="52F95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297" w:type="dxa"/>
            <w:vMerge w:val="continue"/>
          </w:tcPr>
          <w:p w14:paraId="6D3DC33C">
            <w:pPr>
              <w:spacing w:line="240" w:lineRule="auto"/>
            </w:pPr>
          </w:p>
        </w:tc>
        <w:tc>
          <w:tcPr>
            <w:tcW w:w="6969" w:type="dxa"/>
            <w:gridSpan w:val="2"/>
            <w:tcMar>
              <w:top w:w="0" w:type="dxa"/>
              <w:left w:w="0" w:type="dxa"/>
              <w:bottom w:w="0" w:type="dxa"/>
              <w:right w:w="0" w:type="dxa"/>
            </w:tcMar>
            <w:vAlign w:val="top"/>
          </w:tcPr>
          <w:p w14:paraId="769DF792">
            <w:pPr>
              <w:pStyle w:val="7"/>
              <w:spacing w:line="240" w:lineRule="auto"/>
              <w:jc w:val="both"/>
            </w:pPr>
            <w:r>
              <w:rPr>
                <w:rFonts w:ascii="仿宋_GB2312" w:hAnsi="仿宋_GB2312" w:eastAsia="仿宋_GB2312" w:cs="仿宋_GB2312"/>
                <w:color w:val="000000"/>
                <w:sz w:val="28"/>
              </w:rPr>
              <w:t>⑪每个教工每次医疗费用赔偿限额≥4万元</w:t>
            </w:r>
          </w:p>
        </w:tc>
        <w:tc>
          <w:tcPr>
            <w:tcW w:w="1333" w:type="dxa"/>
            <w:vMerge w:val="continue"/>
          </w:tcPr>
          <w:p w14:paraId="3F32E272">
            <w:pPr>
              <w:spacing w:line="240" w:lineRule="auto"/>
            </w:pPr>
          </w:p>
        </w:tc>
      </w:tr>
    </w:tbl>
    <w:p w14:paraId="19D6A3B8">
      <w:pPr>
        <w:pStyle w:val="7"/>
        <w:ind w:firstLine="480"/>
        <w:jc w:val="both"/>
      </w:pPr>
      <w:r>
        <w:rPr>
          <w:rFonts w:ascii="仿宋_GB2312" w:hAnsi="仿宋_GB2312" w:eastAsia="仿宋_GB2312" w:cs="仿宋_GB2312"/>
          <w:b/>
          <w:color w:val="000000"/>
          <w:sz w:val="30"/>
        </w:rPr>
        <w:t>说明：以上所有赔偿项目均不设免赔额。</w:t>
      </w:r>
    </w:p>
    <w:p w14:paraId="46B4D4E7">
      <w:pPr>
        <w:pStyle w:val="7"/>
        <w:ind w:firstLine="636"/>
        <w:jc w:val="left"/>
      </w:pPr>
      <w:r>
        <w:rPr>
          <w:rFonts w:ascii="仿宋_GB2312" w:hAnsi="仿宋_GB2312" w:eastAsia="仿宋_GB2312" w:cs="仿宋_GB2312"/>
          <w:color w:val="000000"/>
          <w:sz w:val="30"/>
        </w:rPr>
        <w:t>2、灞桥区教育局辖区公、民办中小学、幼儿园投保校方责任保险以本次磋商内容及报价为依据执行。公办学校 (幼儿园) 投保经费在公用经费列支，民办学校 (幼儿园) 投保经费由学校举办者承担。</w:t>
      </w:r>
    </w:p>
    <w:p w14:paraId="0596993B">
      <w:pPr>
        <w:pStyle w:val="7"/>
        <w:ind w:firstLine="632"/>
        <w:jc w:val="left"/>
      </w:pPr>
      <w:r>
        <w:rPr>
          <w:rFonts w:ascii="仿宋_GB2312" w:hAnsi="仿宋_GB2312" w:eastAsia="仿宋_GB2312" w:cs="仿宋_GB2312"/>
          <w:color w:val="000000"/>
          <w:sz w:val="30"/>
        </w:rPr>
        <w:t>二、服务期限和地点</w:t>
      </w:r>
    </w:p>
    <w:p w14:paraId="7DCA12ED">
      <w:pPr>
        <w:pStyle w:val="7"/>
        <w:ind w:firstLine="628"/>
        <w:jc w:val="left"/>
      </w:pPr>
      <w:r>
        <w:rPr>
          <w:rFonts w:ascii="仿宋_GB2312" w:hAnsi="仿宋_GB2312" w:eastAsia="仿宋_GB2312" w:cs="仿宋_GB2312"/>
          <w:color w:val="000000"/>
          <w:sz w:val="30"/>
        </w:rPr>
        <w:t>1、服务期限：自2026年9月1日零时至202</w:t>
      </w:r>
      <w:r>
        <w:rPr>
          <w:rFonts w:ascii="仿宋_GB2312" w:hAnsi="仿宋_GB2312" w:eastAsia="仿宋_GB2312" w:cs="仿宋_GB2312"/>
          <w:color w:val="0000FF"/>
          <w:sz w:val="30"/>
          <w:u w:val="single"/>
        </w:rPr>
        <w:t>7</w:t>
      </w:r>
      <w:r>
        <w:rPr>
          <w:rFonts w:ascii="仿宋_GB2312" w:hAnsi="仿宋_GB2312" w:eastAsia="仿宋_GB2312" w:cs="仿宋_GB2312"/>
          <w:color w:val="000000"/>
          <w:sz w:val="30"/>
        </w:rPr>
        <w:t>年8月31日24时止。</w:t>
      </w:r>
    </w:p>
    <w:p w14:paraId="14FFDDD6">
      <w:pPr>
        <w:pStyle w:val="7"/>
        <w:ind w:firstLine="636"/>
        <w:jc w:val="left"/>
      </w:pPr>
      <w:r>
        <w:rPr>
          <w:rFonts w:ascii="仿宋_GB2312" w:hAnsi="仿宋_GB2312" w:eastAsia="仿宋_GB2312" w:cs="仿宋_GB2312"/>
          <w:color w:val="000000"/>
          <w:sz w:val="30"/>
        </w:rPr>
        <w:t>本次招标一次沿用二年，合同一年一签，首次合同履行期限为一年。合同期满前，供应商所提供的服务质量经采购人考核后，在采购内容不变、采购预算有保障、服务价格不变或降低的情况下，采购人可续签下年合同。</w:t>
      </w:r>
    </w:p>
    <w:p w14:paraId="72925A73">
      <w:pPr>
        <w:pStyle w:val="7"/>
        <w:ind w:firstLine="636"/>
        <w:jc w:val="left"/>
      </w:pPr>
      <w:r>
        <w:rPr>
          <w:rFonts w:ascii="仿宋_GB2312" w:hAnsi="仿宋_GB2312" w:eastAsia="仿宋_GB2312" w:cs="仿宋_GB2312"/>
          <w:color w:val="000000"/>
          <w:sz w:val="30"/>
        </w:rPr>
        <w:t>2、服务地点：西安市灞桥区辖区公办民办中小学和幼儿园。</w:t>
      </w:r>
    </w:p>
    <w:p w14:paraId="7E390D5E">
      <w:pPr>
        <w:pStyle w:val="7"/>
        <w:ind w:firstLine="620"/>
        <w:jc w:val="left"/>
      </w:pPr>
      <w:r>
        <w:rPr>
          <w:rFonts w:ascii="仿宋_GB2312" w:hAnsi="仿宋_GB2312" w:eastAsia="仿宋_GB2312" w:cs="仿宋_GB2312"/>
          <w:color w:val="000000"/>
          <w:sz w:val="30"/>
        </w:rPr>
        <w:t>三、保费</w:t>
      </w:r>
    </w:p>
    <w:p w14:paraId="55C045E5">
      <w:pPr>
        <w:pStyle w:val="7"/>
        <w:ind w:firstLine="656"/>
        <w:jc w:val="left"/>
      </w:pPr>
      <w:r>
        <w:rPr>
          <w:rFonts w:ascii="仿宋_GB2312" w:hAnsi="仿宋_GB2312" w:eastAsia="仿宋_GB2312" w:cs="仿宋_GB2312"/>
          <w:color w:val="000000"/>
          <w:sz w:val="30"/>
        </w:rPr>
        <w:t>以投保时实际统计学生人数、教职工人数计算。</w:t>
      </w:r>
    </w:p>
    <w:p w14:paraId="4C5BCB9A">
      <w:pPr>
        <w:pStyle w:val="7"/>
        <w:ind w:firstLine="624"/>
        <w:jc w:val="left"/>
      </w:pPr>
      <w:r>
        <w:rPr>
          <w:rFonts w:ascii="仿宋_GB2312" w:hAnsi="仿宋_GB2312" w:eastAsia="仿宋_GB2312" w:cs="仿宋_GB2312"/>
          <w:color w:val="000000"/>
          <w:sz w:val="30"/>
        </w:rPr>
        <w:t>四、险种及赔偿限额</w:t>
      </w:r>
    </w:p>
    <w:p w14:paraId="542FDC9B">
      <w:pPr>
        <w:pStyle w:val="7"/>
        <w:ind w:firstLine="622"/>
        <w:jc w:val="left"/>
      </w:pPr>
      <w:r>
        <w:rPr>
          <w:rFonts w:ascii="仿宋_GB2312" w:hAnsi="仿宋_GB2312" w:eastAsia="仿宋_GB2312" w:cs="仿宋_GB2312"/>
          <w:b/>
          <w:color w:val="000000"/>
          <w:sz w:val="30"/>
        </w:rPr>
        <w:t>(一) 学生</w:t>
      </w:r>
    </w:p>
    <w:p w14:paraId="2B8B42F6">
      <w:pPr>
        <w:pStyle w:val="7"/>
        <w:ind w:left="405"/>
        <w:jc w:val="left"/>
      </w:pPr>
      <w:r>
        <w:rPr>
          <w:rFonts w:ascii="仿宋_GB2312" w:hAnsi="仿宋_GB2312" w:eastAsia="仿宋_GB2312" w:cs="仿宋_GB2312"/>
          <w:b/>
          <w:color w:val="000000"/>
          <w:sz w:val="30"/>
        </w:rPr>
        <w:t>1、校方责任险</w:t>
      </w:r>
      <w:r>
        <w:rPr>
          <w:rFonts w:ascii="仿宋_GB2312" w:hAnsi="仿宋_GB2312" w:eastAsia="仿宋_GB2312" w:cs="仿宋_GB2312"/>
          <w:color w:val="000000"/>
          <w:sz w:val="21"/>
        </w:rPr>
        <w:t xml:space="preserve">                                                      </w:t>
      </w:r>
    </w:p>
    <w:p w14:paraId="43BA6200">
      <w:pPr>
        <w:pStyle w:val="7"/>
        <w:ind w:left="405"/>
        <w:jc w:val="left"/>
      </w:pP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30"/>
        </w:rPr>
        <w:t>1.1每生每年累计赔偿限额不低于人民币伍拾伍万元(￥550000.00)；</w:t>
      </w:r>
      <w:r>
        <w:rPr>
          <w:rFonts w:ascii="仿宋_GB2312" w:hAnsi="仿宋_GB2312" w:eastAsia="仿宋_GB2312" w:cs="仿宋_GB2312"/>
          <w:color w:val="000000"/>
          <w:sz w:val="21"/>
        </w:rPr>
        <w:t xml:space="preserve"> </w:t>
      </w:r>
    </w:p>
    <w:p w14:paraId="35126F63">
      <w:pPr>
        <w:pStyle w:val="7"/>
        <w:ind w:left="405"/>
        <w:jc w:val="left"/>
      </w:pPr>
      <w:r>
        <w:rPr>
          <w:rFonts w:ascii="仿宋_GB2312" w:hAnsi="仿宋_GB2312" w:eastAsia="仿宋_GB2312" w:cs="仿宋_GB2312"/>
          <w:color w:val="000000"/>
          <w:sz w:val="30"/>
        </w:rPr>
        <w:t>1.2每所学校每次事故赔偿限额不低于人民币捌佰万元(￥8000000.00)；</w:t>
      </w:r>
    </w:p>
    <w:p w14:paraId="712F84A3">
      <w:pPr>
        <w:pStyle w:val="7"/>
        <w:ind w:left="405"/>
        <w:jc w:val="left"/>
      </w:pPr>
      <w:r>
        <w:rPr>
          <w:rFonts w:ascii="仿宋_GB2312" w:hAnsi="仿宋_GB2312" w:eastAsia="仿宋_GB2312" w:cs="仿宋_GB2312"/>
          <w:color w:val="000000"/>
          <w:sz w:val="30"/>
        </w:rPr>
        <w:t>1.3每所学校每年累计赔偿限额不设上限；</w:t>
      </w:r>
      <w:r>
        <w:rPr>
          <w:rFonts w:ascii="仿宋_GB2312" w:hAnsi="仿宋_GB2312" w:eastAsia="仿宋_GB2312" w:cs="仿宋_GB2312"/>
          <w:color w:val="000000"/>
          <w:sz w:val="21"/>
        </w:rPr>
        <w:t xml:space="preserve">                            </w:t>
      </w:r>
    </w:p>
    <w:p w14:paraId="0DCEFF14">
      <w:pPr>
        <w:pStyle w:val="7"/>
        <w:ind w:left="405"/>
        <w:jc w:val="left"/>
      </w:pPr>
      <w:r>
        <w:rPr>
          <w:rFonts w:ascii="仿宋_GB2312" w:hAnsi="仿宋_GB2312" w:eastAsia="仿宋_GB2312" w:cs="仿宋_GB2312"/>
          <w:b/>
          <w:color w:val="000000"/>
          <w:sz w:val="30"/>
        </w:rPr>
        <w:t>以上三项赔偿项目不设免赔额。</w:t>
      </w:r>
    </w:p>
    <w:p w14:paraId="787A72E8">
      <w:pPr>
        <w:pStyle w:val="7"/>
        <w:ind w:firstLine="646"/>
        <w:jc w:val="left"/>
      </w:pPr>
      <w:r>
        <w:rPr>
          <w:rFonts w:ascii="仿宋_GB2312" w:hAnsi="仿宋_GB2312" w:eastAsia="仿宋_GB2312" w:cs="仿宋_GB2312"/>
          <w:b/>
          <w:color w:val="000000"/>
          <w:sz w:val="30"/>
        </w:rPr>
        <w:t>2、校方无过失责任险</w:t>
      </w:r>
    </w:p>
    <w:p w14:paraId="012E0825">
      <w:pPr>
        <w:pStyle w:val="7"/>
        <w:ind w:firstLine="640"/>
        <w:jc w:val="left"/>
      </w:pPr>
      <w:r>
        <w:rPr>
          <w:rFonts w:ascii="仿宋_GB2312" w:hAnsi="仿宋_GB2312" w:eastAsia="仿宋_GB2312" w:cs="仿宋_GB2312"/>
          <w:color w:val="000000"/>
          <w:sz w:val="30"/>
        </w:rPr>
        <w:t>2.1无过失责任保险：每生每年累计赔偿限额不低于人民币壹拾伍万元(￥150000.00元) 。</w:t>
      </w:r>
    </w:p>
    <w:p w14:paraId="3395DF02">
      <w:pPr>
        <w:pStyle w:val="7"/>
        <w:ind w:left="405"/>
        <w:jc w:val="left"/>
      </w:pPr>
      <w:r>
        <w:rPr>
          <w:rFonts w:ascii="仿宋_GB2312" w:hAnsi="仿宋_GB2312" w:eastAsia="仿宋_GB2312" w:cs="仿宋_GB2312"/>
          <w:color w:val="000000"/>
          <w:sz w:val="30"/>
        </w:rPr>
        <w:t xml:space="preserve"> 2.2每所学校每次事故赔偿限额不低于人民币壹佰万元(￥1000000.00元)。</w:t>
      </w:r>
    </w:p>
    <w:p w14:paraId="081E9631">
      <w:pPr>
        <w:pStyle w:val="7"/>
        <w:ind w:firstLine="600"/>
        <w:jc w:val="left"/>
      </w:pPr>
      <w:r>
        <w:rPr>
          <w:rFonts w:ascii="仿宋_GB2312" w:hAnsi="仿宋_GB2312" w:eastAsia="仿宋_GB2312" w:cs="仿宋_GB2312"/>
          <w:color w:val="000000"/>
          <w:sz w:val="30"/>
        </w:rPr>
        <w:t>2.3每所学校每年累计赔偿限额不设上限。</w:t>
      </w:r>
      <w:r>
        <w:rPr>
          <w:rFonts w:ascii="仿宋_GB2312" w:hAnsi="仿宋_GB2312" w:eastAsia="仿宋_GB2312" w:cs="仿宋_GB2312"/>
          <w:color w:val="000000"/>
          <w:sz w:val="21"/>
        </w:rPr>
        <w:t xml:space="preserve">                             </w:t>
      </w:r>
    </w:p>
    <w:p w14:paraId="232B007D">
      <w:pPr>
        <w:pStyle w:val="7"/>
        <w:ind w:firstLine="610"/>
        <w:jc w:val="left"/>
      </w:pPr>
      <w:r>
        <w:rPr>
          <w:rFonts w:ascii="仿宋_GB2312" w:hAnsi="仿宋_GB2312" w:eastAsia="仿宋_GB2312" w:cs="仿宋_GB2312"/>
          <w:b/>
          <w:color w:val="000000"/>
          <w:sz w:val="30"/>
        </w:rPr>
        <w:t>以上三项赔偿项目不设免赔额。</w:t>
      </w:r>
    </w:p>
    <w:p w14:paraId="434E53F6">
      <w:pPr>
        <w:pStyle w:val="7"/>
        <w:ind w:firstLine="610"/>
        <w:jc w:val="left"/>
      </w:pPr>
      <w:r>
        <w:rPr>
          <w:rFonts w:ascii="仿宋_GB2312" w:hAnsi="仿宋_GB2312" w:eastAsia="仿宋_GB2312" w:cs="仿宋_GB2312"/>
          <w:b/>
          <w:color w:val="000000"/>
          <w:sz w:val="30"/>
        </w:rPr>
        <w:t>3、特别约定条款</w:t>
      </w:r>
      <w:r>
        <w:rPr>
          <w:rFonts w:ascii="仿宋_GB2312" w:hAnsi="仿宋_GB2312" w:eastAsia="仿宋_GB2312" w:cs="仿宋_GB2312"/>
          <w:b/>
          <w:color w:val="000000"/>
          <w:sz w:val="21"/>
        </w:rPr>
        <w:t xml:space="preserve">  </w:t>
      </w:r>
      <w:r>
        <w:rPr>
          <w:rFonts w:ascii="仿宋_GB2312" w:hAnsi="仿宋_GB2312" w:eastAsia="仿宋_GB2312" w:cs="仿宋_GB2312"/>
          <w:color w:val="000000"/>
          <w:sz w:val="21"/>
        </w:rPr>
        <w:t xml:space="preserve">                                                      </w:t>
      </w:r>
      <w:r>
        <w:rPr>
          <w:rFonts w:ascii="仿宋_GB2312" w:hAnsi="仿宋_GB2312" w:eastAsia="仿宋_GB2312" w:cs="仿宋_GB2312"/>
        </w:rPr>
        <w:t xml:space="preserve">                                                                                 </w:t>
      </w:r>
    </w:p>
    <w:p w14:paraId="2923659F">
      <w:pPr>
        <w:pStyle w:val="7"/>
        <w:ind w:firstLine="610"/>
        <w:jc w:val="left"/>
      </w:pPr>
      <w:r>
        <w:rPr>
          <w:rFonts w:ascii="仿宋_GB2312" w:hAnsi="仿宋_GB2312" w:eastAsia="仿宋_GB2312" w:cs="仿宋_GB2312"/>
          <w:color w:val="000000"/>
          <w:sz w:val="30"/>
        </w:rPr>
        <w:t>3.1 因自然灾害、学生自身原因、校外的突发性侵害而导致被保险人的在学校发生人身伤亡，被保险人已履行相应职责，行为并无不当，但是仍需对受伤害学生依法承担经济赔偿责任时，保险人根据合同约定的赔偿限额负责赔偿。</w:t>
      </w:r>
    </w:p>
    <w:p w14:paraId="34052DFA">
      <w:pPr>
        <w:pStyle w:val="7"/>
        <w:ind w:firstLine="604"/>
        <w:jc w:val="left"/>
      </w:pPr>
      <w:r>
        <w:rPr>
          <w:rFonts w:ascii="仿宋_GB2312" w:hAnsi="仿宋_GB2312" w:eastAsia="仿宋_GB2312" w:cs="仿宋_GB2312"/>
          <w:color w:val="000000"/>
          <w:sz w:val="30"/>
        </w:rPr>
        <w:t>3.2 在校内发生的自杀、自伤事故，每人赔偿限额不低于人民币壹拾万元(￥100000.00元)；在校内发生的打架、斗殴事故每人赔偿限额不低于人民币陆万元(￥60000.00 元)；精神损害赔偿金法院判决由学校承担的费用，每人赔偿限额不低于人民币贰仟元(￥2000.00 元)。</w:t>
      </w:r>
    </w:p>
    <w:p w14:paraId="5946D02B">
      <w:pPr>
        <w:pStyle w:val="7"/>
        <w:ind w:firstLine="664"/>
        <w:jc w:val="left"/>
      </w:pPr>
      <w:r>
        <w:rPr>
          <w:rFonts w:ascii="仿宋_GB2312" w:hAnsi="仿宋_GB2312" w:eastAsia="仿宋_GB2312" w:cs="仿宋_GB2312"/>
          <w:color w:val="000000"/>
          <w:sz w:val="30"/>
        </w:rPr>
        <w:t>3.3 在校内发生的磕牙事故后续治疗费，种植牙每人每颗赔偿限额不低于人民币陆仟元（￥6000.00 元），牙冠治疗每人每颗赔偿限额不低于人民币叁仟元(￥3000.00 元)；若案件已有人民法院生效判决书或专业调解机构出具的裁定书，相关赔偿以法院调解或裁判结果为准。</w:t>
      </w:r>
    </w:p>
    <w:p w14:paraId="71F96B91">
      <w:pPr>
        <w:pStyle w:val="7"/>
        <w:ind w:firstLine="608"/>
        <w:jc w:val="left"/>
      </w:pPr>
      <w:r>
        <w:rPr>
          <w:rFonts w:ascii="仿宋_GB2312" w:hAnsi="仿宋_GB2312" w:eastAsia="仿宋_GB2312" w:cs="仿宋_GB2312"/>
          <w:color w:val="000000"/>
          <w:sz w:val="30"/>
        </w:rPr>
        <w:t>3.4 在校内发生的磕碰伤事故产生的必要的、合理的修复药品，每人赔偿限额不低于人民币壹仟元(￥1000.00 元)。</w:t>
      </w:r>
    </w:p>
    <w:p w14:paraId="436DF5E7">
      <w:pPr>
        <w:pStyle w:val="7"/>
        <w:ind w:firstLine="610"/>
        <w:jc w:val="left"/>
      </w:pPr>
      <w:r>
        <w:rPr>
          <w:rFonts w:ascii="仿宋_GB2312" w:hAnsi="仿宋_GB2312" w:eastAsia="仿宋_GB2312" w:cs="仿宋_GB2312"/>
          <w:b/>
          <w:color w:val="000000"/>
          <w:sz w:val="30"/>
        </w:rPr>
        <w:t>以上所有赔偿项目均不设免赔额。</w:t>
      </w:r>
    </w:p>
    <w:p w14:paraId="3CCB2137">
      <w:pPr>
        <w:pStyle w:val="7"/>
        <w:ind w:firstLine="698"/>
        <w:jc w:val="left"/>
      </w:pPr>
      <w:r>
        <w:rPr>
          <w:rFonts w:ascii="仿宋_GB2312" w:hAnsi="仿宋_GB2312" w:eastAsia="仿宋_GB2312" w:cs="仿宋_GB2312"/>
          <w:b/>
          <w:color w:val="000000"/>
          <w:sz w:val="30"/>
        </w:rPr>
        <w:t>(二)教工</w:t>
      </w:r>
    </w:p>
    <w:p w14:paraId="031160CA">
      <w:pPr>
        <w:pStyle w:val="7"/>
        <w:ind w:firstLine="624"/>
        <w:jc w:val="left"/>
      </w:pPr>
      <w:r>
        <w:rPr>
          <w:rFonts w:ascii="仿宋_GB2312" w:hAnsi="仿宋_GB2312" w:eastAsia="仿宋_GB2312" w:cs="仿宋_GB2312"/>
          <w:color w:val="000000"/>
          <w:sz w:val="30"/>
        </w:rPr>
        <w:t>1、死亡赔偿金赔偿限额不低于人民币肆拾万元整 (400000.00元) 。</w:t>
      </w:r>
    </w:p>
    <w:p w14:paraId="183D77A1">
      <w:pPr>
        <w:pStyle w:val="7"/>
        <w:ind w:firstLine="624"/>
        <w:jc w:val="left"/>
      </w:pPr>
      <w:r>
        <w:rPr>
          <w:rFonts w:ascii="仿宋_GB2312" w:hAnsi="仿宋_GB2312" w:eastAsia="仿宋_GB2312" w:cs="仿宋_GB2312"/>
          <w:color w:val="000000"/>
          <w:sz w:val="30"/>
        </w:rPr>
        <w:t>2、伤残赔偿金赔偿限额不低于人民币肆拾万元整 (400000.00元) 。</w:t>
      </w:r>
    </w:p>
    <w:p w14:paraId="1B037E58">
      <w:pPr>
        <w:pStyle w:val="7"/>
        <w:ind w:firstLine="624"/>
        <w:jc w:val="left"/>
      </w:pPr>
      <w:r>
        <w:rPr>
          <w:rFonts w:ascii="仿宋_GB2312" w:hAnsi="仿宋_GB2312" w:eastAsia="仿宋_GB2312" w:cs="仿宋_GB2312"/>
          <w:color w:val="000000"/>
          <w:sz w:val="30"/>
        </w:rPr>
        <w:t>3、每人每次事故误工费用赔偿限额不低于人民币贰万元整 (20000.00元) 。</w:t>
      </w:r>
    </w:p>
    <w:p w14:paraId="63426A6B">
      <w:pPr>
        <w:pStyle w:val="7"/>
        <w:ind w:left="705"/>
        <w:jc w:val="left"/>
      </w:pPr>
      <w:r>
        <w:rPr>
          <w:rFonts w:ascii="仿宋_GB2312" w:hAnsi="仿宋_GB2312" w:eastAsia="仿宋_GB2312" w:cs="仿宋_GB2312"/>
          <w:color w:val="000000"/>
          <w:sz w:val="30"/>
        </w:rPr>
        <w:t>4、每人每次医疗费用赔偿限额不低于人民币肆万元整(40000.00 元) 。</w:t>
      </w:r>
    </w:p>
    <w:p w14:paraId="6D55FD61">
      <w:pPr>
        <w:pStyle w:val="7"/>
        <w:ind w:left="705"/>
        <w:jc w:val="left"/>
      </w:pPr>
      <w:r>
        <w:rPr>
          <w:rFonts w:ascii="仿宋_GB2312" w:hAnsi="仿宋_GB2312" w:eastAsia="仿宋_GB2312" w:cs="仿宋_GB2312"/>
          <w:b/>
          <w:color w:val="000000"/>
          <w:sz w:val="30"/>
        </w:rPr>
        <w:t>以上所有赔偿项目均不设免赔额。</w:t>
      </w:r>
    </w:p>
    <w:p w14:paraId="09BD1BA1">
      <w:pPr>
        <w:pStyle w:val="7"/>
        <w:ind w:firstLine="640"/>
        <w:jc w:val="left"/>
      </w:pPr>
      <w:r>
        <w:rPr>
          <w:rFonts w:ascii="仿宋_GB2312" w:hAnsi="仿宋_GB2312" w:eastAsia="仿宋_GB2312" w:cs="仿宋_GB2312"/>
          <w:color w:val="000000"/>
          <w:sz w:val="30"/>
        </w:rPr>
        <w:t>五、服务要求</w:t>
      </w:r>
    </w:p>
    <w:p w14:paraId="6516D21C">
      <w:pPr>
        <w:pStyle w:val="7"/>
        <w:ind w:firstLine="632"/>
        <w:jc w:val="left"/>
      </w:pPr>
      <w:r>
        <w:rPr>
          <w:rFonts w:ascii="仿宋_GB2312" w:hAnsi="仿宋_GB2312" w:eastAsia="仿宋_GB2312" w:cs="仿宋_GB2312"/>
          <w:color w:val="000000"/>
          <w:sz w:val="30"/>
        </w:rPr>
        <w:t>1、承保服务</w:t>
      </w:r>
    </w:p>
    <w:p w14:paraId="1B0B26B6">
      <w:pPr>
        <w:pStyle w:val="7"/>
        <w:ind w:firstLine="636"/>
        <w:jc w:val="left"/>
      </w:pPr>
      <w:r>
        <w:rPr>
          <w:rFonts w:ascii="仿宋_GB2312" w:hAnsi="仿宋_GB2312" w:eastAsia="仿宋_GB2312" w:cs="仿宋_GB2312"/>
          <w:color w:val="000000"/>
          <w:sz w:val="30"/>
        </w:rPr>
        <w:t>(1) 协助灞桥区教育局和灞桥区教育局聘请的风险管理顾问机构做好投保学校的各项承保工作。</w:t>
      </w:r>
    </w:p>
    <w:p w14:paraId="6A0CA77D">
      <w:pPr>
        <w:pStyle w:val="7"/>
        <w:ind w:firstLine="636"/>
        <w:jc w:val="left"/>
      </w:pPr>
      <w:r>
        <w:rPr>
          <w:rFonts w:ascii="仿宋_GB2312" w:hAnsi="仿宋_GB2312" w:eastAsia="仿宋_GB2312" w:cs="仿宋_GB2312"/>
          <w:color w:val="000000"/>
          <w:sz w:val="30"/>
        </w:rPr>
        <w:t>(2) 协助灞桥区教育局和风险管理顾问机构做好对被保险学校的宣传和培训工作。</w:t>
      </w:r>
    </w:p>
    <w:p w14:paraId="7DE3808E">
      <w:pPr>
        <w:pStyle w:val="7"/>
        <w:ind w:firstLine="636"/>
        <w:jc w:val="left"/>
      </w:pPr>
      <w:r>
        <w:rPr>
          <w:rFonts w:ascii="仿宋_GB2312" w:hAnsi="仿宋_GB2312" w:eastAsia="仿宋_GB2312" w:cs="仿宋_GB2312"/>
          <w:color w:val="000000"/>
          <w:sz w:val="30"/>
        </w:rPr>
        <w:t>(3) 自收到被保险学校投保材料后 5 个工作日内出具正式保险单和发票，风险管理顾问机构依据保险单和发票向被保险学校收取保险费支付给供应商。</w:t>
      </w:r>
    </w:p>
    <w:p w14:paraId="1CA36499">
      <w:pPr>
        <w:pStyle w:val="7"/>
        <w:ind w:firstLine="636"/>
        <w:jc w:val="left"/>
      </w:pPr>
      <w:r>
        <w:rPr>
          <w:rFonts w:ascii="仿宋_GB2312" w:hAnsi="仿宋_GB2312" w:eastAsia="仿宋_GB2312" w:cs="仿宋_GB2312"/>
          <w:color w:val="000000"/>
          <w:sz w:val="30"/>
        </w:rPr>
        <w:t>(4) 被保险学校有人员变动、名称或地址变更、合并、注销、分立、设立分校等事宜时，供应商做好上述事项的保全服务工作，并在接到学校批改申请材料的5 个工作日内出具批单和发票。在保险期内全区被保险学校总人数增加不超过5%的(含5%)，不另行收取保费。</w:t>
      </w:r>
    </w:p>
    <w:p w14:paraId="519A6D8E">
      <w:pPr>
        <w:pStyle w:val="7"/>
        <w:ind w:firstLine="638"/>
        <w:jc w:val="left"/>
      </w:pPr>
      <w:r>
        <w:rPr>
          <w:rFonts w:ascii="仿宋_GB2312" w:hAnsi="仿宋_GB2312" w:eastAsia="仿宋_GB2312" w:cs="仿宋_GB2312"/>
          <w:b/>
          <w:color w:val="000000"/>
          <w:sz w:val="30"/>
        </w:rPr>
        <w:t>2、理赔服务</w:t>
      </w:r>
    </w:p>
    <w:p w14:paraId="3E67CF2F">
      <w:pPr>
        <w:pStyle w:val="7"/>
        <w:ind w:firstLine="636"/>
        <w:jc w:val="left"/>
      </w:pPr>
      <w:r>
        <w:rPr>
          <w:rFonts w:ascii="仿宋_GB2312" w:hAnsi="仿宋_GB2312" w:eastAsia="仿宋_GB2312" w:cs="仿宋_GB2312"/>
          <w:color w:val="000000"/>
          <w:sz w:val="30"/>
        </w:rPr>
        <w:t>(1) 供应商应当成立专门的校方责任保险理赔服务机构，由有经验的专业理赔人员负责理赔服务工作，并配备相应的办公设备。</w:t>
      </w:r>
    </w:p>
    <w:p w14:paraId="2376A88E">
      <w:pPr>
        <w:pStyle w:val="7"/>
        <w:ind w:firstLine="636"/>
        <w:jc w:val="left"/>
      </w:pPr>
      <w:r>
        <w:rPr>
          <w:rFonts w:ascii="仿宋_GB2312" w:hAnsi="仿宋_GB2312" w:eastAsia="仿宋_GB2312" w:cs="仿宋_GB2312"/>
          <w:color w:val="000000"/>
          <w:sz w:val="30"/>
        </w:rPr>
        <w:t>(2) 设立热线电话，负责受理校方责任保险的事故报案、咨询、疑难解答和投诉处理，对于事故报案和客户投诉，供应商应当在3 个工作日内向风险管理顾问机构就重要事项作出明确答复。</w:t>
      </w:r>
    </w:p>
    <w:p w14:paraId="77B9FDD4">
      <w:pPr>
        <w:pStyle w:val="7"/>
        <w:ind w:firstLine="636"/>
        <w:jc w:val="left"/>
      </w:pPr>
      <w:r>
        <w:rPr>
          <w:rFonts w:ascii="仿宋_GB2312" w:hAnsi="仿宋_GB2312" w:eastAsia="仿宋_GB2312" w:cs="仿宋_GB2312"/>
          <w:color w:val="000000"/>
          <w:sz w:val="30"/>
        </w:rPr>
        <w:t>(3) 对收到的索赔材料进行审核，并在 3 个工作日内向风险管理顾问机构反馈是否立案以及是否需要补充提供证明材料，对决定拒赔或者不予立案的，出具正式的 书面意见。对索赔材料齐全的校方责任保险案件，在立案后的 5 个工作日内开具赔款 通知书；对重大疑难案件应在立案后不超过 20 个工作日内结案，特殊案件除外。</w:t>
      </w:r>
    </w:p>
    <w:p w14:paraId="78BFFC1C">
      <w:pPr>
        <w:pStyle w:val="7"/>
        <w:ind w:firstLine="636"/>
        <w:jc w:val="left"/>
      </w:pPr>
      <w:r>
        <w:rPr>
          <w:rFonts w:ascii="仿宋_GB2312" w:hAnsi="仿宋_GB2312" w:eastAsia="仿宋_GB2312" w:cs="仿宋_GB2312"/>
          <w:color w:val="000000"/>
          <w:sz w:val="30"/>
        </w:rPr>
        <w:t>(4) 供应商与被保险学校达成赔偿或者给付协议，并且已经确定赔偿金额的，1000 元以下的案件 2 个工作日内赔付结案；3000 元以下的案件 3 个工作日内结案； 5000 元以下的案件 5 个工作日内结案。</w:t>
      </w:r>
    </w:p>
    <w:p w14:paraId="1D0BEF86">
      <w:pPr>
        <w:pStyle w:val="7"/>
        <w:ind w:firstLine="636"/>
        <w:jc w:val="left"/>
      </w:pPr>
      <w:r>
        <w:rPr>
          <w:rFonts w:ascii="仿宋_GB2312" w:hAnsi="仿宋_GB2312" w:eastAsia="仿宋_GB2312" w:cs="仿宋_GB2312"/>
          <w:color w:val="000000"/>
          <w:sz w:val="30"/>
        </w:rPr>
        <w:t>(5) 成立重大事故协调处理小组：为减少发生的重大人身伤亡事故对校方的影响，尽快恢复正常的教育教学秩序。供应商应当协助灞桥区教育局和风险管理顾问机构临时组建“重大事故协调处理小组”,负责协调重大事故的赔偿解决方案，并提供相应的法律团队或引进校园案件纠纷调解机构，避免事态扩大对教育行政部门和学校造成不良影响。对于案情经过及校方责任基本明确，且已就赔偿金额初步达成一致意见的情况下，供应商应当在5 个工作日内预付该次事故赔偿金额的50%，用以协助平息纠纷。</w:t>
      </w:r>
    </w:p>
    <w:p w14:paraId="46089AEE">
      <w:pPr>
        <w:pStyle w:val="7"/>
        <w:ind w:firstLine="636"/>
        <w:jc w:val="left"/>
      </w:pPr>
      <w:r>
        <w:rPr>
          <w:rFonts w:ascii="仿宋_GB2312" w:hAnsi="仿宋_GB2312" w:eastAsia="仿宋_GB2312" w:cs="仿宋_GB2312"/>
          <w:color w:val="000000"/>
          <w:sz w:val="30"/>
        </w:rPr>
        <w:t>(6) 对于供应商认定不属于保险责任的事故，如灞桥区教育局和风险管理顾问机构提出书面处理意见，供应商应酌情予以赔付。</w:t>
      </w:r>
    </w:p>
    <w:p w14:paraId="4BB66C79">
      <w:pPr>
        <w:pStyle w:val="7"/>
        <w:ind w:firstLine="636"/>
        <w:jc w:val="left"/>
      </w:pPr>
      <w:r>
        <w:rPr>
          <w:rFonts w:ascii="仿宋_GB2312" w:hAnsi="仿宋_GB2312" w:eastAsia="仿宋_GB2312" w:cs="仿宋_GB2312"/>
          <w:color w:val="000000"/>
          <w:sz w:val="30"/>
        </w:rPr>
        <w:t>(7) 供应商认可风险管理顾问机构指定的第三方事故调解机构出具的案件调解书等相关资料。</w:t>
      </w:r>
    </w:p>
    <w:p w14:paraId="6146DD11">
      <w:pPr>
        <w:pStyle w:val="7"/>
        <w:spacing w:before="75"/>
        <w:ind w:left="495"/>
        <w:jc w:val="left"/>
      </w:pPr>
      <w:r>
        <w:rPr>
          <w:rFonts w:ascii="仿宋_GB2312" w:hAnsi="仿宋_GB2312" w:eastAsia="仿宋_GB2312" w:cs="仿宋_GB2312"/>
          <w:color w:val="000000"/>
          <w:sz w:val="30"/>
        </w:rPr>
        <w:t>3、法律援助服务</w:t>
      </w:r>
    </w:p>
    <w:p w14:paraId="09637DFD">
      <w:pPr>
        <w:pStyle w:val="7"/>
        <w:spacing w:before="150"/>
        <w:ind w:left="15" w:right="30" w:firstLine="485"/>
        <w:jc w:val="left"/>
      </w:pPr>
      <w:r>
        <w:rPr>
          <w:rFonts w:ascii="仿宋_GB2312" w:hAnsi="仿宋_GB2312" w:eastAsia="仿宋_GB2312" w:cs="仿宋_GB2312"/>
          <w:color w:val="000000"/>
          <w:sz w:val="30"/>
        </w:rPr>
        <w:t>(1) 供应商应有专业的法律服务团队或校园案件调解机构，在发生学生人身伤害事故时，协助被保险学校妥善处理善后事宜，对学校提供法律和保险方面的指导，</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30"/>
        </w:rPr>
        <w:t>尽最大可能减少学校的经济损失。</w:t>
      </w:r>
    </w:p>
    <w:p w14:paraId="6D1C6C95">
      <w:pPr>
        <w:pStyle w:val="7"/>
        <w:ind w:left="30" w:right="75" w:firstLine="474"/>
        <w:jc w:val="left"/>
      </w:pPr>
      <w:r>
        <w:rPr>
          <w:rFonts w:ascii="仿宋_GB2312" w:hAnsi="仿宋_GB2312" w:eastAsia="仿宋_GB2312" w:cs="仿宋_GB2312"/>
          <w:color w:val="000000"/>
          <w:sz w:val="30"/>
        </w:rPr>
        <w:t>(2) 学校与学生家长就学生人身伤害事故赔偿问题产生纠纷时，供应商必须为学校提供法律援助，指派专人负责协助风险管理顾问机构协调学校和家长的矛盾。</w:t>
      </w:r>
    </w:p>
    <w:p w14:paraId="1E590A6E">
      <w:pPr>
        <w:pStyle w:val="7"/>
        <w:ind w:left="15" w:right="75" w:firstLine="482"/>
        <w:jc w:val="left"/>
      </w:pPr>
      <w:r>
        <w:rPr>
          <w:rFonts w:ascii="仿宋_GB2312" w:hAnsi="仿宋_GB2312" w:eastAsia="仿宋_GB2312" w:cs="仿宋_GB2312"/>
          <w:color w:val="000000"/>
          <w:sz w:val="30"/>
        </w:rPr>
        <w:t>(3) 学校与学生家长无法就赔偿问题达成一致意见而诉诸法律时，供应商必须</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30"/>
        </w:rPr>
        <w:t>无偿为学校提供诉讼代理服务。</w:t>
      </w:r>
    </w:p>
    <w:p w14:paraId="50025CBD">
      <w:pPr>
        <w:pStyle w:val="7"/>
        <w:ind w:left="15" w:right="75" w:firstLine="481"/>
        <w:jc w:val="left"/>
      </w:pPr>
      <w:r>
        <w:rPr>
          <w:rFonts w:ascii="仿宋_GB2312" w:hAnsi="仿宋_GB2312" w:eastAsia="仿宋_GB2312" w:cs="仿宋_GB2312"/>
          <w:color w:val="000000"/>
          <w:sz w:val="30"/>
        </w:rPr>
        <w:t>(4) 学校与学生家长诉诸法律解决纠纷时，如教育部门已为学校安排代理律师或者学校经教育行政部门同意自行聘请律师，供应商应充分认可诉讼结论。</w:t>
      </w:r>
    </w:p>
    <w:p w14:paraId="33BA7575">
      <w:pPr>
        <w:pStyle w:val="7"/>
        <w:ind w:left="495"/>
        <w:jc w:val="left"/>
      </w:pPr>
      <w:r>
        <w:rPr>
          <w:rFonts w:ascii="仿宋_GB2312" w:hAnsi="仿宋_GB2312" w:eastAsia="仿宋_GB2312" w:cs="仿宋_GB2312"/>
          <w:color w:val="000000"/>
          <w:sz w:val="30"/>
        </w:rPr>
        <w:t>4、其他服务</w:t>
      </w:r>
    </w:p>
    <w:p w14:paraId="2DF10648">
      <w:pPr>
        <w:pStyle w:val="7"/>
        <w:spacing w:before="150"/>
        <w:ind w:left="15" w:right="75" w:firstLine="485"/>
        <w:jc w:val="left"/>
      </w:pPr>
      <w:r>
        <w:rPr>
          <w:rFonts w:ascii="仿宋_GB2312" w:hAnsi="仿宋_GB2312" w:eastAsia="仿宋_GB2312" w:cs="仿宋_GB2312"/>
          <w:color w:val="000000"/>
          <w:sz w:val="30"/>
        </w:rPr>
        <w:t>(1) 协助风险管理顾问机构对被保险学校进行安全教育和风险管理以及防灾防损培训。</w:t>
      </w:r>
    </w:p>
    <w:p w14:paraId="445F160A">
      <w:pPr>
        <w:pStyle w:val="7"/>
        <w:ind w:left="15" w:right="75" w:firstLine="482"/>
        <w:jc w:val="left"/>
      </w:pPr>
      <w:r>
        <w:rPr>
          <w:rFonts w:ascii="仿宋_GB2312" w:hAnsi="仿宋_GB2312" w:eastAsia="仿宋_GB2312" w:cs="仿宋_GB2312"/>
          <w:color w:val="000000"/>
          <w:sz w:val="30"/>
        </w:rPr>
        <w:t>(2) 协助风险管理顾问机构对被保险学校举办体育比赛、运动会、汇报演出等大型活动时的安全防范工作，提供必要的技术支持，并为活动安排保险方案。</w:t>
      </w:r>
    </w:p>
    <w:p w14:paraId="7E2AEE6A">
      <w:pPr>
        <w:pStyle w:val="7"/>
        <w:ind w:left="15" w:right="75" w:firstLine="484"/>
        <w:jc w:val="left"/>
      </w:pPr>
      <w:r>
        <w:rPr>
          <w:rFonts w:ascii="仿宋_GB2312" w:hAnsi="仿宋_GB2312" w:eastAsia="仿宋_GB2312" w:cs="仿宋_GB2312"/>
          <w:color w:val="000000"/>
          <w:sz w:val="30"/>
        </w:rPr>
        <w:t>(3) 定期向灞桥区教育局和风险管理顾问机构报告工作情况和提供风险管理方案。</w:t>
      </w:r>
    </w:p>
    <w:p w14:paraId="4C60149C">
      <w:pPr>
        <w:pStyle w:val="7"/>
        <w:ind w:left="495"/>
        <w:jc w:val="left"/>
      </w:pPr>
      <w:r>
        <w:rPr>
          <w:rFonts w:ascii="仿宋_GB2312" w:hAnsi="仿宋_GB2312" w:eastAsia="仿宋_GB2312" w:cs="仿宋_GB2312"/>
          <w:color w:val="000000"/>
          <w:sz w:val="30"/>
        </w:rPr>
        <w:t>5、服务承诺</w:t>
      </w:r>
    </w:p>
    <w:p w14:paraId="51906613">
      <w:pPr>
        <w:pStyle w:val="7"/>
        <w:spacing w:before="150"/>
        <w:ind w:left="510"/>
        <w:jc w:val="left"/>
      </w:pPr>
      <w:r>
        <w:rPr>
          <w:rFonts w:ascii="仿宋_GB2312" w:hAnsi="仿宋_GB2312" w:eastAsia="仿宋_GB2312" w:cs="仿宋_GB2312"/>
          <w:color w:val="000000"/>
          <w:sz w:val="30"/>
        </w:rPr>
        <w:t>包括但不限于以下承诺：</w:t>
      </w:r>
    </w:p>
    <w:p w14:paraId="5D943FCC">
      <w:pPr>
        <w:pStyle w:val="7"/>
        <w:spacing w:before="180"/>
        <w:ind w:left="495"/>
        <w:jc w:val="left"/>
      </w:pPr>
      <w:r>
        <w:rPr>
          <w:rFonts w:ascii="仿宋_GB2312" w:hAnsi="仿宋_GB2312" w:eastAsia="仿宋_GB2312" w:cs="仿宋_GB2312"/>
          <w:color w:val="000000"/>
          <w:sz w:val="30"/>
        </w:rPr>
        <w:t>(1) 承保出单时效及保单配送。</w:t>
      </w:r>
    </w:p>
    <w:p w14:paraId="3DF5EE05">
      <w:pPr>
        <w:pStyle w:val="7"/>
        <w:spacing w:before="180"/>
        <w:ind w:left="495"/>
        <w:jc w:val="left"/>
      </w:pPr>
      <w:r>
        <w:rPr>
          <w:rFonts w:ascii="仿宋_GB2312" w:hAnsi="仿宋_GB2312" w:eastAsia="仿宋_GB2312" w:cs="仿宋_GB2312"/>
          <w:color w:val="000000"/>
          <w:sz w:val="30"/>
        </w:rPr>
        <w:t>(2) 索赔资料收取承诺。</w:t>
      </w:r>
    </w:p>
    <w:p w14:paraId="24A696FA">
      <w:pPr>
        <w:pStyle w:val="7"/>
        <w:spacing w:before="180"/>
        <w:ind w:left="495"/>
        <w:jc w:val="left"/>
      </w:pPr>
      <w:r>
        <w:rPr>
          <w:rFonts w:ascii="仿宋_GB2312" w:hAnsi="仿宋_GB2312" w:eastAsia="仿宋_GB2312" w:cs="仿宋_GB2312"/>
          <w:color w:val="000000"/>
          <w:sz w:val="30"/>
        </w:rPr>
        <w:t>(3) 二次治疗案件、牙齿案件、骨折案件处理。</w:t>
      </w:r>
    </w:p>
    <w:p w14:paraId="473B120A">
      <w:pPr>
        <w:pStyle w:val="7"/>
        <w:spacing w:before="180"/>
        <w:ind w:left="495"/>
        <w:jc w:val="left"/>
      </w:pPr>
      <w:r>
        <w:rPr>
          <w:rFonts w:ascii="仿宋_GB2312" w:hAnsi="仿宋_GB2312" w:eastAsia="仿宋_GB2312" w:cs="仿宋_GB2312"/>
          <w:color w:val="000000"/>
          <w:sz w:val="30"/>
        </w:rPr>
        <w:t>6、赔偿范围</w:t>
      </w:r>
    </w:p>
    <w:p w14:paraId="63CB72F9">
      <w:pPr>
        <w:pStyle w:val="7"/>
        <w:spacing w:before="150"/>
        <w:ind w:left="15" w:right="75" w:firstLine="485"/>
        <w:jc w:val="left"/>
      </w:pPr>
      <w:r>
        <w:rPr>
          <w:rFonts w:ascii="仿宋_GB2312" w:hAnsi="仿宋_GB2312" w:eastAsia="仿宋_GB2312" w:cs="仿宋_GB2312"/>
          <w:color w:val="000000"/>
          <w:sz w:val="30"/>
        </w:rPr>
        <w:t>投保人根据《学生伤害事故处理办法》、《最高人民法院关于审理人身损害赔偿案件适用法律若干问题的解释》、《侵权责任法》相关规定，赔偿范围包括：医疗费、住院伙食补助费、营养费、监护人误工费、护理费、交通费、残疾用具费、残疾等级鉴定费、伤残赔偿金、丧葬费、死亡赔偿金、法律费用、施救费用、投保人认为补充响应的其他赔偿范围。</w:t>
      </w:r>
    </w:p>
    <w:p w14:paraId="1E590634">
      <w:pPr>
        <w:pStyle w:val="7"/>
        <w:ind w:left="495"/>
        <w:jc w:val="left"/>
      </w:pPr>
      <w:r>
        <w:rPr>
          <w:rFonts w:ascii="仿宋_GB2312" w:hAnsi="仿宋_GB2312" w:eastAsia="仿宋_GB2312" w:cs="仿宋_GB2312"/>
          <w:color w:val="000000"/>
          <w:sz w:val="30"/>
        </w:rPr>
        <w:t>7、基本保险责任范围</w:t>
      </w:r>
    </w:p>
    <w:p w14:paraId="18BB534D">
      <w:pPr>
        <w:pStyle w:val="7"/>
        <w:spacing w:before="75"/>
        <w:ind w:left="45" w:right="360" w:firstLine="481"/>
        <w:jc w:val="left"/>
      </w:pPr>
      <w:r>
        <w:rPr>
          <w:rFonts w:ascii="仿宋_GB2312" w:hAnsi="仿宋_GB2312" w:eastAsia="仿宋_GB2312" w:cs="仿宋_GB2312"/>
          <w:color w:val="000000"/>
          <w:sz w:val="30"/>
        </w:rPr>
        <w:t>在学校实施的教育教学活动或者学校组织的校外活动中，以及在学校负有管理责任的校舍、场地、其他教育教学设施、生活设施内发生的，造成在册学生人身损害的意外伤害事故依法应由学校承担的经济赔偿责任：</w:t>
      </w:r>
    </w:p>
    <w:tbl>
      <w:tblPr>
        <w:tblStyle w:val="5"/>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8913"/>
      </w:tblGrid>
      <w:tr w14:paraId="54210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706" w:type="dxa"/>
            <w:tcMar>
              <w:top w:w="0" w:type="dxa"/>
              <w:left w:w="0" w:type="dxa"/>
              <w:bottom w:w="0" w:type="dxa"/>
              <w:right w:w="0" w:type="dxa"/>
            </w:tcMar>
            <w:vAlign w:val="center"/>
          </w:tcPr>
          <w:p w14:paraId="768D1172">
            <w:pPr>
              <w:pStyle w:val="7"/>
              <w:jc w:val="center"/>
            </w:pPr>
            <w:r>
              <w:rPr>
                <w:rFonts w:ascii="仿宋_GB2312" w:hAnsi="仿宋_GB2312" w:eastAsia="仿宋_GB2312" w:cs="仿宋_GB2312"/>
                <w:color w:val="000000"/>
                <w:sz w:val="30"/>
              </w:rPr>
              <w:t>序号</w:t>
            </w:r>
          </w:p>
        </w:tc>
        <w:tc>
          <w:tcPr>
            <w:tcW w:w="8913" w:type="dxa"/>
            <w:tcMar>
              <w:top w:w="0" w:type="dxa"/>
              <w:left w:w="0" w:type="dxa"/>
              <w:bottom w:w="0" w:type="dxa"/>
              <w:right w:w="0" w:type="dxa"/>
            </w:tcMar>
            <w:vAlign w:val="top"/>
          </w:tcPr>
          <w:p w14:paraId="2E6287C0">
            <w:pPr>
              <w:pStyle w:val="7"/>
              <w:spacing w:before="135"/>
              <w:ind w:left="3600"/>
              <w:jc w:val="left"/>
            </w:pPr>
            <w:r>
              <w:rPr>
                <w:rFonts w:ascii="仿宋_GB2312" w:hAnsi="仿宋_GB2312" w:eastAsia="仿宋_GB2312" w:cs="仿宋_GB2312"/>
                <w:color w:val="000000"/>
                <w:sz w:val="30"/>
              </w:rPr>
              <w:t>内  容</w:t>
            </w:r>
          </w:p>
        </w:tc>
      </w:tr>
      <w:tr w14:paraId="74B85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trPr>
        <w:tc>
          <w:tcPr>
            <w:tcW w:w="706" w:type="dxa"/>
            <w:tcMar>
              <w:top w:w="0" w:type="dxa"/>
              <w:left w:w="0" w:type="dxa"/>
              <w:bottom w:w="0" w:type="dxa"/>
              <w:right w:w="0" w:type="dxa"/>
            </w:tcMar>
            <w:vAlign w:val="center"/>
          </w:tcPr>
          <w:p w14:paraId="462D4C07">
            <w:pPr>
              <w:pStyle w:val="7"/>
              <w:jc w:val="center"/>
            </w:pPr>
            <w:r>
              <w:rPr>
                <w:rFonts w:ascii="仿宋_GB2312" w:hAnsi="仿宋_GB2312" w:eastAsia="仿宋_GB2312" w:cs="仿宋_GB2312"/>
                <w:color w:val="000000"/>
                <w:sz w:val="30"/>
              </w:rPr>
              <w:t>1</w:t>
            </w:r>
          </w:p>
        </w:tc>
        <w:tc>
          <w:tcPr>
            <w:tcW w:w="8913" w:type="dxa"/>
            <w:tcMar>
              <w:top w:w="0" w:type="dxa"/>
              <w:left w:w="0" w:type="dxa"/>
              <w:bottom w:w="0" w:type="dxa"/>
              <w:right w:w="0" w:type="dxa"/>
            </w:tcMar>
            <w:vAlign w:val="top"/>
          </w:tcPr>
          <w:p w14:paraId="5788FAB3">
            <w:pPr>
              <w:pStyle w:val="7"/>
              <w:spacing w:before="120"/>
              <w:ind w:left="120" w:right="105" w:firstLine="3"/>
              <w:jc w:val="left"/>
            </w:pPr>
            <w:r>
              <w:rPr>
                <w:rFonts w:ascii="仿宋_GB2312" w:hAnsi="仿宋_GB2312" w:eastAsia="仿宋_GB2312" w:cs="仿宋_GB2312"/>
                <w:color w:val="000000"/>
                <w:sz w:val="30"/>
              </w:rPr>
              <w:t>学校的校舍、场地、其他公共设施，以及学校提供给学生使用的学具、教育教学和生活设施、设备不符合国家规定的标准，或者有明显不安全因素的。</w:t>
            </w:r>
          </w:p>
        </w:tc>
      </w:tr>
      <w:tr w14:paraId="0D20C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706" w:type="dxa"/>
            <w:tcMar>
              <w:top w:w="0" w:type="dxa"/>
              <w:left w:w="0" w:type="dxa"/>
              <w:bottom w:w="0" w:type="dxa"/>
              <w:right w:w="0" w:type="dxa"/>
            </w:tcMar>
            <w:vAlign w:val="center"/>
          </w:tcPr>
          <w:p w14:paraId="6CBFA37B">
            <w:pPr>
              <w:pStyle w:val="7"/>
              <w:jc w:val="center"/>
            </w:pPr>
            <w:r>
              <w:rPr>
                <w:rFonts w:ascii="仿宋_GB2312" w:hAnsi="仿宋_GB2312" w:eastAsia="仿宋_GB2312" w:cs="仿宋_GB2312"/>
                <w:color w:val="000000"/>
                <w:sz w:val="30"/>
              </w:rPr>
              <w:t>2</w:t>
            </w:r>
          </w:p>
        </w:tc>
        <w:tc>
          <w:tcPr>
            <w:tcW w:w="8913" w:type="dxa"/>
            <w:tcMar>
              <w:top w:w="0" w:type="dxa"/>
              <w:left w:w="0" w:type="dxa"/>
              <w:bottom w:w="0" w:type="dxa"/>
              <w:right w:w="0" w:type="dxa"/>
            </w:tcMar>
            <w:vAlign w:val="top"/>
          </w:tcPr>
          <w:p w14:paraId="48FFD7FB">
            <w:pPr>
              <w:pStyle w:val="7"/>
              <w:spacing w:before="120"/>
              <w:ind w:left="120" w:right="105" w:firstLine="3"/>
              <w:jc w:val="left"/>
            </w:pPr>
            <w:r>
              <w:rPr>
                <w:rFonts w:ascii="仿宋_GB2312" w:hAnsi="仿宋_GB2312" w:eastAsia="仿宋_GB2312" w:cs="仿宋_GB2312"/>
                <w:color w:val="000000"/>
                <w:sz w:val="30"/>
              </w:rPr>
              <w:t>学校的安全保卫、消防、设施设备管理等安全管理制度有明显疏漏，或者管理混乱，存在重大安全隐患，而未及时采取措施的。</w:t>
            </w:r>
          </w:p>
        </w:tc>
      </w:tr>
      <w:tr w14:paraId="50513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trPr>
        <w:tc>
          <w:tcPr>
            <w:tcW w:w="706" w:type="dxa"/>
            <w:tcMar>
              <w:top w:w="0" w:type="dxa"/>
              <w:left w:w="0" w:type="dxa"/>
              <w:bottom w:w="0" w:type="dxa"/>
              <w:right w:w="0" w:type="dxa"/>
            </w:tcMar>
            <w:vAlign w:val="center"/>
          </w:tcPr>
          <w:p w14:paraId="7AF5AEF1">
            <w:pPr>
              <w:pStyle w:val="7"/>
              <w:jc w:val="center"/>
            </w:pPr>
            <w:r>
              <w:rPr>
                <w:rFonts w:ascii="仿宋_GB2312" w:hAnsi="仿宋_GB2312" w:eastAsia="仿宋_GB2312" w:cs="仿宋_GB2312"/>
                <w:color w:val="000000"/>
                <w:sz w:val="30"/>
              </w:rPr>
              <w:t>3</w:t>
            </w:r>
          </w:p>
        </w:tc>
        <w:tc>
          <w:tcPr>
            <w:tcW w:w="8913" w:type="dxa"/>
            <w:tcMar>
              <w:top w:w="0" w:type="dxa"/>
              <w:left w:w="0" w:type="dxa"/>
              <w:bottom w:w="0" w:type="dxa"/>
              <w:right w:w="0" w:type="dxa"/>
            </w:tcMar>
            <w:vAlign w:val="top"/>
          </w:tcPr>
          <w:p w14:paraId="0898832F">
            <w:pPr>
              <w:pStyle w:val="7"/>
              <w:spacing w:before="120"/>
              <w:ind w:left="120" w:right="105" w:firstLine="3"/>
              <w:jc w:val="left"/>
            </w:pPr>
            <w:r>
              <w:rPr>
                <w:rFonts w:ascii="仿宋_GB2312" w:hAnsi="仿宋_GB2312" w:eastAsia="仿宋_GB2312" w:cs="仿宋_GB2312"/>
                <w:color w:val="000000"/>
                <w:sz w:val="30"/>
              </w:rPr>
              <w:t>学校向学生提供的药品、食品、饮用水等不符合国家或者行业的有关标准、要求的。</w:t>
            </w:r>
          </w:p>
        </w:tc>
      </w:tr>
      <w:tr w14:paraId="77861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706" w:type="dxa"/>
            <w:tcMar>
              <w:top w:w="0" w:type="dxa"/>
              <w:left w:w="0" w:type="dxa"/>
              <w:bottom w:w="0" w:type="dxa"/>
              <w:right w:w="0" w:type="dxa"/>
            </w:tcMar>
            <w:vAlign w:val="center"/>
          </w:tcPr>
          <w:p w14:paraId="5A55FFF9">
            <w:pPr>
              <w:pStyle w:val="7"/>
              <w:jc w:val="center"/>
            </w:pPr>
            <w:r>
              <w:rPr>
                <w:rFonts w:ascii="仿宋_GB2312" w:hAnsi="仿宋_GB2312" w:eastAsia="仿宋_GB2312" w:cs="仿宋_GB2312"/>
                <w:color w:val="000000"/>
                <w:sz w:val="30"/>
              </w:rPr>
              <w:t>4</w:t>
            </w:r>
          </w:p>
        </w:tc>
        <w:tc>
          <w:tcPr>
            <w:tcW w:w="8913" w:type="dxa"/>
            <w:tcMar>
              <w:top w:w="0" w:type="dxa"/>
              <w:left w:w="0" w:type="dxa"/>
              <w:bottom w:w="0" w:type="dxa"/>
              <w:right w:w="0" w:type="dxa"/>
            </w:tcMar>
            <w:vAlign w:val="top"/>
          </w:tcPr>
          <w:p w14:paraId="3AD1DC95">
            <w:pPr>
              <w:pStyle w:val="7"/>
              <w:spacing w:before="120"/>
              <w:ind w:left="120" w:right="105" w:firstLine="3"/>
              <w:jc w:val="left"/>
            </w:pPr>
            <w:r>
              <w:rPr>
                <w:rFonts w:ascii="仿宋_GB2312" w:hAnsi="仿宋_GB2312" w:eastAsia="仿宋_GB2312" w:cs="仿宋_GB2312"/>
                <w:color w:val="000000"/>
                <w:sz w:val="30"/>
              </w:rPr>
              <w:t>学校组织学生参加教育教学活动或者校外活动，未对学生进行相应的安全教育，并未在可预见的范围内采取必要的安全措施的。</w:t>
            </w:r>
          </w:p>
        </w:tc>
      </w:tr>
      <w:tr w14:paraId="02C1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706" w:type="dxa"/>
            <w:tcMar>
              <w:top w:w="0" w:type="dxa"/>
              <w:left w:w="0" w:type="dxa"/>
              <w:bottom w:w="0" w:type="dxa"/>
              <w:right w:w="0" w:type="dxa"/>
            </w:tcMar>
            <w:vAlign w:val="center"/>
          </w:tcPr>
          <w:p w14:paraId="6AB85719">
            <w:pPr>
              <w:pStyle w:val="7"/>
              <w:ind w:firstLine="3"/>
              <w:jc w:val="center"/>
            </w:pPr>
            <w:r>
              <w:rPr>
                <w:rFonts w:ascii="仿宋_GB2312" w:hAnsi="仿宋_GB2312" w:eastAsia="仿宋_GB2312" w:cs="仿宋_GB2312"/>
                <w:color w:val="000000"/>
                <w:sz w:val="30"/>
              </w:rPr>
              <w:t>5</w:t>
            </w:r>
          </w:p>
        </w:tc>
        <w:tc>
          <w:tcPr>
            <w:tcW w:w="8913" w:type="dxa"/>
            <w:tcMar>
              <w:top w:w="0" w:type="dxa"/>
              <w:left w:w="0" w:type="dxa"/>
              <w:bottom w:w="0" w:type="dxa"/>
              <w:right w:w="0" w:type="dxa"/>
            </w:tcMar>
            <w:vAlign w:val="top"/>
          </w:tcPr>
          <w:p w14:paraId="7623527D">
            <w:pPr>
              <w:pStyle w:val="7"/>
              <w:spacing w:before="120"/>
              <w:ind w:left="120" w:right="105" w:firstLine="3"/>
              <w:jc w:val="left"/>
            </w:pPr>
            <w:r>
              <w:rPr>
                <w:rFonts w:ascii="仿宋_GB2312" w:hAnsi="仿宋_GB2312" w:eastAsia="仿宋_GB2312" w:cs="仿宋_GB2312"/>
                <w:color w:val="000000"/>
                <w:sz w:val="30"/>
              </w:rPr>
              <w:t>学校知道教师或者其他工作人员患有不适宜担任教育教学工作的疾病，但未采取必要措施的。</w:t>
            </w:r>
          </w:p>
        </w:tc>
      </w:tr>
      <w:tr w14:paraId="61455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706" w:type="dxa"/>
            <w:tcMar>
              <w:top w:w="0" w:type="dxa"/>
              <w:left w:w="0" w:type="dxa"/>
              <w:bottom w:w="0" w:type="dxa"/>
              <w:right w:w="0" w:type="dxa"/>
            </w:tcMar>
            <w:vAlign w:val="center"/>
          </w:tcPr>
          <w:p w14:paraId="79409B18">
            <w:pPr>
              <w:pStyle w:val="7"/>
              <w:ind w:firstLine="3"/>
              <w:jc w:val="center"/>
            </w:pPr>
            <w:r>
              <w:rPr>
                <w:rFonts w:ascii="仿宋_GB2312" w:hAnsi="仿宋_GB2312" w:eastAsia="仿宋_GB2312" w:cs="仿宋_GB2312"/>
                <w:color w:val="000000"/>
                <w:sz w:val="30"/>
              </w:rPr>
              <w:t>6</w:t>
            </w:r>
          </w:p>
        </w:tc>
        <w:tc>
          <w:tcPr>
            <w:tcW w:w="8913" w:type="dxa"/>
            <w:tcMar>
              <w:top w:w="0" w:type="dxa"/>
              <w:left w:w="0" w:type="dxa"/>
              <w:bottom w:w="0" w:type="dxa"/>
              <w:right w:w="0" w:type="dxa"/>
            </w:tcMar>
            <w:vAlign w:val="top"/>
          </w:tcPr>
          <w:p w14:paraId="4F363178">
            <w:pPr>
              <w:pStyle w:val="7"/>
              <w:spacing w:before="120"/>
              <w:ind w:left="120" w:right="105" w:firstLine="3"/>
              <w:jc w:val="left"/>
            </w:pPr>
            <w:r>
              <w:rPr>
                <w:rFonts w:ascii="仿宋_GB2312" w:hAnsi="仿宋_GB2312" w:eastAsia="仿宋_GB2312" w:cs="仿宋_GB2312"/>
                <w:color w:val="000000"/>
                <w:sz w:val="30"/>
              </w:rPr>
              <w:t>学校组织安排的实习、劳动、体育运动等体力活动，超出学生一般生理承受能力的。</w:t>
            </w:r>
          </w:p>
        </w:tc>
      </w:tr>
      <w:tr w14:paraId="24CC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06" w:type="dxa"/>
            <w:tcMar>
              <w:top w:w="0" w:type="dxa"/>
              <w:left w:w="0" w:type="dxa"/>
              <w:bottom w:w="0" w:type="dxa"/>
              <w:right w:w="0" w:type="dxa"/>
            </w:tcMar>
            <w:vAlign w:val="center"/>
          </w:tcPr>
          <w:p w14:paraId="1C67586E">
            <w:pPr>
              <w:pStyle w:val="7"/>
              <w:jc w:val="center"/>
            </w:pPr>
            <w:r>
              <w:rPr>
                <w:rFonts w:ascii="仿宋_GB2312" w:hAnsi="仿宋_GB2312" w:eastAsia="仿宋_GB2312" w:cs="仿宋_GB2312"/>
                <w:color w:val="000000"/>
                <w:sz w:val="30"/>
              </w:rPr>
              <w:t>7</w:t>
            </w:r>
          </w:p>
        </w:tc>
        <w:tc>
          <w:tcPr>
            <w:tcW w:w="8913" w:type="dxa"/>
            <w:tcMar>
              <w:top w:w="0" w:type="dxa"/>
              <w:left w:w="0" w:type="dxa"/>
              <w:bottom w:w="0" w:type="dxa"/>
              <w:right w:w="0" w:type="dxa"/>
            </w:tcMar>
            <w:vAlign w:val="top"/>
          </w:tcPr>
          <w:p w14:paraId="6234BDAA">
            <w:pPr>
              <w:pStyle w:val="7"/>
              <w:spacing w:before="120"/>
              <w:ind w:left="120" w:right="105" w:firstLine="3"/>
              <w:jc w:val="left"/>
            </w:pPr>
            <w:r>
              <w:rPr>
                <w:rFonts w:ascii="仿宋_GB2312" w:hAnsi="仿宋_GB2312" w:eastAsia="仿宋_GB2312" w:cs="仿宋_GB2312"/>
                <w:color w:val="000000"/>
                <w:sz w:val="30"/>
              </w:rPr>
              <w:t>学生有特异体质或者特定疾病，不宜参加某种教育教学活动，学校知道或者应当知道，但未予以必要的注意的。</w:t>
            </w:r>
          </w:p>
        </w:tc>
      </w:tr>
      <w:tr w14:paraId="75774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706" w:type="dxa"/>
            <w:tcMar>
              <w:top w:w="0" w:type="dxa"/>
              <w:left w:w="0" w:type="dxa"/>
              <w:bottom w:w="0" w:type="dxa"/>
              <w:right w:w="0" w:type="dxa"/>
            </w:tcMar>
            <w:vAlign w:val="center"/>
          </w:tcPr>
          <w:p w14:paraId="04AD207D">
            <w:pPr>
              <w:pStyle w:val="7"/>
              <w:jc w:val="center"/>
            </w:pPr>
            <w:r>
              <w:rPr>
                <w:rFonts w:ascii="仿宋_GB2312" w:hAnsi="仿宋_GB2312" w:eastAsia="仿宋_GB2312" w:cs="仿宋_GB2312"/>
                <w:color w:val="000000"/>
                <w:sz w:val="30"/>
              </w:rPr>
              <w:t>8</w:t>
            </w:r>
          </w:p>
        </w:tc>
        <w:tc>
          <w:tcPr>
            <w:tcW w:w="8913" w:type="dxa"/>
            <w:tcMar>
              <w:top w:w="0" w:type="dxa"/>
              <w:left w:w="0" w:type="dxa"/>
              <w:bottom w:w="0" w:type="dxa"/>
              <w:right w:w="0" w:type="dxa"/>
            </w:tcMar>
            <w:vAlign w:val="top"/>
          </w:tcPr>
          <w:p w14:paraId="4F7A3D4D">
            <w:pPr>
              <w:pStyle w:val="7"/>
              <w:spacing w:before="120"/>
              <w:ind w:left="120" w:right="105" w:firstLine="3"/>
              <w:jc w:val="left"/>
            </w:pPr>
            <w:r>
              <w:rPr>
                <w:rFonts w:ascii="仿宋_GB2312" w:hAnsi="仿宋_GB2312" w:eastAsia="仿宋_GB2312" w:cs="仿宋_GB2312"/>
                <w:color w:val="000000"/>
                <w:sz w:val="30"/>
              </w:rPr>
              <w:t>学生在校期间突发疾病或者受到伤害，学校发现，但未根据实际情况及时采取相应措施，导致不良后果加重的。</w:t>
            </w:r>
          </w:p>
        </w:tc>
      </w:tr>
      <w:tr w14:paraId="00242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706" w:type="dxa"/>
            <w:tcMar>
              <w:top w:w="0" w:type="dxa"/>
              <w:left w:w="0" w:type="dxa"/>
              <w:bottom w:w="0" w:type="dxa"/>
              <w:right w:w="0" w:type="dxa"/>
            </w:tcMar>
            <w:vAlign w:val="center"/>
          </w:tcPr>
          <w:p w14:paraId="54B8325C">
            <w:pPr>
              <w:pStyle w:val="7"/>
              <w:jc w:val="center"/>
            </w:pPr>
            <w:r>
              <w:rPr>
                <w:rFonts w:ascii="仿宋_GB2312" w:hAnsi="仿宋_GB2312" w:eastAsia="仿宋_GB2312" w:cs="仿宋_GB2312"/>
                <w:color w:val="000000"/>
                <w:sz w:val="30"/>
              </w:rPr>
              <w:t>9</w:t>
            </w:r>
          </w:p>
        </w:tc>
        <w:tc>
          <w:tcPr>
            <w:tcW w:w="8913" w:type="dxa"/>
            <w:tcMar>
              <w:top w:w="0" w:type="dxa"/>
              <w:left w:w="0" w:type="dxa"/>
              <w:bottom w:w="0" w:type="dxa"/>
              <w:right w:w="0" w:type="dxa"/>
            </w:tcMar>
            <w:vAlign w:val="top"/>
          </w:tcPr>
          <w:p w14:paraId="5928EF05">
            <w:pPr>
              <w:pStyle w:val="7"/>
              <w:spacing w:before="120"/>
              <w:ind w:left="120" w:right="105" w:firstLine="3"/>
              <w:jc w:val="left"/>
            </w:pPr>
            <w:r>
              <w:rPr>
                <w:rFonts w:ascii="仿宋_GB2312" w:hAnsi="仿宋_GB2312" w:eastAsia="仿宋_GB2312" w:cs="仿宋_GB2312"/>
                <w:color w:val="000000"/>
                <w:sz w:val="30"/>
              </w:rPr>
              <w:t>学校教师或者其他工作人员体罚或者变相体罚学生，或者在履行职责过程中违反工作要求、操作规程、职业道德或者其他有关规定的。</w:t>
            </w:r>
          </w:p>
        </w:tc>
      </w:tr>
      <w:tr w14:paraId="35889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4" w:hRule="atLeast"/>
        </w:trPr>
        <w:tc>
          <w:tcPr>
            <w:tcW w:w="706" w:type="dxa"/>
            <w:tcMar>
              <w:top w:w="0" w:type="dxa"/>
              <w:left w:w="0" w:type="dxa"/>
              <w:bottom w:w="0" w:type="dxa"/>
              <w:right w:w="0" w:type="dxa"/>
            </w:tcMar>
            <w:vAlign w:val="center"/>
          </w:tcPr>
          <w:p w14:paraId="07F4595E">
            <w:pPr>
              <w:pStyle w:val="7"/>
              <w:jc w:val="center"/>
            </w:pPr>
            <w:r>
              <w:rPr>
                <w:rFonts w:ascii="仿宋_GB2312" w:hAnsi="仿宋_GB2312" w:eastAsia="仿宋_GB2312" w:cs="仿宋_GB2312"/>
                <w:color w:val="000000"/>
                <w:sz w:val="30"/>
              </w:rPr>
              <w:t>10</w:t>
            </w:r>
          </w:p>
        </w:tc>
        <w:tc>
          <w:tcPr>
            <w:tcW w:w="8913" w:type="dxa"/>
            <w:tcMar>
              <w:top w:w="0" w:type="dxa"/>
              <w:left w:w="0" w:type="dxa"/>
              <w:bottom w:w="0" w:type="dxa"/>
              <w:right w:w="0" w:type="dxa"/>
            </w:tcMar>
            <w:vAlign w:val="top"/>
          </w:tcPr>
          <w:p w14:paraId="786C7499">
            <w:pPr>
              <w:pStyle w:val="7"/>
              <w:spacing w:before="120"/>
              <w:ind w:left="120" w:right="105" w:firstLine="3"/>
              <w:jc w:val="left"/>
            </w:pPr>
            <w:r>
              <w:rPr>
                <w:rFonts w:ascii="仿宋_GB2312" w:hAnsi="仿宋_GB2312" w:eastAsia="仿宋_GB2312" w:cs="仿宋_GB2312"/>
                <w:color w:val="000000"/>
                <w:sz w:val="30"/>
              </w:rPr>
              <w:t>学校教师或者其他工作人员在负有组织、管理未成年学生的职责期间，发现学生行为具有危险性，但未进行必要的管理、告诫或者制止的。</w:t>
            </w:r>
          </w:p>
        </w:tc>
      </w:tr>
      <w:tr w14:paraId="30D25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2" w:hRule="atLeast"/>
        </w:trPr>
        <w:tc>
          <w:tcPr>
            <w:tcW w:w="706" w:type="dxa"/>
            <w:tcMar>
              <w:top w:w="0" w:type="dxa"/>
              <w:left w:w="0" w:type="dxa"/>
              <w:bottom w:w="0" w:type="dxa"/>
              <w:right w:w="0" w:type="dxa"/>
            </w:tcMar>
            <w:vAlign w:val="center"/>
          </w:tcPr>
          <w:p w14:paraId="275301DD">
            <w:pPr>
              <w:pStyle w:val="7"/>
              <w:jc w:val="center"/>
            </w:pPr>
            <w:r>
              <w:rPr>
                <w:rFonts w:ascii="仿宋_GB2312" w:hAnsi="仿宋_GB2312" w:eastAsia="仿宋_GB2312" w:cs="仿宋_GB2312"/>
                <w:color w:val="000000"/>
                <w:sz w:val="30"/>
              </w:rPr>
              <w:t>11</w:t>
            </w:r>
          </w:p>
        </w:tc>
        <w:tc>
          <w:tcPr>
            <w:tcW w:w="8913" w:type="dxa"/>
            <w:tcMar>
              <w:top w:w="0" w:type="dxa"/>
              <w:left w:w="0" w:type="dxa"/>
              <w:bottom w:w="0" w:type="dxa"/>
              <w:right w:w="0" w:type="dxa"/>
            </w:tcMar>
            <w:vAlign w:val="top"/>
          </w:tcPr>
          <w:p w14:paraId="6AD5E775">
            <w:pPr>
              <w:pStyle w:val="7"/>
              <w:spacing w:before="120"/>
              <w:ind w:left="120" w:right="105" w:firstLine="3"/>
              <w:jc w:val="left"/>
            </w:pPr>
            <w:r>
              <w:rPr>
                <w:rFonts w:ascii="仿宋_GB2312" w:hAnsi="仿宋_GB2312" w:eastAsia="仿宋_GB2312" w:cs="仿宋_GB2312"/>
                <w:color w:val="000000"/>
                <w:sz w:val="30"/>
              </w:rPr>
              <w:t>对未成年学生擅自离校等与学生人身安全直接相关的信息，学校发现或者知道，但未及时告知未成年学生的监护人，导致未成年学生因脱离监护人的保护而发生伤害的。</w:t>
            </w:r>
          </w:p>
        </w:tc>
      </w:tr>
      <w:tr w14:paraId="647A0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706" w:type="dxa"/>
            <w:tcMar>
              <w:top w:w="0" w:type="dxa"/>
              <w:left w:w="0" w:type="dxa"/>
              <w:bottom w:w="0" w:type="dxa"/>
              <w:right w:w="0" w:type="dxa"/>
            </w:tcMar>
            <w:vAlign w:val="center"/>
          </w:tcPr>
          <w:p w14:paraId="12E9566B">
            <w:pPr>
              <w:pStyle w:val="7"/>
              <w:jc w:val="center"/>
            </w:pPr>
            <w:r>
              <w:rPr>
                <w:rFonts w:ascii="仿宋_GB2312" w:hAnsi="仿宋_GB2312" w:eastAsia="仿宋_GB2312" w:cs="仿宋_GB2312"/>
                <w:color w:val="000000"/>
                <w:sz w:val="30"/>
              </w:rPr>
              <w:t>12</w:t>
            </w:r>
          </w:p>
        </w:tc>
        <w:tc>
          <w:tcPr>
            <w:tcW w:w="8913" w:type="dxa"/>
            <w:tcMar>
              <w:top w:w="0" w:type="dxa"/>
              <w:left w:w="0" w:type="dxa"/>
              <w:bottom w:w="0" w:type="dxa"/>
              <w:right w:w="0" w:type="dxa"/>
            </w:tcMar>
            <w:vAlign w:val="top"/>
          </w:tcPr>
          <w:p w14:paraId="29723A6C">
            <w:pPr>
              <w:pStyle w:val="7"/>
              <w:spacing w:before="120"/>
              <w:ind w:left="120" w:right="105" w:firstLine="3"/>
              <w:jc w:val="left"/>
            </w:pPr>
            <w:r>
              <w:rPr>
                <w:rFonts w:ascii="仿宋_GB2312" w:hAnsi="仿宋_GB2312" w:eastAsia="仿宋_GB2312" w:cs="仿宋_GB2312"/>
                <w:color w:val="000000"/>
                <w:sz w:val="30"/>
              </w:rPr>
              <w:t>学校知道或应当知道本校学生患有传染性疾病，而未采取必要的隔离防范措施导致其他学生感染的。</w:t>
            </w:r>
          </w:p>
        </w:tc>
      </w:tr>
      <w:tr w14:paraId="10B8D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706" w:type="dxa"/>
            <w:tcMar>
              <w:top w:w="0" w:type="dxa"/>
              <w:left w:w="0" w:type="dxa"/>
              <w:bottom w:w="0" w:type="dxa"/>
              <w:right w:w="0" w:type="dxa"/>
            </w:tcMar>
            <w:vAlign w:val="center"/>
          </w:tcPr>
          <w:p w14:paraId="2E339646">
            <w:pPr>
              <w:pStyle w:val="7"/>
              <w:jc w:val="center"/>
            </w:pPr>
            <w:r>
              <w:rPr>
                <w:rFonts w:ascii="仿宋_GB2312" w:hAnsi="仿宋_GB2312" w:eastAsia="仿宋_GB2312" w:cs="仿宋_GB2312"/>
                <w:color w:val="000000"/>
                <w:sz w:val="30"/>
              </w:rPr>
              <w:t>13</w:t>
            </w:r>
          </w:p>
        </w:tc>
        <w:tc>
          <w:tcPr>
            <w:tcW w:w="8913" w:type="dxa"/>
            <w:tcMar>
              <w:top w:w="0" w:type="dxa"/>
              <w:left w:w="0" w:type="dxa"/>
              <w:bottom w:w="0" w:type="dxa"/>
              <w:right w:w="0" w:type="dxa"/>
            </w:tcMar>
            <w:vAlign w:val="top"/>
          </w:tcPr>
          <w:p w14:paraId="231A58EC">
            <w:pPr>
              <w:pStyle w:val="7"/>
              <w:spacing w:before="120"/>
              <w:ind w:left="120" w:right="105" w:firstLine="3"/>
              <w:jc w:val="left"/>
            </w:pPr>
            <w:r>
              <w:rPr>
                <w:rFonts w:ascii="仿宋_GB2312" w:hAnsi="仿宋_GB2312" w:eastAsia="仿宋_GB2312" w:cs="仿宋_GB2312"/>
                <w:color w:val="000000"/>
                <w:sz w:val="30"/>
              </w:rPr>
              <w:t>学校有未依法履行职责的其他情形的。</w:t>
            </w:r>
          </w:p>
        </w:tc>
      </w:tr>
      <w:tr w14:paraId="176DD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06" w:type="dxa"/>
            <w:tcMar>
              <w:top w:w="0" w:type="dxa"/>
              <w:left w:w="0" w:type="dxa"/>
              <w:bottom w:w="0" w:type="dxa"/>
              <w:right w:w="0" w:type="dxa"/>
            </w:tcMar>
            <w:vAlign w:val="center"/>
          </w:tcPr>
          <w:p w14:paraId="6C81033F">
            <w:pPr>
              <w:pStyle w:val="7"/>
              <w:jc w:val="center"/>
            </w:pPr>
            <w:r>
              <w:rPr>
                <w:rFonts w:ascii="仿宋_GB2312" w:hAnsi="仿宋_GB2312" w:eastAsia="仿宋_GB2312" w:cs="仿宋_GB2312"/>
                <w:color w:val="000000"/>
                <w:sz w:val="30"/>
              </w:rPr>
              <w:t>14</w:t>
            </w:r>
          </w:p>
        </w:tc>
        <w:tc>
          <w:tcPr>
            <w:tcW w:w="8913" w:type="dxa"/>
            <w:tcMar>
              <w:top w:w="0" w:type="dxa"/>
              <w:left w:w="0" w:type="dxa"/>
              <w:bottom w:w="0" w:type="dxa"/>
              <w:right w:w="0" w:type="dxa"/>
            </w:tcMar>
            <w:vAlign w:val="top"/>
          </w:tcPr>
          <w:p w14:paraId="300013F0">
            <w:pPr>
              <w:pStyle w:val="7"/>
              <w:spacing w:before="120"/>
              <w:ind w:left="120" w:right="105" w:firstLine="3"/>
              <w:jc w:val="left"/>
            </w:pPr>
            <w:r>
              <w:rPr>
                <w:rFonts w:ascii="仿宋_GB2312" w:hAnsi="仿宋_GB2312" w:eastAsia="仿宋_GB2312" w:cs="仿宋_GB2312"/>
                <w:color w:val="000000"/>
                <w:sz w:val="30"/>
              </w:rPr>
              <w:t>必要的诉讼费及其他合理的施救费用。</w:t>
            </w:r>
          </w:p>
        </w:tc>
      </w:tr>
    </w:tbl>
    <w:p w14:paraId="3B114C81">
      <w:pPr>
        <w:pStyle w:val="7"/>
        <w:jc w:val="left"/>
      </w:pPr>
      <w:r>
        <w:rPr>
          <w:rFonts w:ascii="仿宋_GB2312" w:hAnsi="仿宋_GB2312" w:eastAsia="仿宋_GB2312" w:cs="仿宋_GB2312"/>
          <w:color w:val="000000"/>
          <w:sz w:val="30"/>
        </w:rPr>
        <w:t>8、校方无过失责任保险条款</w:t>
      </w:r>
    </w:p>
    <w:p w14:paraId="4511C3D8">
      <w:pPr>
        <w:pStyle w:val="7"/>
        <w:ind w:firstLine="584"/>
        <w:jc w:val="center"/>
      </w:pPr>
      <w:r>
        <w:rPr>
          <w:rFonts w:ascii="仿宋_GB2312" w:hAnsi="仿宋_GB2312" w:eastAsia="仿宋_GB2312" w:cs="仿宋_GB2312"/>
          <w:color w:val="000000"/>
          <w:sz w:val="30"/>
        </w:rPr>
        <w:t>总则</w:t>
      </w:r>
    </w:p>
    <w:p w14:paraId="50C91533">
      <w:pPr>
        <w:pStyle w:val="7"/>
        <w:ind w:firstLine="489"/>
        <w:jc w:val="left"/>
      </w:pPr>
      <w:r>
        <w:rPr>
          <w:rFonts w:ascii="仿宋_GB2312" w:hAnsi="仿宋_GB2312" w:eastAsia="仿宋_GB2312" w:cs="仿宋_GB2312"/>
          <w:color w:val="000000"/>
          <w:sz w:val="30"/>
        </w:rPr>
        <w:t>第一条  本保险是普通教育校方责任保险、高等教育校方责任险和校方责任保险</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30"/>
        </w:rPr>
        <w:t>(以下均简称主险) 的附加险。只有在投保主险后才可投保本附加险。若主险条款与本附加险条款互有冲突，以本附加险条款为准。本附加险条款未尽事宜，以主险条款为准。</w:t>
      </w:r>
    </w:p>
    <w:p w14:paraId="188784C9">
      <w:pPr>
        <w:pStyle w:val="7"/>
        <w:ind w:firstLine="624"/>
        <w:jc w:val="center"/>
      </w:pPr>
      <w:r>
        <w:rPr>
          <w:rFonts w:ascii="仿宋_GB2312" w:hAnsi="仿宋_GB2312" w:eastAsia="仿宋_GB2312" w:cs="仿宋_GB2312"/>
          <w:color w:val="000000"/>
          <w:sz w:val="30"/>
        </w:rPr>
        <w:t>保险责任</w:t>
      </w:r>
    </w:p>
    <w:p w14:paraId="1DC1186C">
      <w:pPr>
        <w:pStyle w:val="7"/>
        <w:ind w:firstLine="490"/>
        <w:jc w:val="left"/>
      </w:pPr>
      <w:r>
        <w:rPr>
          <w:rFonts w:ascii="仿宋_GB2312" w:hAnsi="仿宋_GB2312" w:eastAsia="仿宋_GB2312" w:cs="仿宋_GB2312"/>
          <w:color w:val="000000"/>
          <w:sz w:val="30"/>
        </w:rPr>
        <w:t>第二条  在本保险单列明的保险期间及承保区域范围内，因自然灾害、学生自身原因、学生体质差异、校外的突发性侵害而导致被保险人的在校学生发生人身伤亡，</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30"/>
        </w:rPr>
        <w:t>被保险人已履行相应职责，行为并无不当，但是依法仍需对伤亡学生承担经济赔偿责任时，保险人根据本附加保险合同的约定负责赔偿。</w:t>
      </w:r>
    </w:p>
    <w:p w14:paraId="008A6886">
      <w:pPr>
        <w:pStyle w:val="7"/>
        <w:ind w:firstLine="628"/>
        <w:jc w:val="center"/>
      </w:pPr>
      <w:r>
        <w:rPr>
          <w:rFonts w:ascii="仿宋_GB2312" w:hAnsi="仿宋_GB2312" w:eastAsia="仿宋_GB2312" w:cs="仿宋_GB2312"/>
          <w:color w:val="000000"/>
          <w:sz w:val="30"/>
        </w:rPr>
        <w:t>责任限额</w:t>
      </w:r>
    </w:p>
    <w:p w14:paraId="78A4E6B4">
      <w:pPr>
        <w:pStyle w:val="7"/>
        <w:ind w:firstLine="481"/>
        <w:jc w:val="left"/>
      </w:pPr>
      <w:r>
        <w:rPr>
          <w:rFonts w:ascii="仿宋_GB2312" w:hAnsi="仿宋_GB2312" w:eastAsia="仿宋_GB2312" w:cs="仿宋_GB2312"/>
          <w:color w:val="000000"/>
          <w:sz w:val="30"/>
        </w:rPr>
        <w:t>第三条  本附加险责任限额分每人责任限额(含每人每次事故医疗费责任限额)、每次事故责任限额和累计责任限额，由投保人与保险人协商确定，并在保险单中载明。</w:t>
      </w:r>
    </w:p>
    <w:p w14:paraId="779C6F8A">
      <w:pPr>
        <w:pStyle w:val="7"/>
        <w:ind w:firstLine="608"/>
        <w:jc w:val="center"/>
      </w:pPr>
      <w:r>
        <w:rPr>
          <w:rFonts w:ascii="仿宋_GB2312" w:hAnsi="仿宋_GB2312" w:eastAsia="仿宋_GB2312" w:cs="仿宋_GB2312"/>
          <w:color w:val="000000"/>
          <w:sz w:val="30"/>
        </w:rPr>
        <w:t>释义</w:t>
      </w:r>
    </w:p>
    <w:p w14:paraId="2BB1F61E">
      <w:pPr>
        <w:pStyle w:val="7"/>
        <w:ind w:firstLine="481"/>
        <w:jc w:val="left"/>
      </w:pPr>
      <w:r>
        <w:rPr>
          <w:rFonts w:ascii="仿宋_GB2312" w:hAnsi="仿宋_GB2312" w:eastAsia="仿宋_GB2312" w:cs="仿宋_GB2312"/>
          <w:color w:val="000000"/>
          <w:sz w:val="30"/>
        </w:rPr>
        <w:t>第四条  本附加险有关术语释义如下：</w:t>
      </w:r>
    </w:p>
    <w:p w14:paraId="0A227118">
      <w:pPr>
        <w:pStyle w:val="7"/>
        <w:ind w:firstLine="481"/>
        <w:jc w:val="left"/>
      </w:pPr>
      <w:r>
        <w:rPr>
          <w:rFonts w:ascii="仿宋_GB2312" w:hAnsi="仿宋_GB2312" w:eastAsia="仿宋_GB2312" w:cs="仿宋_GB2312"/>
          <w:color w:val="000000"/>
          <w:sz w:val="30"/>
        </w:rPr>
        <w:t>【保险期间】主险保险单列明的保险起始日至保险终止日的时间区间。</w:t>
      </w:r>
    </w:p>
    <w:p w14:paraId="38394BBD">
      <w:pPr>
        <w:pStyle w:val="7"/>
        <w:ind w:firstLine="481"/>
        <w:jc w:val="left"/>
      </w:pPr>
      <w:r>
        <w:rPr>
          <w:rFonts w:ascii="仿宋_GB2312" w:hAnsi="仿宋_GB2312" w:eastAsia="仿宋_GB2312" w:cs="仿宋_GB2312"/>
          <w:color w:val="000000"/>
          <w:sz w:val="30"/>
        </w:rPr>
        <w:t>【承保区域范围】主险保险单列明的被保险人在其校(园) 内或由其统一组织并 带领下的校 (园) 外活动的区域范围 (限中国境内，港澳台地区除外) 。</w:t>
      </w:r>
    </w:p>
    <w:p w14:paraId="7FDE7BD9">
      <w:pPr>
        <w:pStyle w:val="7"/>
        <w:ind w:firstLine="481"/>
        <w:jc w:val="left"/>
      </w:pPr>
      <w:r>
        <w:rPr>
          <w:rFonts w:ascii="仿宋_GB2312" w:hAnsi="仿宋_GB2312" w:eastAsia="仿宋_GB2312" w:cs="仿宋_GB2312"/>
          <w:color w:val="000000"/>
          <w:sz w:val="30"/>
        </w:rPr>
        <w:t>【自然灾害】指气象部门发布的暴风、暴雨、崖崩、雷击、洪水、龙卷风、飑线、台风(热带风暴) 、海啸、泥石流、突发性滑坡、冰雹灾害。</w:t>
      </w:r>
    </w:p>
    <w:p w14:paraId="47B439EF">
      <w:pPr>
        <w:pStyle w:val="7"/>
        <w:ind w:firstLine="481"/>
        <w:jc w:val="left"/>
      </w:pPr>
      <w:r>
        <w:rPr>
          <w:rFonts w:ascii="仿宋_GB2312" w:hAnsi="仿宋_GB2312" w:eastAsia="仿宋_GB2312" w:cs="仿宋_GB2312"/>
          <w:color w:val="000000"/>
          <w:sz w:val="30"/>
        </w:rPr>
        <w:t>其中，暴风：根据气象部门制定的风力级表规定，暴风是指风速在28.3 米/秒以上，即相当于风力等级表中的 11 级以上的风力。</w:t>
      </w:r>
    </w:p>
    <w:p w14:paraId="6C163A2C">
      <w:pPr>
        <w:pStyle w:val="7"/>
        <w:ind w:firstLine="481"/>
        <w:jc w:val="left"/>
      </w:pPr>
      <w:r>
        <w:rPr>
          <w:rFonts w:ascii="仿宋_GB2312" w:hAnsi="仿宋_GB2312" w:eastAsia="仿宋_GB2312" w:cs="仿宋_GB2312"/>
          <w:color w:val="000000"/>
          <w:sz w:val="30"/>
        </w:rPr>
        <w:t>暴雨：是指每小时降雨量达到16 毫米以上，或连续 12 小时降雨量达到 30 毫米以上，或连续24 小时降雨量达到 50 毫米以上。</w:t>
      </w:r>
    </w:p>
    <w:p w14:paraId="081E7EBF">
      <w:pPr>
        <w:pStyle w:val="7"/>
        <w:ind w:firstLine="481"/>
        <w:jc w:val="left"/>
      </w:pPr>
      <w:r>
        <w:rPr>
          <w:rFonts w:ascii="仿宋_GB2312" w:hAnsi="仿宋_GB2312" w:eastAsia="仿宋_GB2312" w:cs="仿宋_GB2312"/>
          <w:color w:val="000000"/>
          <w:sz w:val="30"/>
        </w:rPr>
        <w:t>【学生自身原因】学生由于疏忽大意或过失行为造成自身的人身伤亡后果。</w:t>
      </w:r>
    </w:p>
    <w:p w14:paraId="0C776293">
      <w:pPr>
        <w:pStyle w:val="7"/>
        <w:ind w:firstLine="481"/>
        <w:jc w:val="left"/>
      </w:pPr>
      <w:r>
        <w:rPr>
          <w:rFonts w:ascii="仿宋_GB2312" w:hAnsi="仿宋_GB2312" w:eastAsia="仿宋_GB2312" w:cs="仿宋_GB2312"/>
          <w:color w:val="000000"/>
          <w:sz w:val="30"/>
        </w:rPr>
        <w:t>【学生体质差异】学生由先天遗传和后天获得所形成的，在形态结构、功能活动方面所固有的、相对稳定的个体特征上的不同。</w:t>
      </w:r>
    </w:p>
    <w:p w14:paraId="232E7AF7">
      <w:pPr>
        <w:pStyle w:val="7"/>
        <w:ind w:firstLine="481"/>
        <w:jc w:val="left"/>
      </w:pPr>
      <w:r>
        <w:rPr>
          <w:rFonts w:ascii="仿宋_GB2312" w:hAnsi="仿宋_GB2312" w:eastAsia="仿宋_GB2312" w:cs="仿宋_GB2312"/>
          <w:color w:val="000000"/>
          <w:sz w:val="30"/>
        </w:rPr>
        <w:t>【校外的突发性侵害】来自校外的车辆、外来人员或其他侵害主体在本保险单列明的承保区域范围内实施的突发性、不可预见的伤害事件。</w:t>
      </w:r>
    </w:p>
    <w:p w14:paraId="08415E1B">
      <w:pPr>
        <w:pStyle w:val="7"/>
        <w:jc w:val="left"/>
      </w:pPr>
      <w:r>
        <w:rPr>
          <w:rFonts w:ascii="仿宋_GB2312" w:hAnsi="仿宋_GB2312" w:eastAsia="仿宋_GB2312" w:cs="仿宋_GB2312"/>
          <w:color w:val="000000"/>
          <w:sz w:val="30"/>
        </w:rPr>
        <w:t>9、教职员工校</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30"/>
        </w:rPr>
        <w:t>(园)</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30"/>
        </w:rPr>
        <w:t>方责任保险</w:t>
      </w:r>
    </w:p>
    <w:p w14:paraId="7D11FF87">
      <w:pPr>
        <w:pStyle w:val="7"/>
        <w:ind w:firstLine="624"/>
        <w:jc w:val="center"/>
      </w:pPr>
      <w:r>
        <w:rPr>
          <w:rFonts w:ascii="仿宋_GB2312" w:hAnsi="仿宋_GB2312" w:eastAsia="仿宋_GB2312" w:cs="仿宋_GB2312"/>
          <w:color w:val="000000"/>
          <w:sz w:val="30"/>
        </w:rPr>
        <w:t>保险责任</w:t>
      </w:r>
    </w:p>
    <w:p w14:paraId="1BB56B20">
      <w:pPr>
        <w:pStyle w:val="7"/>
        <w:ind w:firstLine="480"/>
        <w:jc w:val="left"/>
      </w:pPr>
      <w:r>
        <w:rPr>
          <w:rFonts w:ascii="仿宋_GB2312" w:hAnsi="仿宋_GB2312" w:eastAsia="仿宋_GB2312" w:cs="仿宋_GB2312"/>
          <w:color w:val="000000"/>
          <w:sz w:val="30"/>
        </w:rPr>
        <w:t>教职员工在工作场所内从事相关的工作期间(二十四小时内) 遭受意外事故；教职员工在上下班途中，受到机动车事故伤害；在中华人民共和国境内(不含港澳台地</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30"/>
        </w:rPr>
        <w:t>区) ，教职员工因公外出期间由于工作原因遭受意外事故；由学校统一组织的活动使</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30"/>
        </w:rPr>
        <w:t>教职员工遭受意外事故伤害；教职员工在工作期间患职业性疾病。</w:t>
      </w:r>
    </w:p>
    <w:p w14:paraId="281CFD94">
      <w:pPr>
        <w:pStyle w:val="7"/>
        <w:ind w:firstLine="640"/>
        <w:jc w:val="center"/>
      </w:pPr>
      <w:r>
        <w:rPr>
          <w:rFonts w:ascii="仿宋_GB2312" w:hAnsi="仿宋_GB2312" w:eastAsia="仿宋_GB2312" w:cs="仿宋_GB2312"/>
          <w:color w:val="000000"/>
          <w:sz w:val="30"/>
        </w:rPr>
        <w:t>赔偿范围和限额</w:t>
      </w:r>
    </w:p>
    <w:p w14:paraId="12CB2B63">
      <w:pPr>
        <w:pStyle w:val="7"/>
        <w:ind w:firstLine="478"/>
        <w:jc w:val="left"/>
      </w:pPr>
      <w:r>
        <w:rPr>
          <w:rFonts w:ascii="仿宋_GB2312" w:hAnsi="仿宋_GB2312" w:eastAsia="仿宋_GB2312" w:cs="仿宋_GB2312"/>
          <w:color w:val="000000"/>
          <w:sz w:val="30"/>
        </w:rPr>
        <w:t>(1)死亡赔偿金。教职员工因保险责任导致死亡的(包括法院裁定宣告死亡的)，</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30"/>
        </w:rPr>
        <w:t>最高赔偿限额不低于40 万元。</w:t>
      </w:r>
    </w:p>
    <w:p w14:paraId="36FCC82F">
      <w:pPr>
        <w:pStyle w:val="7"/>
        <w:ind w:firstLine="485"/>
        <w:jc w:val="left"/>
      </w:pPr>
      <w:r>
        <w:rPr>
          <w:rFonts w:ascii="仿宋_GB2312" w:hAnsi="仿宋_GB2312" w:eastAsia="仿宋_GB2312" w:cs="仿宋_GB2312"/>
          <w:color w:val="000000"/>
          <w:sz w:val="30"/>
        </w:rPr>
        <w:t>(2) 伤残赔偿金。教职员工因保险责任导致残疾的，按伤残鉴定机构认定的伤残等级，以及保险条款约定的伤残等级赔偿限额比例计算赔偿金额。最高赔偿限额不低于40 万元。</w:t>
      </w:r>
    </w:p>
    <w:p w14:paraId="15B4B0AF">
      <w:pPr>
        <w:pStyle w:val="7"/>
        <w:ind w:firstLine="470"/>
        <w:jc w:val="left"/>
      </w:pPr>
      <w:r>
        <w:rPr>
          <w:rFonts w:ascii="仿宋_GB2312" w:hAnsi="仿宋_GB2312" w:eastAsia="仿宋_GB2312" w:cs="仿宋_GB2312"/>
          <w:color w:val="000000"/>
          <w:sz w:val="30"/>
        </w:rPr>
        <w:t>(3) 医疗费用。包括挂号费、治疗费、手术费、床位费、检查费、医药费、住院期间的护理费等。最高赔偿限额不低于4 万元。</w:t>
      </w:r>
    </w:p>
    <w:p w14:paraId="60AE9D04">
      <w:pPr>
        <w:pStyle w:val="7"/>
        <w:ind w:firstLine="470"/>
        <w:jc w:val="left"/>
      </w:pPr>
      <w:r>
        <w:rPr>
          <w:rFonts w:ascii="仿宋_GB2312" w:hAnsi="仿宋_GB2312" w:eastAsia="仿宋_GB2312" w:cs="仿宋_GB2312"/>
          <w:color w:val="000000"/>
          <w:sz w:val="30"/>
        </w:rPr>
        <w:t>(4) 特别费用。教职员工因保险责任导致暂时丧失工作能力，学校聘用其他人</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30"/>
        </w:rPr>
        <w:t>员顶岗所花费的费用。最高赔偿限额不低于2 万元。</w:t>
      </w:r>
    </w:p>
    <w:p w14:paraId="00689493">
      <w:pPr>
        <w:pStyle w:val="7"/>
        <w:ind w:firstLine="470"/>
        <w:jc w:val="left"/>
      </w:pPr>
      <w:r>
        <w:rPr>
          <w:rFonts w:ascii="仿宋_GB2312" w:hAnsi="仿宋_GB2312" w:eastAsia="仿宋_GB2312" w:cs="仿宋_GB2312"/>
          <w:color w:val="000000"/>
          <w:sz w:val="30"/>
        </w:rPr>
        <w:t>(5) 诉讼费用。经保险公司书面同意的必要的、合理的诉讼费用。</w:t>
      </w:r>
    </w:p>
    <w:p w14:paraId="11402678">
      <w:pPr>
        <w:pStyle w:val="7"/>
        <w:ind w:firstLine="470"/>
        <w:jc w:val="center"/>
      </w:pPr>
      <w:r>
        <w:rPr>
          <w:rFonts w:ascii="仿宋_GB2312" w:hAnsi="仿宋_GB2312" w:eastAsia="仿宋_GB2312" w:cs="仿宋_GB2312"/>
          <w:color w:val="000000"/>
          <w:sz w:val="30"/>
        </w:rPr>
        <w:t>释义</w:t>
      </w:r>
    </w:p>
    <w:p w14:paraId="48CD214F">
      <w:pPr>
        <w:pStyle w:val="7"/>
        <w:ind w:firstLine="470"/>
        <w:jc w:val="left"/>
      </w:pPr>
      <w:r>
        <w:rPr>
          <w:rFonts w:ascii="仿宋_GB2312" w:hAnsi="仿宋_GB2312" w:eastAsia="仿宋_GB2312" w:cs="仿宋_GB2312"/>
          <w:color w:val="000000"/>
          <w:sz w:val="30"/>
        </w:rPr>
        <w:t>【教职员工】指从事学校管理或服务工作并接受被保险人薪金工资的人员，包括教师、职员、教学辅助人员和工勤人员。实习教师、临时工也属于本保险合同的教职</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30"/>
        </w:rPr>
        <w:t>员工范围。</w:t>
      </w:r>
    </w:p>
    <w:p w14:paraId="40BC821D">
      <w:pPr>
        <w:pStyle w:val="7"/>
        <w:ind w:firstLine="470"/>
        <w:jc w:val="left"/>
      </w:pPr>
      <w:r>
        <w:rPr>
          <w:rFonts w:ascii="仿宋_GB2312" w:hAnsi="仿宋_GB2312" w:eastAsia="仿宋_GB2312" w:cs="仿宋_GB2312"/>
          <w:color w:val="000000"/>
          <w:sz w:val="30"/>
        </w:rPr>
        <w:t>【意外伤害】指遭受外来的、突发的、非本意的、非疾病的使身体受到伤害的客观事件。</w:t>
      </w:r>
    </w:p>
    <w:p w14:paraId="7C26969E">
      <w:pPr>
        <w:pStyle w:val="7"/>
        <w:ind w:firstLine="470"/>
        <w:jc w:val="left"/>
      </w:pPr>
      <w:r>
        <w:rPr>
          <w:rFonts w:ascii="仿宋_GB2312" w:hAnsi="仿宋_GB2312" w:eastAsia="仿宋_GB2312" w:cs="仿宋_GB2312"/>
          <w:color w:val="000000"/>
          <w:sz w:val="30"/>
        </w:rPr>
        <w:t>【职业病】指教职员工在职业性活动中因接触粉尘、放射性物质或其它有害物质引起的并且在保险期间内确诊的疾病。职业病以法定职业病鉴定机构的鉴定结果为准。</w:t>
      </w:r>
    </w:p>
    <w:p w14:paraId="3D5E7725">
      <w:pPr>
        <w:ind w:firstLine="600" w:firstLineChars="200"/>
        <w:rPr>
          <w:rFonts w:ascii="仿宋_GB2312" w:hAnsi="仿宋_GB2312" w:eastAsia="仿宋_GB2312" w:cs="仿宋_GB2312"/>
          <w:color w:val="000000"/>
          <w:sz w:val="30"/>
        </w:rPr>
      </w:pPr>
      <w:r>
        <w:rPr>
          <w:rFonts w:ascii="仿宋_GB2312" w:hAnsi="仿宋_GB2312" w:eastAsia="仿宋_GB2312" w:cs="仿宋_GB2312"/>
          <w:color w:val="000000"/>
          <w:sz w:val="30"/>
        </w:rPr>
        <w:t>【报到之日】指被保险人的教职员工赴被保险人的人事部门办理工作报到手续之日。</w:t>
      </w:r>
    </w:p>
    <w:p w14:paraId="29012560">
      <w:pPr>
        <w:ind w:firstLine="600" w:firstLineChars="200"/>
        <w:rPr>
          <w:rFonts w:ascii="仿宋_GB2312" w:hAnsi="仿宋_GB2312" w:eastAsia="仿宋_GB2312" w:cs="仿宋_GB2312"/>
          <w:color w:val="000000"/>
          <w:sz w:val="30"/>
        </w:rPr>
      </w:pPr>
      <w:bookmarkStart w:id="0" w:name="_GoBack"/>
      <w:r>
        <w:rPr>
          <w:rFonts w:ascii="仿宋_GB2312" w:hAnsi="仿宋_GB2312" w:eastAsia="仿宋_GB2312" w:cs="仿宋_GB2312"/>
          <w:b w:val="0"/>
          <w:bCs w:val="0"/>
          <w:sz w:val="30"/>
        </w:rPr>
        <w:t>特别说明：本采购包所属行业为金融业，该所属行业中小企业划分标准为，资产总额5000亿元以下的为中小微型企业。其中，资产总额400亿元及以上的为中型企业，资产总额20亿元及以上的为小型企业，资产总额20亿元以下的为微型企业。由于系统选项没有金融业，各供应商在编制响应文件中的中小企业声明函时以行业均填写“金融业”。中小企业声明函格式以附件上传的格式为准。</w:t>
      </w:r>
      <w:bookmarkEnd w:id="0"/>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9A6E80"/>
    <w:rsid w:val="1ED60FD1"/>
    <w:rsid w:val="25FE2EE1"/>
    <w:rsid w:val="49A10689"/>
    <w:rsid w:val="5946046A"/>
    <w:rsid w:val="5F30008D"/>
    <w:rsid w:val="6E9A6E80"/>
    <w:rsid w:val="6EDD1718"/>
    <w:rsid w:val="74FE034B"/>
    <w:rsid w:val="75630023"/>
    <w:rsid w:val="785E3A65"/>
    <w:rsid w:val="78AA28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center"/>
      <w:outlineLvl w:val="0"/>
    </w:pPr>
    <w:rPr>
      <w:rFonts w:hint="eastAsia" w:ascii="宋体" w:hAnsi="宋体" w:eastAsia="仿宋" w:cs="宋体"/>
      <w:b/>
      <w:bCs/>
      <w:kern w:val="44"/>
      <w:sz w:val="44"/>
      <w:szCs w:val="48"/>
      <w:lang w:bidi="ar"/>
    </w:rPr>
  </w:style>
  <w:style w:type="paragraph" w:styleId="3">
    <w:name w:val="heading 2"/>
    <w:basedOn w:val="1"/>
    <w:next w:val="1"/>
    <w:semiHidden/>
    <w:unhideWhenUsed/>
    <w:qFormat/>
    <w:uiPriority w:val="0"/>
    <w:pPr>
      <w:keepNext/>
      <w:keepLines/>
      <w:spacing w:beforeLines="0" w:beforeAutospacing="0" w:afterLines="0" w:afterAutospacing="0" w:line="432" w:lineRule="auto"/>
      <w:outlineLvl w:val="1"/>
    </w:pPr>
    <w:rPr>
      <w:rFonts w:ascii="Arial" w:hAnsi="Arial" w:eastAsia="仿宋"/>
      <w:b/>
      <w:sz w:val="36"/>
    </w:rPr>
  </w:style>
  <w:style w:type="paragraph" w:styleId="4">
    <w:name w:val="heading 3"/>
    <w:basedOn w:val="1"/>
    <w:next w:val="1"/>
    <w:semiHidden/>
    <w:unhideWhenUsed/>
    <w:qFormat/>
    <w:uiPriority w:val="0"/>
    <w:pPr>
      <w:keepNext/>
      <w:keepLines/>
      <w:adjustRightInd w:val="0"/>
      <w:snapToGrid w:val="0"/>
      <w:spacing w:beforeLines="0" w:beforeAutospacing="0" w:afterLines="0" w:afterAutospacing="0" w:line="240" w:lineRule="auto"/>
      <w:outlineLvl w:val="2"/>
    </w:pPr>
    <w:rPr>
      <w:rFonts w:eastAsia="仿宋" w:asciiTheme="minorAscii" w:hAnsiTheme="minorAscii"/>
      <w:b/>
      <w:sz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2026-08-06T09:49:00Z</dcterms:created>
  <dc:creator>WPS_1710749217</dc:creator>
  <cp:lastModifiedBy>WPS_1710749217</cp:lastModifiedBy>
  <dcterms:modified xsi:type="dcterms:W3CDTF">2026-08-06T09:55:27Z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B271531C579149548E857F0A2F2854E6_11</vt:lpwstr>
  </property>
  <property fmtid="{D5CDD505-2E9C-101B-9397-08002B2CF9AE}" pid="4" name="KSOTemplateDocerSaveRecord">
    <vt:lpwstr>eyJoZGlkIjoiMTQ5NTE4MjJhZjdlZmQyY2EwMTc5ZTcxY2RkOTU5NmYiLCJ1c2VySWQiOiIxNTg3MTU2NTg1In0=</vt:lpwstr>
  </property>
</Properties>
</file>