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Cs/>
          <w:color w:val="auto"/>
          <w:kern w:val="0"/>
          <w:sz w:val="52"/>
          <w:szCs w:val="52"/>
          <w:highlight w:val="none"/>
        </w:rPr>
      </w:pPr>
    </w:p>
    <w:p>
      <w:pPr>
        <w:jc w:val="center"/>
        <w:rPr>
          <w:rFonts w:hint="eastAsia" w:ascii="宋体" w:hAnsi="宋体" w:eastAsia="宋体" w:cs="宋体"/>
          <w:bCs/>
          <w:color w:val="auto"/>
          <w:kern w:val="0"/>
          <w:sz w:val="52"/>
          <w:szCs w:val="52"/>
          <w:highlight w:val="none"/>
        </w:rPr>
      </w:pPr>
      <w:r>
        <w:rPr>
          <w:rFonts w:hint="eastAsia" w:ascii="宋体" w:hAnsi="宋体" w:eastAsia="宋体" w:cs="宋体"/>
          <w:bCs/>
          <w:color w:val="auto"/>
          <w:kern w:val="0"/>
          <w:sz w:val="52"/>
          <w:szCs w:val="52"/>
          <w:highlight w:val="none"/>
        </w:rPr>
        <w:t>陕西省建设工程施工合同</w:t>
      </w:r>
    </w:p>
    <w:p>
      <w:pPr>
        <w:widowControl/>
        <w:jc w:val="center"/>
        <w:rPr>
          <w:rFonts w:hint="eastAsia" w:ascii="宋体" w:hAnsi="宋体" w:eastAsia="宋体" w:cs="宋体"/>
          <w:b/>
          <w:bCs/>
          <w:color w:val="auto"/>
          <w:kern w:val="0"/>
          <w:sz w:val="36"/>
          <w:szCs w:val="36"/>
          <w:highlight w:val="none"/>
        </w:rPr>
      </w:pPr>
    </w:p>
    <w:p>
      <w:pPr>
        <w:widowControl/>
        <w:jc w:val="center"/>
        <w:rPr>
          <w:rFonts w:hint="eastAsia" w:ascii="宋体" w:hAnsi="宋体" w:eastAsia="宋体" w:cs="宋体"/>
          <w:b/>
          <w:bCs/>
          <w:color w:val="auto"/>
          <w:kern w:val="0"/>
          <w:sz w:val="36"/>
          <w:szCs w:val="36"/>
          <w:highlight w:val="none"/>
        </w:rPr>
      </w:pPr>
      <w:r>
        <w:rPr>
          <w:rFonts w:hint="eastAsia" w:ascii="宋体" w:hAnsi="宋体" w:eastAsia="宋体" w:cs="宋体"/>
          <w:b/>
          <w:bCs/>
          <w:color w:val="auto"/>
          <w:kern w:val="0"/>
          <w:sz w:val="36"/>
          <w:szCs w:val="36"/>
          <w:highlight w:val="none"/>
        </w:rPr>
        <w:t>（示范文本）</w:t>
      </w:r>
    </w:p>
    <w:p>
      <w:pPr>
        <w:widowControl/>
        <w:ind w:firstLine="200"/>
        <w:jc w:val="center"/>
        <w:rPr>
          <w:rFonts w:hint="eastAsia" w:ascii="宋体" w:hAnsi="宋体" w:eastAsia="宋体" w:cs="宋体"/>
          <w:b/>
          <w:bCs/>
          <w:color w:val="auto"/>
          <w:kern w:val="0"/>
          <w:sz w:val="32"/>
          <w:szCs w:val="32"/>
          <w:highlight w:val="none"/>
        </w:rPr>
      </w:pPr>
    </w:p>
    <w:p>
      <w:pPr>
        <w:widowControl/>
        <w:ind w:firstLine="200"/>
        <w:jc w:val="center"/>
        <w:rPr>
          <w:rFonts w:hint="eastAsia" w:ascii="宋体" w:hAnsi="宋体" w:eastAsia="宋体" w:cs="宋体"/>
          <w:b/>
          <w:bCs/>
          <w:color w:val="auto"/>
          <w:kern w:val="0"/>
          <w:sz w:val="32"/>
          <w:szCs w:val="32"/>
          <w:highlight w:val="none"/>
        </w:rPr>
      </w:pPr>
    </w:p>
    <w:p>
      <w:pPr>
        <w:widowControl/>
        <w:ind w:firstLine="200"/>
        <w:jc w:val="center"/>
        <w:rPr>
          <w:rFonts w:hint="eastAsia" w:ascii="宋体" w:hAnsi="宋体" w:eastAsia="宋体" w:cs="宋体"/>
          <w:b/>
          <w:bCs/>
          <w:color w:val="auto"/>
          <w:kern w:val="0"/>
          <w:sz w:val="32"/>
          <w:szCs w:val="32"/>
          <w:highlight w:val="none"/>
        </w:rPr>
      </w:pPr>
    </w:p>
    <w:p>
      <w:pPr>
        <w:widowControl/>
        <w:jc w:val="both"/>
        <w:rPr>
          <w:rFonts w:hint="eastAsia" w:ascii="宋体" w:hAnsi="宋体" w:eastAsia="宋体" w:cs="宋体"/>
          <w:b/>
          <w:bCs/>
          <w:color w:val="auto"/>
          <w:kern w:val="0"/>
          <w:sz w:val="32"/>
          <w:szCs w:val="32"/>
          <w:highlight w:val="none"/>
        </w:rPr>
      </w:pPr>
    </w:p>
    <w:p>
      <w:pPr>
        <w:widowControl/>
        <w:ind w:firstLine="200"/>
        <w:jc w:val="center"/>
        <w:rPr>
          <w:rFonts w:hint="eastAsia" w:ascii="宋体" w:hAnsi="宋体" w:eastAsia="宋体" w:cs="宋体"/>
          <w:b/>
          <w:bCs/>
          <w:color w:val="auto"/>
          <w:kern w:val="0"/>
          <w:sz w:val="32"/>
          <w:szCs w:val="32"/>
          <w:highlight w:val="none"/>
        </w:rPr>
      </w:pPr>
    </w:p>
    <w:p>
      <w:pPr>
        <w:widowControl/>
        <w:ind w:firstLine="200"/>
        <w:jc w:val="center"/>
        <w:rPr>
          <w:rFonts w:hint="eastAsia" w:ascii="宋体" w:hAnsi="宋体" w:eastAsia="宋体" w:cs="宋体"/>
          <w:b/>
          <w:bCs/>
          <w:color w:val="auto"/>
          <w:kern w:val="0"/>
          <w:sz w:val="32"/>
          <w:szCs w:val="32"/>
          <w:highlight w:val="none"/>
        </w:rPr>
      </w:pPr>
    </w:p>
    <w:p>
      <w:pPr>
        <w:widowControl/>
        <w:ind w:firstLine="200"/>
        <w:jc w:val="center"/>
        <w:rPr>
          <w:rFonts w:hint="eastAsia" w:ascii="宋体" w:hAnsi="宋体" w:eastAsia="宋体" w:cs="宋体"/>
          <w:b/>
          <w:bCs/>
          <w:color w:val="auto"/>
          <w:kern w:val="0"/>
          <w:sz w:val="32"/>
          <w:szCs w:val="32"/>
          <w:highlight w:val="none"/>
        </w:rPr>
      </w:pPr>
    </w:p>
    <w:p>
      <w:pPr>
        <w:widowControl/>
        <w:ind w:firstLine="200"/>
        <w:jc w:val="center"/>
        <w:rPr>
          <w:rFonts w:hint="eastAsia" w:ascii="宋体" w:hAnsi="宋体" w:eastAsia="宋体" w:cs="宋体"/>
          <w:b/>
          <w:bCs/>
          <w:color w:val="auto"/>
          <w:kern w:val="0"/>
          <w:sz w:val="32"/>
          <w:szCs w:val="32"/>
          <w:highlight w:val="none"/>
        </w:rPr>
      </w:pPr>
    </w:p>
    <w:p>
      <w:pPr>
        <w:widowControl/>
        <w:jc w:val="center"/>
        <w:rPr>
          <w:rFonts w:hint="eastAsia" w:ascii="宋体" w:hAnsi="宋体" w:eastAsia="宋体" w:cs="宋体"/>
          <w:b/>
          <w:bCs/>
          <w:color w:val="auto"/>
          <w:spacing w:val="143"/>
          <w:kern w:val="0"/>
          <w:sz w:val="36"/>
          <w:szCs w:val="36"/>
          <w:highlight w:val="none"/>
        </w:rPr>
      </w:pPr>
    </w:p>
    <w:p>
      <w:pPr>
        <w:widowControl/>
        <w:jc w:val="center"/>
        <w:rPr>
          <w:rFonts w:hint="eastAsia" w:ascii="宋体" w:hAnsi="宋体" w:eastAsia="宋体" w:cs="宋体"/>
          <w:b/>
          <w:bCs/>
          <w:color w:val="auto"/>
          <w:kern w:val="0"/>
          <w:sz w:val="36"/>
          <w:szCs w:val="36"/>
          <w:highlight w:val="none"/>
        </w:rPr>
      </w:pPr>
      <w:r>
        <w:rPr>
          <w:rFonts w:hint="eastAsia" w:ascii="宋体" w:hAnsi="宋体" w:eastAsia="宋体" w:cs="宋体"/>
          <w:b/>
          <w:bCs/>
          <w:color w:val="auto"/>
          <w:kern w:val="0"/>
          <w:sz w:val="36"/>
          <w:szCs w:val="36"/>
          <w:highlight w:val="none"/>
        </w:rPr>
        <mc:AlternateContent>
          <mc:Choice Requires="wps">
            <w:drawing>
              <wp:anchor distT="0" distB="0" distL="114300" distR="114300" simplePos="0" relativeHeight="251659264" behindDoc="0" locked="0" layoutInCell="1" allowOverlap="1">
                <wp:simplePos x="0" y="0"/>
                <wp:positionH relativeFrom="column">
                  <wp:posOffset>4229100</wp:posOffset>
                </wp:positionH>
                <wp:positionV relativeFrom="paragraph">
                  <wp:posOffset>38100</wp:posOffset>
                </wp:positionV>
                <wp:extent cx="685800" cy="800735"/>
                <wp:effectExtent l="4445" t="4445" r="14605" b="13970"/>
                <wp:wrapNone/>
                <wp:docPr id="8" name="矩形 8"/>
                <wp:cNvGraphicFramePr/>
                <a:graphic xmlns:a="http://schemas.openxmlformats.org/drawingml/2006/main">
                  <a:graphicData uri="http://schemas.microsoft.com/office/word/2010/wordprocessingShape">
                    <wps:wsp>
                      <wps:cNvSpPr/>
                      <wps:spPr>
                        <a:xfrm>
                          <a:off x="0" y="0"/>
                          <a:ext cx="685800" cy="800735"/>
                        </a:xfrm>
                        <a:prstGeom prst="rect">
                          <a:avLst/>
                        </a:prstGeom>
                        <a:solidFill>
                          <a:srgbClr val="FFFFFF"/>
                        </a:solidFill>
                        <a:ln w="9525" cap="flat" cmpd="sng">
                          <a:solidFill>
                            <a:srgbClr val="FFFFFF"/>
                          </a:solidFill>
                          <a:prstDash val="solid"/>
                          <a:miter/>
                          <a:headEnd type="none" w="med" len="med"/>
                          <a:tailEnd type="none" w="med" len="med"/>
                        </a:ln>
                        <a:effectLst/>
                      </wps:spPr>
                      <wps:txbx>
                        <w:txbxContent>
                          <w:p>
                            <w:pPr>
                              <w:widowControl/>
                              <w:jc w:val="center"/>
                              <w:rPr>
                                <w:rFonts w:hint="eastAsia" w:ascii="宋体" w:hAnsi="宋体" w:eastAsia="宋体" w:cs="宋体"/>
                                <w:b/>
                                <w:bCs/>
                                <w:spacing w:val="143"/>
                                <w:kern w:val="0"/>
                                <w:sz w:val="36"/>
                                <w:szCs w:val="36"/>
                              </w:rPr>
                            </w:pPr>
                            <w:r>
                              <w:rPr>
                                <w:rFonts w:hint="eastAsia" w:ascii="宋体" w:hAnsi="宋体" w:eastAsia="宋体" w:cs="宋体"/>
                                <w:b/>
                                <w:bCs/>
                                <w:spacing w:val="143"/>
                                <w:kern w:val="0"/>
                                <w:sz w:val="36"/>
                                <w:szCs w:val="36"/>
                              </w:rPr>
                              <w:t>制</w:t>
                            </w:r>
                          </w:p>
                        </w:txbxContent>
                      </wps:txbx>
                      <wps:bodyPr upright="1"/>
                    </wps:wsp>
                  </a:graphicData>
                </a:graphic>
              </wp:anchor>
            </w:drawing>
          </mc:Choice>
          <mc:Fallback>
            <w:pict>
              <v:rect id="_x0000_s1026" o:spid="_x0000_s1026" o:spt="1" style="position:absolute;left:0pt;margin-left:333pt;margin-top:3pt;height:63.05pt;width:54pt;z-index:251659264;mso-width-relative:page;mso-height-relative:page;" fillcolor="#FFFFFF" filled="t" stroked="t" coordsize="21600,21600" o:gfxdata="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pEoEm9QAAAAJAQAADwAAAAAAAAABACAAAAAiAAAAZHJzL2Rvd25yZXYu&#10;eG1sUEsBAhQAFAAAAAgAh07iQMAMM/P/AQAANgQAAA4AAAAAAAAAAQAgAAAAIwEAAGRycy9lMm9E&#10;b2MueG1sUEsFBgAAAAAGAAYAWQEAAJQFAAAAAA==&#10;">
                <v:fill on="t" focussize="0,0"/>
                <v:stroke color="#FFFFFF" joinstyle="miter"/>
                <v:imagedata o:title=""/>
                <o:lock v:ext="edit" aspectratio="f"/>
                <v:textbox>
                  <w:txbxContent>
                    <w:p>
                      <w:pPr>
                        <w:widowControl/>
                        <w:jc w:val="center"/>
                        <w:rPr>
                          <w:rFonts w:hint="eastAsia" w:ascii="宋体" w:hAnsi="宋体" w:eastAsia="宋体" w:cs="宋体"/>
                          <w:b/>
                          <w:bCs/>
                          <w:spacing w:val="143"/>
                          <w:kern w:val="0"/>
                          <w:sz w:val="36"/>
                          <w:szCs w:val="36"/>
                        </w:rPr>
                      </w:pPr>
                      <w:r>
                        <w:rPr>
                          <w:rFonts w:hint="eastAsia" w:ascii="宋体" w:hAnsi="宋体" w:eastAsia="宋体" w:cs="宋体"/>
                          <w:b/>
                          <w:bCs/>
                          <w:spacing w:val="143"/>
                          <w:kern w:val="0"/>
                          <w:sz w:val="36"/>
                          <w:szCs w:val="36"/>
                        </w:rPr>
                        <w:t>制</w:t>
                      </w:r>
                    </w:p>
                  </w:txbxContent>
                </v:textbox>
              </v:rect>
            </w:pict>
          </mc:Fallback>
        </mc:AlternateContent>
      </w:r>
      <w:r>
        <w:rPr>
          <w:rFonts w:hint="eastAsia" w:ascii="宋体" w:hAnsi="宋体" w:eastAsia="宋体" w:cs="宋体"/>
          <w:b/>
          <w:bCs/>
          <w:color w:val="auto"/>
          <w:spacing w:val="143"/>
          <w:kern w:val="0"/>
          <w:sz w:val="36"/>
          <w:szCs w:val="36"/>
          <w:highlight w:val="none"/>
        </w:rPr>
        <w:t>陕西省建设</w:t>
      </w:r>
      <w:r>
        <w:rPr>
          <w:rFonts w:hint="eastAsia" w:ascii="宋体" w:hAnsi="宋体" w:eastAsia="宋体" w:cs="宋体"/>
          <w:b/>
          <w:bCs/>
          <w:color w:val="auto"/>
          <w:spacing w:val="1"/>
          <w:kern w:val="0"/>
          <w:sz w:val="36"/>
          <w:szCs w:val="36"/>
          <w:highlight w:val="none"/>
        </w:rPr>
        <w:t>厅</w:t>
      </w:r>
    </w:p>
    <w:p>
      <w:pPr>
        <w:widowControl/>
        <w:jc w:val="center"/>
        <w:rPr>
          <w:rFonts w:hint="eastAsia" w:ascii="宋体" w:hAnsi="宋体" w:eastAsia="宋体" w:cs="宋体"/>
          <w:b/>
          <w:bCs/>
          <w:color w:val="auto"/>
          <w:kern w:val="0"/>
          <w:sz w:val="36"/>
          <w:szCs w:val="36"/>
          <w:highlight w:val="none"/>
        </w:rPr>
      </w:pPr>
      <w:r>
        <w:rPr>
          <w:rFonts w:hint="eastAsia" w:ascii="宋体" w:hAnsi="宋体" w:eastAsia="宋体" w:cs="宋体"/>
          <w:b/>
          <w:bCs/>
          <w:color w:val="auto"/>
          <w:spacing w:val="7"/>
          <w:w w:val="96"/>
          <w:kern w:val="0"/>
          <w:sz w:val="36"/>
          <w:szCs w:val="36"/>
          <w:highlight w:val="none"/>
        </w:rPr>
        <w:t>陕西省工商行政管理</w:t>
      </w:r>
      <w:r>
        <w:rPr>
          <w:rFonts w:hint="eastAsia" w:ascii="宋体" w:hAnsi="宋体" w:eastAsia="宋体" w:cs="宋体"/>
          <w:b/>
          <w:bCs/>
          <w:color w:val="auto"/>
          <w:w w:val="96"/>
          <w:kern w:val="0"/>
          <w:sz w:val="36"/>
          <w:szCs w:val="36"/>
          <w:highlight w:val="none"/>
        </w:rPr>
        <w:t>局</w:t>
      </w:r>
    </w:p>
    <w:p>
      <w:pPr>
        <w:widowControl/>
        <w:jc w:val="center"/>
        <w:rPr>
          <w:rFonts w:hint="eastAsia" w:ascii="宋体" w:hAnsi="宋体" w:eastAsia="宋体" w:cs="宋体"/>
          <w:b/>
          <w:bCs/>
          <w:color w:val="auto"/>
          <w:kern w:val="0"/>
          <w:sz w:val="36"/>
          <w:szCs w:val="36"/>
          <w:highlight w:val="none"/>
        </w:rPr>
      </w:pPr>
      <w:r>
        <w:rPr>
          <w:rFonts w:hint="eastAsia" w:ascii="宋体" w:hAnsi="宋体" w:eastAsia="宋体" w:cs="宋体"/>
          <w:b/>
          <w:bCs/>
          <w:color w:val="auto"/>
          <w:kern w:val="0"/>
          <w:sz w:val="36"/>
          <w:szCs w:val="36"/>
          <w:highlight w:val="none"/>
        </w:rPr>
        <w:t xml:space="preserve">   年   月   日</w:t>
      </w:r>
    </w:p>
    <w:p>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8"/>
          <w:szCs w:val="28"/>
          <w:highlight w:val="none"/>
        </w:rPr>
        <w:br w:type="page"/>
      </w:r>
      <w:r>
        <w:rPr>
          <w:rFonts w:hint="eastAsia" w:ascii="宋体" w:hAnsi="宋体" w:eastAsia="宋体" w:cs="宋体"/>
          <w:b/>
          <w:color w:val="auto"/>
          <w:sz w:val="24"/>
          <w:szCs w:val="24"/>
          <w:highlight w:val="none"/>
        </w:rPr>
        <w:t>施 工 合 同</w:t>
      </w:r>
    </w:p>
    <w:p>
      <w:pPr>
        <w:spacing w:line="360" w:lineRule="auto"/>
        <w:ind w:firstLine="624"/>
        <w:rPr>
          <w:rFonts w:hint="eastAsia" w:ascii="宋体" w:hAnsi="宋体" w:eastAsia="宋体" w:cs="宋体"/>
          <w:b/>
          <w:color w:val="auto"/>
          <w:spacing w:val="-4"/>
          <w:sz w:val="24"/>
          <w:szCs w:val="24"/>
          <w:highlight w:val="none"/>
        </w:rPr>
      </w:pPr>
    </w:p>
    <w:p>
      <w:pPr>
        <w:spacing w:line="560" w:lineRule="exact"/>
        <w:rPr>
          <w:rFonts w:hint="eastAsia" w:ascii="宋体" w:hAnsi="宋体" w:eastAsia="宋体" w:cs="宋体"/>
          <w:b/>
          <w:color w:val="auto"/>
          <w:spacing w:val="-4"/>
          <w:sz w:val="24"/>
          <w:szCs w:val="24"/>
          <w:highlight w:val="none"/>
        </w:rPr>
      </w:pPr>
      <w:r>
        <w:rPr>
          <w:rFonts w:hint="eastAsia" w:ascii="宋体" w:hAnsi="宋体" w:eastAsia="宋体" w:cs="宋体"/>
          <w:b/>
          <w:color w:val="auto"/>
          <w:spacing w:val="-4"/>
          <w:sz w:val="24"/>
          <w:szCs w:val="24"/>
          <w:highlight w:val="none"/>
        </w:rPr>
        <w:t>发包方：</w:t>
      </w:r>
      <w:r>
        <w:rPr>
          <w:rFonts w:hint="eastAsia" w:ascii="宋体" w:hAnsi="宋体" w:eastAsia="宋体" w:cs="宋体"/>
          <w:b/>
          <w:color w:val="auto"/>
          <w:spacing w:val="-4"/>
          <w:sz w:val="24"/>
          <w:szCs w:val="24"/>
          <w:highlight w:val="none"/>
          <w:u w:val="single"/>
          <w:lang w:val="en-US" w:eastAsia="zh-CN"/>
        </w:rPr>
        <w:t xml:space="preserve">                     </w:t>
      </w:r>
      <w:r>
        <w:rPr>
          <w:rFonts w:hint="eastAsia" w:ascii="宋体" w:hAnsi="宋体" w:eastAsia="宋体" w:cs="宋体"/>
          <w:b/>
          <w:color w:val="auto"/>
          <w:spacing w:val="-4"/>
          <w:sz w:val="24"/>
          <w:szCs w:val="24"/>
          <w:highlight w:val="none"/>
          <w:u w:val="single"/>
        </w:rPr>
        <w:t xml:space="preserve"> </w:t>
      </w:r>
      <w:r>
        <w:rPr>
          <w:rFonts w:hint="eastAsia" w:ascii="宋体" w:hAnsi="宋体" w:eastAsia="宋体" w:cs="宋体"/>
          <w:b/>
          <w:color w:val="auto"/>
          <w:spacing w:val="-4"/>
          <w:sz w:val="24"/>
          <w:szCs w:val="24"/>
          <w:highlight w:val="none"/>
        </w:rPr>
        <w:t>（以下简称甲方）</w:t>
      </w:r>
    </w:p>
    <w:p>
      <w:pPr>
        <w:spacing w:line="560" w:lineRule="exact"/>
        <w:rPr>
          <w:rFonts w:hint="eastAsia" w:ascii="宋体" w:hAnsi="宋体" w:eastAsia="宋体" w:cs="宋体"/>
          <w:b/>
          <w:color w:val="auto"/>
          <w:spacing w:val="-4"/>
          <w:sz w:val="24"/>
          <w:szCs w:val="24"/>
          <w:highlight w:val="none"/>
        </w:rPr>
      </w:pPr>
      <w:r>
        <w:rPr>
          <w:rFonts w:hint="eastAsia" w:ascii="宋体" w:hAnsi="宋体" w:eastAsia="宋体" w:cs="宋体"/>
          <w:b/>
          <w:color w:val="auto"/>
          <w:spacing w:val="-4"/>
          <w:sz w:val="24"/>
          <w:szCs w:val="24"/>
          <w:highlight w:val="none"/>
        </w:rPr>
        <w:t>承包方：</w:t>
      </w:r>
      <w:r>
        <w:rPr>
          <w:rFonts w:hint="eastAsia" w:ascii="宋体" w:hAnsi="宋体" w:eastAsia="宋体" w:cs="宋体"/>
          <w:b/>
          <w:color w:val="auto"/>
          <w:spacing w:val="-4"/>
          <w:sz w:val="24"/>
          <w:szCs w:val="24"/>
          <w:highlight w:val="none"/>
          <w:u w:val="single"/>
          <w:lang w:val="en-US" w:eastAsia="zh-CN"/>
        </w:rPr>
        <w:t xml:space="preserve">                      </w:t>
      </w:r>
      <w:r>
        <w:rPr>
          <w:rFonts w:hint="eastAsia" w:ascii="宋体" w:hAnsi="宋体" w:eastAsia="宋体" w:cs="宋体"/>
          <w:b/>
          <w:color w:val="auto"/>
          <w:spacing w:val="-4"/>
          <w:sz w:val="24"/>
          <w:szCs w:val="24"/>
          <w:highlight w:val="none"/>
          <w:u w:val="none"/>
          <w:lang w:val="en-US" w:eastAsia="zh-CN"/>
        </w:rPr>
        <w:t>（</w:t>
      </w:r>
      <w:r>
        <w:rPr>
          <w:rFonts w:hint="eastAsia" w:ascii="宋体" w:hAnsi="宋体" w:eastAsia="宋体" w:cs="宋体"/>
          <w:b/>
          <w:color w:val="auto"/>
          <w:spacing w:val="-4"/>
          <w:sz w:val="24"/>
          <w:szCs w:val="24"/>
          <w:highlight w:val="none"/>
        </w:rPr>
        <w:t>以下简称乙方）</w:t>
      </w:r>
    </w:p>
    <w:p>
      <w:pPr>
        <w:spacing w:line="56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根据《中华人民共和国</w:t>
      </w:r>
      <w:r>
        <w:rPr>
          <w:rFonts w:hint="eastAsia" w:ascii="宋体" w:hAnsi="宋体" w:eastAsia="宋体" w:cs="宋体"/>
          <w:color w:val="auto"/>
          <w:spacing w:val="-4"/>
          <w:sz w:val="24"/>
          <w:szCs w:val="24"/>
          <w:highlight w:val="none"/>
          <w:lang w:val="en-US" w:eastAsia="zh-CN"/>
        </w:rPr>
        <w:t>民法典</w:t>
      </w:r>
      <w:r>
        <w:rPr>
          <w:rFonts w:hint="eastAsia" w:ascii="宋体" w:hAnsi="宋体" w:eastAsia="宋体" w:cs="宋体"/>
          <w:color w:val="auto"/>
          <w:spacing w:val="-4"/>
          <w:sz w:val="24"/>
          <w:szCs w:val="24"/>
          <w:highlight w:val="none"/>
        </w:rPr>
        <w:t>》和《中华人民共和国建筑法》及有关法律、法规，并参照《建设工程施工合同》，经双方协商一致，订立本施工合同。</w:t>
      </w:r>
    </w:p>
    <w:p>
      <w:pPr>
        <w:spacing w:line="560" w:lineRule="exact"/>
        <w:ind w:firstLine="624"/>
        <w:rPr>
          <w:rFonts w:hint="eastAsia" w:ascii="宋体" w:hAnsi="宋体" w:eastAsia="宋体" w:cs="宋体"/>
          <w:b/>
          <w:color w:val="auto"/>
          <w:spacing w:val="-4"/>
          <w:sz w:val="24"/>
          <w:szCs w:val="24"/>
          <w:highlight w:val="none"/>
        </w:rPr>
      </w:pPr>
      <w:r>
        <w:rPr>
          <w:rFonts w:hint="eastAsia" w:ascii="宋体" w:hAnsi="宋体" w:eastAsia="宋体" w:cs="宋体"/>
          <w:b/>
          <w:color w:val="auto"/>
          <w:spacing w:val="-4"/>
          <w:sz w:val="24"/>
          <w:szCs w:val="24"/>
          <w:highlight w:val="none"/>
        </w:rPr>
        <w:t>第1条：工程概况</w:t>
      </w:r>
    </w:p>
    <w:p>
      <w:pPr>
        <w:spacing w:line="560" w:lineRule="exact"/>
        <w:ind w:firstLine="624"/>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rPr>
        <w:t>1.1工程名称：</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lang w:val="en-US" w:eastAsia="zh-CN"/>
        </w:rPr>
        <w:t xml:space="preserve">                            </w:t>
      </w:r>
    </w:p>
    <w:p>
      <w:pPr>
        <w:spacing w:line="560" w:lineRule="exact"/>
        <w:ind w:firstLine="624"/>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rPr>
        <w:t>1.2工</w:t>
      </w:r>
      <w:r>
        <w:rPr>
          <w:rFonts w:hint="eastAsia" w:ascii="宋体" w:hAnsi="宋体" w:eastAsia="宋体" w:cs="宋体"/>
          <w:color w:val="auto"/>
          <w:spacing w:val="-4"/>
          <w:sz w:val="24"/>
          <w:szCs w:val="24"/>
          <w:highlight w:val="none"/>
          <w:lang w:eastAsia="zh-CN"/>
        </w:rPr>
        <w:t>标段名称：</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lang w:val="en-US" w:eastAsia="zh-CN"/>
        </w:rPr>
        <w:t xml:space="preserve">    </w:t>
      </w:r>
    </w:p>
    <w:p>
      <w:pPr>
        <w:spacing w:line="560" w:lineRule="exact"/>
        <w:ind w:firstLine="624"/>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rPr>
        <w:t>1.</w:t>
      </w:r>
      <w:r>
        <w:rPr>
          <w:rFonts w:hint="eastAsia" w:ascii="宋体" w:hAnsi="宋体" w:eastAsia="宋体" w:cs="宋体"/>
          <w:color w:val="auto"/>
          <w:spacing w:val="-4"/>
          <w:sz w:val="24"/>
          <w:szCs w:val="24"/>
          <w:highlight w:val="none"/>
          <w:lang w:val="en-US" w:eastAsia="zh-CN"/>
        </w:rPr>
        <w:t>3</w:t>
      </w:r>
      <w:r>
        <w:rPr>
          <w:rFonts w:hint="eastAsia" w:ascii="宋体" w:hAnsi="宋体" w:eastAsia="宋体" w:cs="宋体"/>
          <w:color w:val="auto"/>
          <w:spacing w:val="-4"/>
          <w:sz w:val="24"/>
          <w:szCs w:val="24"/>
          <w:highlight w:val="none"/>
        </w:rPr>
        <w:t>工程地点：</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lang w:val="en-US" w:eastAsia="zh-CN"/>
        </w:rPr>
        <w:t xml:space="preserve">       </w:t>
      </w:r>
    </w:p>
    <w:p>
      <w:pPr>
        <w:spacing w:line="56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1.</w:t>
      </w:r>
      <w:r>
        <w:rPr>
          <w:rFonts w:hint="eastAsia" w:ascii="宋体" w:hAnsi="宋体" w:eastAsia="宋体" w:cs="宋体"/>
          <w:color w:val="auto"/>
          <w:spacing w:val="-4"/>
          <w:sz w:val="24"/>
          <w:szCs w:val="24"/>
          <w:highlight w:val="none"/>
          <w:lang w:val="en-US" w:eastAsia="zh-CN"/>
        </w:rPr>
        <w:t>4</w:t>
      </w:r>
      <w:r>
        <w:rPr>
          <w:rFonts w:hint="eastAsia" w:ascii="宋体" w:hAnsi="宋体" w:eastAsia="宋体" w:cs="宋体"/>
          <w:color w:val="auto"/>
          <w:spacing w:val="-4"/>
          <w:sz w:val="24"/>
          <w:szCs w:val="24"/>
          <w:highlight w:val="none"/>
        </w:rPr>
        <w:t>工程内容：</w:t>
      </w:r>
      <w:r>
        <w:rPr>
          <w:rFonts w:hint="eastAsia" w:ascii="宋体" w:hAnsi="宋体" w:eastAsia="宋体" w:cs="宋体"/>
          <w:color w:val="auto"/>
          <w:spacing w:val="-4"/>
          <w:sz w:val="24"/>
          <w:szCs w:val="24"/>
          <w:highlight w:val="none"/>
          <w:u w:val="single"/>
          <w:lang w:val="en-US" w:eastAsia="zh-CN"/>
        </w:rPr>
        <w:t xml:space="preserve">                                   </w:t>
      </w:r>
    </w:p>
    <w:p>
      <w:pPr>
        <w:spacing w:line="56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1.</w:t>
      </w:r>
      <w:r>
        <w:rPr>
          <w:rFonts w:hint="eastAsia" w:ascii="宋体" w:hAnsi="宋体" w:eastAsia="宋体" w:cs="宋体"/>
          <w:color w:val="auto"/>
          <w:spacing w:val="-4"/>
          <w:sz w:val="24"/>
          <w:szCs w:val="24"/>
          <w:highlight w:val="none"/>
          <w:lang w:val="en-US" w:eastAsia="zh-CN"/>
        </w:rPr>
        <w:t>5</w:t>
      </w:r>
      <w:r>
        <w:rPr>
          <w:rFonts w:hint="eastAsia" w:ascii="宋体" w:hAnsi="宋体" w:eastAsia="宋体" w:cs="宋体"/>
          <w:color w:val="auto"/>
          <w:spacing w:val="-4"/>
          <w:sz w:val="24"/>
          <w:szCs w:val="24"/>
          <w:highlight w:val="none"/>
        </w:rPr>
        <w:t>项目范围：</w:t>
      </w:r>
      <w:r>
        <w:rPr>
          <w:rFonts w:hint="eastAsia" w:ascii="宋体" w:hAnsi="宋体" w:eastAsia="宋体" w:cs="宋体"/>
          <w:color w:val="auto"/>
          <w:spacing w:val="-4"/>
          <w:sz w:val="24"/>
          <w:szCs w:val="24"/>
          <w:highlight w:val="none"/>
          <w:u w:val="single"/>
          <w:lang w:val="en-US" w:eastAsia="zh-CN"/>
        </w:rPr>
        <w:t xml:space="preserve">                                   </w:t>
      </w:r>
    </w:p>
    <w:p>
      <w:pPr>
        <w:spacing w:line="560" w:lineRule="exact"/>
        <w:ind w:firstLine="624"/>
        <w:rPr>
          <w:rFonts w:hint="eastAsia" w:ascii="宋体" w:hAnsi="宋体" w:eastAsia="宋体" w:cs="宋体"/>
          <w:b/>
          <w:color w:val="auto"/>
          <w:spacing w:val="-4"/>
          <w:sz w:val="24"/>
          <w:szCs w:val="24"/>
          <w:highlight w:val="none"/>
        </w:rPr>
      </w:pPr>
      <w:r>
        <w:rPr>
          <w:rFonts w:hint="eastAsia" w:ascii="宋体" w:hAnsi="宋体" w:eastAsia="宋体" w:cs="宋体"/>
          <w:b/>
          <w:color w:val="auto"/>
          <w:spacing w:val="-4"/>
          <w:sz w:val="24"/>
          <w:szCs w:val="24"/>
          <w:highlight w:val="none"/>
        </w:rPr>
        <w:t>第2条：合同价款</w:t>
      </w:r>
    </w:p>
    <w:p>
      <w:pPr>
        <w:spacing w:line="56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2.1本工程合同价款以</w:t>
      </w:r>
      <w:r>
        <w:rPr>
          <w:rFonts w:hint="eastAsia" w:ascii="宋体" w:hAnsi="宋体" w:eastAsia="宋体" w:cs="宋体"/>
          <w:color w:val="auto"/>
          <w:spacing w:val="-4"/>
          <w:sz w:val="24"/>
          <w:szCs w:val="24"/>
          <w:highlight w:val="none"/>
          <w:lang w:eastAsia="zh-CN"/>
        </w:rPr>
        <w:t>采购代理机构</w:t>
      </w:r>
      <w:r>
        <w:rPr>
          <w:rFonts w:hint="eastAsia" w:ascii="宋体" w:hAnsi="宋体" w:eastAsia="宋体" w:cs="宋体"/>
          <w:color w:val="auto"/>
          <w:spacing w:val="-4"/>
          <w:sz w:val="24"/>
          <w:szCs w:val="24"/>
          <w:highlight w:val="none"/>
        </w:rPr>
        <w:t>评定的乙方中标价为据确定，为大写：人民币</w:t>
      </w:r>
      <w:r>
        <w:rPr>
          <w:rFonts w:hint="eastAsia" w:ascii="宋体" w:hAnsi="宋体" w:eastAsia="宋体" w:cs="宋体"/>
          <w:snapToGrid w:val="0"/>
          <w:color w:val="auto"/>
          <w:kern w:val="0"/>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，小写：</w:t>
      </w:r>
      <w:r>
        <w:rPr>
          <w:rFonts w:hint="eastAsia" w:ascii="宋体" w:hAnsi="宋体" w:eastAsia="宋体" w:cs="宋体"/>
          <w:snapToGrid w:val="0"/>
          <w:color w:val="auto"/>
          <w:kern w:val="0"/>
          <w:sz w:val="24"/>
          <w:szCs w:val="24"/>
          <w:highlight w:val="none"/>
          <w:u w:val="single"/>
        </w:rPr>
        <w:t>¥</w:t>
      </w:r>
      <w:r>
        <w:rPr>
          <w:rFonts w:hint="eastAsia" w:ascii="宋体" w:hAnsi="宋体" w:eastAsia="宋体" w:cs="宋体"/>
          <w:snapToGrid w:val="0"/>
          <w:color w:val="auto"/>
          <w:kern w:val="0"/>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w:t>
      </w:r>
    </w:p>
    <w:p>
      <w:pPr>
        <w:spacing w:line="56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2.2本合同为固定单价合同。除合同另有约定外，综合单价在约定的风险范围内不予调整。工程量按实际完成的数量结算。当发生设计变更、工程范围变更、法律变化或主要材料价格异常波动（超过合同约定的风险幅度）等情形时，双方应按合同约定或参照相关规定调整工程价款。</w:t>
      </w:r>
    </w:p>
    <w:p>
      <w:pPr>
        <w:spacing w:line="60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2.3合同总价应包括：为实施本工程所发生的人工费、材料费、机械费、设备费、设备租赁费、临时工程费、临时占地租金、各种管理费、税金、保险费、利润以及合同中明示的一切风险等所有费用。</w:t>
      </w:r>
    </w:p>
    <w:p>
      <w:pPr>
        <w:spacing w:line="60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2.4合同工程范围</w:t>
      </w:r>
    </w:p>
    <w:p>
      <w:pPr>
        <w:spacing w:line="60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合同的工程范围是指</w:t>
      </w:r>
      <w:r>
        <w:rPr>
          <w:rFonts w:hint="eastAsia" w:ascii="宋体" w:hAnsi="宋体" w:eastAsia="宋体" w:cs="宋体"/>
          <w:color w:val="auto"/>
          <w:spacing w:val="-4"/>
          <w:sz w:val="24"/>
          <w:szCs w:val="24"/>
          <w:highlight w:val="none"/>
          <w:lang w:eastAsia="zh-CN"/>
        </w:rPr>
        <w:t>采购文件</w:t>
      </w:r>
      <w:r>
        <w:rPr>
          <w:rFonts w:hint="eastAsia" w:ascii="宋体" w:hAnsi="宋体" w:eastAsia="宋体" w:cs="宋体"/>
          <w:color w:val="auto"/>
          <w:spacing w:val="-4"/>
          <w:sz w:val="24"/>
          <w:szCs w:val="24"/>
          <w:highlight w:val="none"/>
        </w:rPr>
        <w:t>所列的工程内容及范围。</w:t>
      </w:r>
    </w:p>
    <w:p>
      <w:pPr>
        <w:spacing w:line="60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2.5合同的转包与分包</w:t>
      </w:r>
    </w:p>
    <w:p>
      <w:pPr>
        <w:spacing w:line="60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本合同工程，乙方及任何部门不得以任何借口和形式转包，如有发生除扣除履约保证金外取消承包资格，另选施工单位。</w:t>
      </w:r>
    </w:p>
    <w:p>
      <w:pPr>
        <w:spacing w:line="600" w:lineRule="exact"/>
        <w:ind w:firstLine="624"/>
        <w:rPr>
          <w:rFonts w:hint="eastAsia" w:ascii="宋体" w:hAnsi="宋体" w:eastAsia="宋体" w:cs="宋体"/>
          <w:b/>
          <w:color w:val="auto"/>
          <w:spacing w:val="-4"/>
          <w:sz w:val="24"/>
          <w:szCs w:val="24"/>
          <w:highlight w:val="none"/>
        </w:rPr>
      </w:pPr>
      <w:r>
        <w:rPr>
          <w:rFonts w:hint="eastAsia" w:ascii="宋体" w:hAnsi="宋体" w:eastAsia="宋体" w:cs="宋体"/>
          <w:b/>
          <w:color w:val="auto"/>
          <w:spacing w:val="-4"/>
          <w:sz w:val="24"/>
          <w:szCs w:val="24"/>
          <w:highlight w:val="none"/>
        </w:rPr>
        <w:t>第3条：项目工期</w:t>
      </w:r>
    </w:p>
    <w:p>
      <w:pPr>
        <w:spacing w:line="600" w:lineRule="exact"/>
        <w:ind w:left="279" w:leftChars="133" w:firstLine="457" w:firstLineChars="197"/>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3.1本项目开完工日期：自</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日至</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日，工期</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lang w:val="en-US" w:eastAsia="zh-CN"/>
        </w:rPr>
        <w:t>日历天</w:t>
      </w:r>
      <w:r>
        <w:rPr>
          <w:rFonts w:hint="eastAsia" w:ascii="宋体" w:hAnsi="宋体" w:eastAsia="宋体" w:cs="宋体"/>
          <w:color w:val="auto"/>
          <w:spacing w:val="-4"/>
          <w:sz w:val="24"/>
          <w:szCs w:val="24"/>
          <w:highlight w:val="none"/>
        </w:rPr>
        <w:t>。</w:t>
      </w:r>
    </w:p>
    <w:p>
      <w:pPr>
        <w:spacing w:line="600" w:lineRule="exact"/>
        <w:ind w:firstLine="624"/>
        <w:rPr>
          <w:rFonts w:hint="eastAsia" w:ascii="宋体" w:hAnsi="宋体" w:eastAsia="宋体" w:cs="宋体"/>
          <w:b/>
          <w:color w:val="auto"/>
          <w:spacing w:val="-4"/>
          <w:sz w:val="24"/>
          <w:szCs w:val="24"/>
          <w:highlight w:val="none"/>
        </w:rPr>
      </w:pPr>
      <w:r>
        <w:rPr>
          <w:rFonts w:hint="eastAsia" w:ascii="宋体" w:hAnsi="宋体" w:eastAsia="宋体" w:cs="宋体"/>
          <w:b/>
          <w:color w:val="auto"/>
          <w:spacing w:val="-4"/>
          <w:sz w:val="24"/>
          <w:szCs w:val="24"/>
          <w:highlight w:val="none"/>
        </w:rPr>
        <w:t>第4条：工程质量等级</w:t>
      </w:r>
    </w:p>
    <w:p>
      <w:pPr>
        <w:spacing w:line="60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 xml:space="preserve">4.1本工程要求质量等级为：合格 </w:t>
      </w:r>
    </w:p>
    <w:p>
      <w:pPr>
        <w:spacing w:line="600" w:lineRule="exact"/>
        <w:ind w:firstLine="624"/>
        <w:rPr>
          <w:rFonts w:hint="eastAsia" w:ascii="宋体" w:hAnsi="宋体" w:eastAsia="宋体" w:cs="宋体"/>
          <w:b/>
          <w:color w:val="auto"/>
          <w:spacing w:val="-4"/>
          <w:sz w:val="24"/>
          <w:szCs w:val="24"/>
          <w:highlight w:val="none"/>
        </w:rPr>
      </w:pPr>
      <w:r>
        <w:rPr>
          <w:rFonts w:hint="eastAsia" w:ascii="宋体" w:hAnsi="宋体" w:eastAsia="宋体" w:cs="宋体"/>
          <w:b/>
          <w:color w:val="auto"/>
          <w:spacing w:val="-4"/>
          <w:sz w:val="24"/>
          <w:szCs w:val="24"/>
          <w:highlight w:val="none"/>
        </w:rPr>
        <w:t>第5条：图纸资料</w:t>
      </w:r>
    </w:p>
    <w:p>
      <w:pPr>
        <w:spacing w:line="600" w:lineRule="exact"/>
        <w:ind w:firstLine="624"/>
        <w:rPr>
          <w:rFonts w:hint="default" w:ascii="宋体" w:hAnsi="宋体" w:eastAsia="宋体" w:cs="宋体"/>
          <w:b/>
          <w:color w:val="auto"/>
          <w:spacing w:val="-4"/>
          <w:sz w:val="24"/>
          <w:szCs w:val="24"/>
          <w:highlight w:val="none"/>
          <w:lang w:val="en-US" w:eastAsia="zh-CN"/>
        </w:rPr>
      </w:pPr>
      <w:r>
        <w:rPr>
          <w:rFonts w:hint="eastAsia" w:ascii="宋体" w:hAnsi="宋体" w:eastAsia="宋体" w:cs="宋体"/>
          <w:b/>
          <w:color w:val="auto"/>
          <w:spacing w:val="-4"/>
          <w:sz w:val="24"/>
          <w:szCs w:val="24"/>
          <w:highlight w:val="none"/>
          <w:lang w:val="en-US" w:eastAsia="zh-CN"/>
        </w:rPr>
        <w:t xml:space="preserve">   /</w:t>
      </w:r>
    </w:p>
    <w:p>
      <w:pPr>
        <w:spacing w:line="600" w:lineRule="exact"/>
        <w:ind w:firstLine="624"/>
        <w:rPr>
          <w:rFonts w:hint="eastAsia" w:ascii="宋体" w:hAnsi="宋体" w:eastAsia="宋体" w:cs="宋体"/>
          <w:b/>
          <w:color w:val="auto"/>
          <w:spacing w:val="-4"/>
          <w:sz w:val="24"/>
          <w:szCs w:val="24"/>
          <w:highlight w:val="none"/>
        </w:rPr>
      </w:pPr>
      <w:r>
        <w:rPr>
          <w:rFonts w:hint="eastAsia" w:ascii="宋体" w:hAnsi="宋体" w:eastAsia="宋体" w:cs="宋体"/>
          <w:b/>
          <w:color w:val="auto"/>
          <w:spacing w:val="-4"/>
          <w:sz w:val="24"/>
          <w:szCs w:val="24"/>
          <w:highlight w:val="none"/>
        </w:rPr>
        <w:t>第6条：开工准备</w:t>
      </w:r>
    </w:p>
    <w:p>
      <w:pPr>
        <w:spacing w:line="60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6.1乙方应在本合同签订后，按照甲方提供原设计文件对本合同各项工程数量进行复核，复核工作包括设计文件自身以及文件与施工现场的复核，复核应按照设计文件进行。乙方应在开工前将复核结果书面通知甲方，由甲方审核确认。工程开工后，乙方所报工程量复核资料，甲方均不受理，其责任和费用均由乙方自负。</w:t>
      </w:r>
    </w:p>
    <w:p>
      <w:pPr>
        <w:spacing w:line="60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6.2乙方开工前必须书面报经监理方、业主方审查批准，工程开工必须达到以下条件：</w:t>
      </w:r>
    </w:p>
    <w:p>
      <w:pPr>
        <w:spacing w:line="60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(1)项目部组建完成，施工机械到场，相关机构、人员、职责、管理等制度完善，必须明确项目经理、技术员。</w:t>
      </w:r>
    </w:p>
    <w:p>
      <w:pPr>
        <w:spacing w:line="60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(2)项目工程完成复核、测量、放线等前期准备工作，项目经理确认无误。</w:t>
      </w:r>
    </w:p>
    <w:p>
      <w:pPr>
        <w:spacing w:line="60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(3)如有变更，完成变更设计审批。</w:t>
      </w:r>
    </w:p>
    <w:p>
      <w:pPr>
        <w:spacing w:line="60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(4)完成工程建设涉及的占地以及因占地引发的地面附着物清偿等的全部协调工作，必须有利益群众的书面承诺。</w:t>
      </w:r>
    </w:p>
    <w:p>
      <w:pPr>
        <w:spacing w:line="60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6.3甲方主持召开第一次工地例会，组织乙方，设计单位、监理机构向乙方进行设计交底，并负责签发会议纪要。</w:t>
      </w:r>
    </w:p>
    <w:p>
      <w:pPr>
        <w:spacing w:line="60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6.4甲方应协助乙方协调施工外围关系，排除施工干扰，保证项目顺利开工和实施。</w:t>
      </w:r>
    </w:p>
    <w:p>
      <w:pPr>
        <w:spacing w:line="60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6.5乙方应按时向甲方和监理机构递交施工组织设计，年、季、月施工进度计划安排，监理机构与甲方协商后，予以批复。</w:t>
      </w:r>
    </w:p>
    <w:p>
      <w:pPr>
        <w:spacing w:line="60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6.6乙方应在签订合同7日内组建项目现场管理机构，配备项目管理和技术人员，并建立健全施工质量保证体系和安全体系，开工前应报送监理机构审查。</w:t>
      </w:r>
    </w:p>
    <w:p>
      <w:pPr>
        <w:spacing w:line="60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6.7乙方应按投标书的承诺和施工进度计划安排，配足施工所需的机械、设备，开工前及时向监理机构报验。</w:t>
      </w:r>
    </w:p>
    <w:p>
      <w:pPr>
        <w:spacing w:line="60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6.8甲乙双方签订施工合同文件后，乙方具备开工条件，监理机构经甲方同意向施工单位签发进场通知，并在进场通知中明确合同工程具体开工日期。</w:t>
      </w:r>
    </w:p>
    <w:p>
      <w:pPr>
        <w:spacing w:line="60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6.9乙方接到进场通知后，应及时调遣施工机械、设备、材料和人员进入工地，按进场通知下达的开工日期开工。乙方不能按时进场，应当在进场通知下达后的7日内以书面形式向监理机构提出延期开工的理由和要求。经甲方同意后，工期相应顺延。</w:t>
      </w:r>
    </w:p>
    <w:p>
      <w:pPr>
        <w:spacing w:line="60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6.10乙方完成施工准备后，应向监理机构递交开工申请报告，并抄送甲方。监理机构现场核查乙方人员、设备等施工准备工作到位，经甲方同意后，下达开工令。</w:t>
      </w:r>
    </w:p>
    <w:p>
      <w:pPr>
        <w:spacing w:line="600" w:lineRule="exact"/>
        <w:ind w:firstLine="624"/>
        <w:rPr>
          <w:rFonts w:hint="eastAsia" w:ascii="宋体" w:hAnsi="宋体" w:eastAsia="宋体" w:cs="宋体"/>
          <w:b/>
          <w:color w:val="auto"/>
          <w:spacing w:val="-4"/>
          <w:sz w:val="24"/>
          <w:szCs w:val="24"/>
          <w:highlight w:val="none"/>
        </w:rPr>
      </w:pPr>
      <w:r>
        <w:rPr>
          <w:rFonts w:hint="eastAsia" w:ascii="宋体" w:hAnsi="宋体" w:eastAsia="宋体" w:cs="宋体"/>
          <w:b/>
          <w:color w:val="auto"/>
          <w:spacing w:val="-4"/>
          <w:sz w:val="24"/>
          <w:szCs w:val="24"/>
          <w:highlight w:val="none"/>
        </w:rPr>
        <w:t>第7条：合同的履行</w:t>
      </w:r>
    </w:p>
    <w:p>
      <w:pPr>
        <w:spacing w:line="60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7.1合同双方均需认真履行合同赋予各方的权利义务，遵守承诺，任何一方违反合同有关条款的规定，均属于违约行为，应按本合同的有关条款执行，各自承担其相应的责任。根据合同规定，监理工程师进行的任何批准或同意，并不能免除乙方按合同应承担的责任。</w:t>
      </w:r>
    </w:p>
    <w:p>
      <w:pPr>
        <w:spacing w:line="60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7.2乙方在招标书附件中填写的资料，也属于合同文件的组成部分。所有主要人员和机械设备，要根据工地需要及时用于本工程，否则，甲方可采取暂停施工、暂停支付，另行雇用及罚款等一切自认为合理的手段来督促乙方履行合同，由此产生的一切责任和费用由乙方承担。</w:t>
      </w:r>
    </w:p>
    <w:p>
      <w:pPr>
        <w:spacing w:line="60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7.3合同执行期间，乙方应严格按照招标书附表委派项目经理和项目技术负责人，要常驻现场对本合同工程进行管理，并保持其岗位的相对稳定。如果需要更换时，必须事先与甲方协商并经甲方批准。项目经理、技术负责人必须坚守工地，请假超过3天时，由甲方批准。未经批准或超假者将按500元／日给予处罚。如果甲方或监理工程师认为已委派的项目经理或技术负责人的工作能力、业务水平不能有效地履行合同义务需要撤换时，乙方应在接到通知后3天内撤回原委派的项目经理或项目技术负责人，同时委派新的经甲方与监理工程师同意的项目经理或项目技术负责人。</w:t>
      </w:r>
    </w:p>
    <w:p>
      <w:pPr>
        <w:spacing w:line="60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7.4乙方未经甲方批准，擅自更换项目经理或项目技术负责人，甲方将按违约论处，每发生一次，给予乙方5000.00元的罚款处理，并在工程决算价款中扣除。</w:t>
      </w:r>
    </w:p>
    <w:p>
      <w:pPr>
        <w:spacing w:line="600" w:lineRule="exact"/>
        <w:ind w:firstLine="624"/>
        <w:rPr>
          <w:rFonts w:hint="eastAsia" w:ascii="宋体" w:hAnsi="宋体" w:eastAsia="宋体" w:cs="宋体"/>
          <w:b/>
          <w:color w:val="auto"/>
          <w:spacing w:val="-4"/>
          <w:sz w:val="24"/>
          <w:szCs w:val="24"/>
          <w:highlight w:val="none"/>
        </w:rPr>
      </w:pPr>
      <w:r>
        <w:rPr>
          <w:rFonts w:hint="eastAsia" w:ascii="宋体" w:hAnsi="宋体" w:eastAsia="宋体" w:cs="宋体"/>
          <w:b/>
          <w:color w:val="auto"/>
          <w:spacing w:val="-4"/>
          <w:sz w:val="24"/>
          <w:szCs w:val="24"/>
          <w:highlight w:val="none"/>
        </w:rPr>
        <w:t>第8条：施工管理</w:t>
      </w:r>
    </w:p>
    <w:p>
      <w:pPr>
        <w:spacing w:line="60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8.1乙方应严格执行下列国家标准、规范：</w:t>
      </w:r>
    </w:p>
    <w:p>
      <w:pPr>
        <w:spacing w:line="60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（1）乙方遵守</w:t>
      </w:r>
      <w:r>
        <w:rPr>
          <w:rFonts w:hint="eastAsia" w:ascii="宋体" w:hAnsi="宋体" w:eastAsia="宋体" w:cs="宋体"/>
          <w:color w:val="auto"/>
          <w:spacing w:val="-4"/>
          <w:sz w:val="24"/>
          <w:szCs w:val="24"/>
          <w:highlight w:val="none"/>
          <w:lang w:eastAsia="zh-CN"/>
        </w:rPr>
        <w:t>采购文件</w:t>
      </w:r>
      <w:r>
        <w:rPr>
          <w:rFonts w:hint="eastAsia" w:ascii="宋体" w:hAnsi="宋体" w:eastAsia="宋体" w:cs="宋体"/>
          <w:color w:val="auto"/>
          <w:spacing w:val="-4"/>
          <w:sz w:val="24"/>
          <w:szCs w:val="24"/>
          <w:highlight w:val="none"/>
        </w:rPr>
        <w:t>规定</w:t>
      </w:r>
    </w:p>
    <w:p>
      <w:pPr>
        <w:spacing w:line="60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（2）乙方应严格按照项目规划施工、设计、技术、质量等要求进行施工。</w:t>
      </w:r>
    </w:p>
    <w:p>
      <w:pPr>
        <w:spacing w:line="60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8.2乙方应接受监理工程师的检查和指导，并为监理工程师检验工程质量提供方便条件。</w:t>
      </w:r>
    </w:p>
    <w:p>
      <w:pPr>
        <w:spacing w:line="60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8.3乙方应按甲方批准的施工进度计划组织施工，实际进度滞后计划时，乙方应积极采取赶工措施。</w:t>
      </w:r>
    </w:p>
    <w:p>
      <w:pPr>
        <w:spacing w:line="60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8.4乙方应严格执行施工“三检制”和工程报验制。单元工程、分部工程完工后，应在三日内向监理工程师申请报验，监理工程师检验合格后，方可进入下一单元工程施工。</w:t>
      </w:r>
    </w:p>
    <w:p>
      <w:pPr>
        <w:spacing w:line="60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8.5隐蔽工程施工结束后，乙方应在2日内向监理工程师申请报验，监理工程师与甲方技术负责人质量负责人联合检验合格后，乙方方可进行覆盖。</w:t>
      </w:r>
    </w:p>
    <w:p>
      <w:pPr>
        <w:spacing w:line="60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8.6在施工过程中，乙方发生质量事故或质量缺陷，应及时进行返工或修缺，直至监理工程师检验合格为止，发生的费用乙方自负。</w:t>
      </w:r>
    </w:p>
    <w:p>
      <w:pPr>
        <w:spacing w:line="60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8.7乙方应适时向监理机构及甲方书面报告工程进度及工程质量情况。</w:t>
      </w:r>
    </w:p>
    <w:p>
      <w:pPr>
        <w:spacing w:line="60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8.8乙方如需对部分单位工程分包给专业施工单位时，应事先取得甲方同意，并向监理机构报审分包单位的资质，经审查合格后，才能与分包单位签定分包合同。分包合同不能肢解工程结构，也不能解除乙方的任何义务与责任。分包单位的任何违约，均视为乙方违约。</w:t>
      </w:r>
    </w:p>
    <w:p>
      <w:pPr>
        <w:spacing w:line="60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8.9在工程施工期间发生的测量、复核、检测、补偿、赔偿等费用问题，均由乙方自行承担，甲方应积极搞好协调工作。 因工程变更涉及到的测量、复核、检测、补偿、赔偿等费用，由乙方承担。</w:t>
      </w:r>
    </w:p>
    <w:p>
      <w:pPr>
        <w:spacing w:line="60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 xml:space="preserve">8.10 因工程建设需要的占地、占路以及地上附着物撤除，果树、青苗损坏等，施工单位必须在开工前完成复核和调查统计，原则上由项目村组无条件协调到位，乙方不得随意支付赔偿或补偿费用。   </w:t>
      </w:r>
    </w:p>
    <w:p>
      <w:pPr>
        <w:spacing w:line="56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8.11 乙方应注意安全生产，制订管理办法，设立专职安全员负责安全施工，做到安全生产，文明施工，坚决杜绝人身伤亡事件。由于管理不善或职工的过失及第三者原因造成人身伤亡、设备事故等任何其它损失均由乙方自行负责，甲方不承担任何责任（包括由其而引发的连带责任），也不支付任何费用。如因乙方原因造成事故甲方在承担责任后有权向乙方追偿，并承担甲方因追偿所产生的的所有费用，包括但不限于追偿产生的律师费、保全费、保函费、交通费等一切损失。</w:t>
      </w:r>
    </w:p>
    <w:p>
      <w:pPr>
        <w:spacing w:line="604" w:lineRule="exact"/>
        <w:ind w:firstLine="624"/>
        <w:rPr>
          <w:rFonts w:hint="eastAsia" w:ascii="宋体" w:hAnsi="宋体" w:eastAsia="宋体" w:cs="宋体"/>
          <w:b/>
          <w:color w:val="auto"/>
          <w:spacing w:val="-4"/>
          <w:sz w:val="24"/>
          <w:szCs w:val="24"/>
          <w:highlight w:val="none"/>
        </w:rPr>
      </w:pPr>
      <w:r>
        <w:rPr>
          <w:rFonts w:hint="eastAsia" w:ascii="宋体" w:hAnsi="宋体" w:eastAsia="宋体" w:cs="宋体"/>
          <w:b/>
          <w:color w:val="auto"/>
          <w:spacing w:val="-4"/>
          <w:sz w:val="24"/>
          <w:szCs w:val="24"/>
          <w:highlight w:val="none"/>
        </w:rPr>
        <w:t>第9条：计量与支付</w:t>
      </w:r>
    </w:p>
    <w:p>
      <w:pPr>
        <w:spacing w:line="604" w:lineRule="exact"/>
        <w:ind w:firstLine="624"/>
        <w:rPr>
          <w:rFonts w:hint="eastAsia" w:ascii="宋体" w:hAnsi="宋体" w:eastAsia="宋体" w:cs="宋体"/>
          <w:b/>
          <w:bCs/>
          <w:color w:val="auto"/>
          <w:spacing w:val="-4"/>
          <w:sz w:val="24"/>
          <w:szCs w:val="24"/>
          <w:highlight w:val="none"/>
        </w:rPr>
      </w:pPr>
      <w:r>
        <w:rPr>
          <w:rFonts w:hint="eastAsia" w:ascii="宋体" w:hAnsi="宋体" w:eastAsia="宋体" w:cs="宋体"/>
          <w:b/>
          <w:bCs/>
          <w:color w:val="auto"/>
          <w:spacing w:val="-4"/>
          <w:sz w:val="24"/>
          <w:szCs w:val="24"/>
          <w:highlight w:val="none"/>
        </w:rPr>
        <w:t>9.1完成工程量的计量</w:t>
      </w:r>
    </w:p>
    <w:p>
      <w:pPr>
        <w:spacing w:line="604"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（1）乙方按施工计划及监理实施细则适时报量，并附有工程量报表和有关计量资料；乙方要求计量的工程内容必须全面完成，验收合格，资料齐全。</w:t>
      </w:r>
    </w:p>
    <w:p>
      <w:pPr>
        <w:spacing w:line="604"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2）监理机构对乙方提交的工程量进行核实和质量确认，有疑问时可要求乙方派员与监理工程师共同现场测量复核。若乙方未按监理工程师的要求派员参加复核，则监理工程师复核修正的工程量应视为乙方实际完成的准确工程量。</w:t>
      </w:r>
    </w:p>
    <w:p>
      <w:pPr>
        <w:spacing w:line="604"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（3）计量周期实行阶段性进度计量方式，按完成工程量实际情况定。</w:t>
      </w:r>
    </w:p>
    <w:p>
      <w:pPr>
        <w:spacing w:line="604"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4）乙方完成本工程的全部施工内容后，应由施工单位、监理工程单位、建设单位共同现场核查确认该项目的实际完成工程量。实际完成工程量少于本合同《工程量清单》的工程量，以实际完成工程量计算。未经甲方同意超出的工程量不予计量（有变更申请且得到甲方批复认可的增加工程量按实正常计量）。</w:t>
      </w:r>
    </w:p>
    <w:p>
      <w:pPr>
        <w:spacing w:line="604" w:lineRule="exact"/>
        <w:ind w:firstLine="624"/>
        <w:rPr>
          <w:rFonts w:hint="default" w:ascii="宋体" w:hAnsi="宋体" w:eastAsia="宋体" w:cs="宋体"/>
          <w:b/>
          <w:color w:val="auto"/>
          <w:spacing w:val="-4"/>
          <w:sz w:val="24"/>
          <w:szCs w:val="24"/>
          <w:highlight w:val="none"/>
          <w:lang w:val="en-US" w:eastAsia="zh-CN"/>
        </w:rPr>
      </w:pPr>
      <w:r>
        <w:rPr>
          <w:rFonts w:hint="eastAsia" w:ascii="宋体" w:hAnsi="宋体" w:eastAsia="宋体" w:cs="宋体"/>
          <w:b/>
          <w:color w:val="auto"/>
          <w:spacing w:val="-4"/>
          <w:sz w:val="24"/>
          <w:szCs w:val="24"/>
          <w:highlight w:val="none"/>
        </w:rPr>
        <w:t>9.2工程款支付及</w:t>
      </w:r>
      <w:r>
        <w:rPr>
          <w:rFonts w:hint="eastAsia" w:ascii="宋体" w:hAnsi="宋体" w:cs="宋体"/>
          <w:b/>
          <w:color w:val="auto"/>
          <w:spacing w:val="-4"/>
          <w:sz w:val="24"/>
          <w:szCs w:val="24"/>
          <w:highlight w:val="none"/>
          <w:lang w:val="en-US" w:eastAsia="zh-CN"/>
        </w:rPr>
        <w:t>加强保障农民工工资支付条款</w:t>
      </w:r>
    </w:p>
    <w:p>
      <w:pPr>
        <w:numPr>
          <w:ilvl w:val="0"/>
          <w:numId w:val="2"/>
        </w:numPr>
        <w:spacing w:line="620" w:lineRule="exact"/>
        <w:ind w:firstLine="624"/>
        <w:rPr>
          <w:rFonts w:hint="eastAsia" w:ascii="宋体" w:hAnsi="宋体" w:cs="宋体"/>
          <w:color w:val="auto"/>
          <w:spacing w:val="-6"/>
          <w:sz w:val="24"/>
          <w:szCs w:val="24"/>
          <w:highlight w:val="none"/>
          <w:lang w:val="en-US" w:eastAsia="zh-CN"/>
        </w:rPr>
      </w:pPr>
      <w:r>
        <w:rPr>
          <w:rFonts w:hint="eastAsia" w:ascii="宋体" w:hAnsi="宋体" w:eastAsia="宋体" w:cs="宋体"/>
          <w:sz w:val="24"/>
          <w:szCs w:val="24"/>
          <w:highlight w:val="none"/>
          <w:lang w:val="en-US" w:eastAsia="zh-CN"/>
        </w:rPr>
        <w:t>乙方进场前，必须</w:t>
      </w:r>
      <w:r>
        <w:rPr>
          <w:rFonts w:ascii="宋体" w:hAnsi="宋体" w:eastAsia="宋体" w:cs="宋体"/>
          <w:sz w:val="24"/>
          <w:szCs w:val="24"/>
          <w:highlight w:val="none"/>
        </w:rPr>
        <w:t>实行农民工劳动用工实名制管理</w:t>
      </w:r>
      <w:r>
        <w:rPr>
          <w:rFonts w:hint="eastAsia" w:ascii="宋体" w:hAnsi="宋体" w:eastAsia="宋体" w:cs="宋体"/>
          <w:sz w:val="24"/>
          <w:szCs w:val="24"/>
          <w:highlight w:val="none"/>
          <w:lang w:eastAsia="zh-CN"/>
        </w:rPr>
        <w:t>，</w:t>
      </w:r>
      <w:r>
        <w:rPr>
          <w:rFonts w:ascii="宋体" w:hAnsi="宋体" w:eastAsia="宋体" w:cs="宋体"/>
          <w:sz w:val="24"/>
          <w:szCs w:val="24"/>
          <w:highlight w:val="none"/>
        </w:rPr>
        <w:t>与招用的农民工书面约定或者通过依法制定的规章制度规定工资支付标准、支付时间、支付方式等内容</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并按照规定开设农民工工资专用账户，专项用于支付本工程建设项目农民工工资。</w:t>
      </w:r>
    </w:p>
    <w:p>
      <w:pPr>
        <w:numPr>
          <w:ilvl w:val="0"/>
          <w:numId w:val="2"/>
        </w:numPr>
        <w:spacing w:line="620" w:lineRule="exact"/>
        <w:ind w:firstLine="456" w:firstLineChars="200"/>
        <w:rPr>
          <w:rFonts w:hint="eastAsia" w:ascii="宋体" w:hAnsi="宋体" w:cs="宋体"/>
          <w:color w:val="auto"/>
          <w:spacing w:val="-6"/>
          <w:sz w:val="24"/>
          <w:szCs w:val="24"/>
          <w:highlight w:val="none"/>
          <w:lang w:val="en-US" w:eastAsia="zh-CN"/>
        </w:rPr>
      </w:pPr>
      <w:r>
        <w:rPr>
          <w:rFonts w:hint="eastAsia" w:ascii="宋体" w:hAnsi="宋体" w:cs="宋体"/>
          <w:color w:val="auto"/>
          <w:spacing w:val="-6"/>
          <w:sz w:val="24"/>
          <w:szCs w:val="24"/>
          <w:highlight w:val="none"/>
          <w:lang w:val="en-US" w:eastAsia="zh-CN"/>
        </w:rPr>
        <w:t>施工合同签订后，乙方开工进场前，必须向甲方提交所有进场农民工资料，包括身份证复印件、书面工资合同、银行卡复印件。甲方收到上述资料后，首先向乙方支付扣除暂列金后合同价款的20%作为工程预付款，工程预付款必须专款专用，严格用于本合同工程的前期准备和施工相关支出，不得挪作他用。其次向农民工工资专用账户支付扣除暂列金后合同价款的20%用于保障农民工工资发放。</w:t>
      </w:r>
    </w:p>
    <w:p>
      <w:pPr>
        <w:numPr>
          <w:ilvl w:val="0"/>
          <w:numId w:val="2"/>
        </w:numPr>
        <w:spacing w:line="620" w:lineRule="exact"/>
        <w:ind w:firstLine="456" w:firstLineChars="200"/>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lang w:val="en-US" w:eastAsia="zh-CN"/>
        </w:rPr>
        <w:t>项目验收合格后，</w:t>
      </w:r>
      <w:r>
        <w:rPr>
          <w:rFonts w:hint="eastAsia" w:ascii="宋体" w:hAnsi="宋体" w:cs="宋体"/>
          <w:color w:val="auto"/>
          <w:spacing w:val="-6"/>
          <w:sz w:val="24"/>
          <w:szCs w:val="24"/>
          <w:highlight w:val="none"/>
          <w:lang w:val="en-US" w:eastAsia="zh-CN"/>
        </w:rPr>
        <w:t>乙方向甲方出具本工程全部农民工工资汇总明细，甲方先对农民工工资进行结算支付至农民工工资专用账户。之后，甲方向乙方支付验收款至扣除暂列金后合同价款的80%（本次支付=扣除暂列金后合同价款80%-已支付预付款-已支付全部农民工工资）</w:t>
      </w:r>
    </w:p>
    <w:p>
      <w:pPr>
        <w:numPr>
          <w:ilvl w:val="0"/>
          <w:numId w:val="2"/>
        </w:numPr>
        <w:spacing w:line="620" w:lineRule="exact"/>
        <w:ind w:firstLine="624"/>
        <w:rPr>
          <w:rFonts w:hint="eastAsia" w:ascii="宋体" w:hAnsi="宋体" w:eastAsia="宋体" w:cs="宋体"/>
          <w:color w:val="auto"/>
          <w:spacing w:val="-6"/>
          <w:sz w:val="24"/>
          <w:szCs w:val="24"/>
          <w:highlight w:val="none"/>
        </w:rPr>
      </w:pPr>
      <w:r>
        <w:rPr>
          <w:rFonts w:hint="eastAsia" w:ascii="宋体" w:hAnsi="宋体" w:cs="宋体"/>
          <w:color w:val="auto"/>
          <w:spacing w:val="-6"/>
          <w:sz w:val="24"/>
          <w:szCs w:val="24"/>
          <w:highlight w:val="none"/>
          <w:lang w:val="en-US" w:eastAsia="zh-CN"/>
        </w:rPr>
        <w:t>甲方完成</w:t>
      </w:r>
      <w:r>
        <w:rPr>
          <w:rFonts w:hint="eastAsia" w:ascii="宋体" w:hAnsi="宋体" w:eastAsia="宋体" w:cs="宋体"/>
          <w:color w:val="auto"/>
          <w:spacing w:val="-4"/>
          <w:sz w:val="24"/>
          <w:szCs w:val="24"/>
          <w:highlight w:val="none"/>
        </w:rPr>
        <w:t>竣工</w:t>
      </w:r>
      <w:r>
        <w:rPr>
          <w:rFonts w:hint="eastAsia" w:ascii="宋体" w:hAnsi="宋体" w:cs="宋体"/>
          <w:color w:val="auto"/>
          <w:spacing w:val="-4"/>
          <w:sz w:val="24"/>
          <w:szCs w:val="24"/>
          <w:highlight w:val="none"/>
          <w:lang w:val="en-US" w:eastAsia="zh-CN"/>
        </w:rPr>
        <w:t>结算审计（或审核）后，乙方向甲方出具《农民工工资书面结清证明 》，农民工签字确认后，甲方按审计确定的最终结算总价向乙方付清剩余工程款（结算总价-已支付款项）</w:t>
      </w:r>
      <w:r>
        <w:rPr>
          <w:rFonts w:hint="eastAsia" w:ascii="宋体" w:hAnsi="宋体" w:eastAsia="宋体" w:cs="宋体"/>
          <w:color w:val="auto"/>
          <w:spacing w:val="-6"/>
          <w:sz w:val="24"/>
          <w:szCs w:val="24"/>
          <w:highlight w:val="none"/>
        </w:rPr>
        <w:t>。</w:t>
      </w:r>
    </w:p>
    <w:p>
      <w:pPr>
        <w:numPr>
          <w:ilvl w:val="0"/>
          <w:numId w:val="2"/>
        </w:numPr>
        <w:spacing w:line="620" w:lineRule="exact"/>
        <w:ind w:firstLine="624"/>
        <w:rPr>
          <w:rFonts w:hint="eastAsia" w:ascii="宋体" w:hAnsi="宋体" w:eastAsia="宋体" w:cs="宋体"/>
          <w:color w:val="auto"/>
          <w:spacing w:val="-6"/>
          <w:sz w:val="24"/>
          <w:szCs w:val="24"/>
          <w:highlight w:val="none"/>
        </w:rPr>
      </w:pPr>
      <w:r>
        <w:rPr>
          <w:rFonts w:hint="eastAsia" w:ascii="宋体" w:hAnsi="宋体" w:cs="宋体"/>
          <w:color w:val="auto"/>
          <w:spacing w:val="-6"/>
          <w:sz w:val="24"/>
          <w:szCs w:val="24"/>
          <w:highlight w:val="none"/>
          <w:lang w:val="en-US" w:eastAsia="zh-CN"/>
        </w:rPr>
        <w:t>甲方每次付款前，乙方应提供与付款金额等额的增值税发票。</w:t>
      </w:r>
    </w:p>
    <w:p>
      <w:pPr>
        <w:spacing w:line="604" w:lineRule="exact"/>
        <w:ind w:firstLine="624"/>
        <w:rPr>
          <w:rFonts w:hint="eastAsia" w:ascii="宋体" w:hAnsi="宋体" w:eastAsia="宋体" w:cs="宋体"/>
          <w:b/>
          <w:color w:val="auto"/>
          <w:spacing w:val="-4"/>
          <w:sz w:val="24"/>
          <w:szCs w:val="24"/>
          <w:highlight w:val="none"/>
        </w:rPr>
      </w:pPr>
      <w:r>
        <w:rPr>
          <w:rFonts w:hint="eastAsia" w:ascii="宋体" w:hAnsi="宋体" w:eastAsia="宋体" w:cs="宋体"/>
          <w:b/>
          <w:color w:val="auto"/>
          <w:spacing w:val="-4"/>
          <w:sz w:val="24"/>
          <w:szCs w:val="24"/>
          <w:highlight w:val="none"/>
        </w:rPr>
        <w:t>9.3保修金</w:t>
      </w:r>
    </w:p>
    <w:p>
      <w:pPr>
        <w:spacing w:line="604" w:lineRule="exact"/>
        <w:ind w:firstLine="624"/>
        <w:rPr>
          <w:rFonts w:hint="eastAsia" w:ascii="宋体" w:hAnsi="宋体" w:eastAsia="宋体" w:cs="宋体"/>
          <w:color w:val="auto"/>
          <w:spacing w:val="-4"/>
          <w:sz w:val="24"/>
          <w:szCs w:val="24"/>
          <w:highlight w:val="none"/>
        </w:rPr>
      </w:pPr>
      <w:r>
        <w:rPr>
          <w:rFonts w:hint="eastAsia" w:ascii="宋体" w:hAnsi="宋体" w:cs="宋体"/>
          <w:color w:val="auto"/>
          <w:spacing w:val="-4"/>
          <w:sz w:val="24"/>
          <w:szCs w:val="24"/>
          <w:highlight w:val="none"/>
          <w:lang w:val="en-US" w:eastAsia="zh-CN"/>
        </w:rPr>
        <w:t>（1）</w:t>
      </w:r>
      <w:r>
        <w:rPr>
          <w:rFonts w:hint="eastAsia" w:ascii="宋体" w:hAnsi="宋体" w:eastAsia="宋体" w:cs="宋体"/>
          <w:color w:val="auto"/>
          <w:spacing w:val="-4"/>
          <w:sz w:val="24"/>
          <w:szCs w:val="24"/>
          <w:highlight w:val="none"/>
        </w:rPr>
        <w:t>本项目工程</w:t>
      </w:r>
      <w:r>
        <w:rPr>
          <w:rFonts w:hint="eastAsia" w:ascii="宋体" w:hAnsi="宋体" w:eastAsia="宋体" w:cs="宋体"/>
          <w:color w:val="auto"/>
          <w:spacing w:val="-4"/>
          <w:sz w:val="24"/>
          <w:szCs w:val="24"/>
          <w:highlight w:val="none"/>
          <w:lang w:val="en-US" w:eastAsia="zh-CN"/>
        </w:rPr>
        <w:t>质量</w:t>
      </w:r>
      <w:r>
        <w:rPr>
          <w:rFonts w:hint="eastAsia" w:ascii="宋体" w:hAnsi="宋体" w:eastAsia="宋体" w:cs="宋体"/>
          <w:color w:val="auto"/>
          <w:spacing w:val="-4"/>
          <w:sz w:val="24"/>
          <w:szCs w:val="24"/>
          <w:highlight w:val="none"/>
        </w:rPr>
        <w:t>保修金</w:t>
      </w:r>
      <w:r>
        <w:rPr>
          <w:rFonts w:hint="eastAsia" w:ascii="宋体" w:hAnsi="宋体" w:eastAsia="宋体" w:cs="宋体"/>
          <w:color w:val="auto"/>
          <w:spacing w:val="-4"/>
          <w:sz w:val="24"/>
          <w:szCs w:val="24"/>
          <w:highlight w:val="none"/>
          <w:lang w:val="en-US" w:eastAsia="zh-CN"/>
        </w:rPr>
        <w:t>为</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cs="宋体"/>
          <w:color w:val="auto"/>
          <w:spacing w:val="-4"/>
          <w:sz w:val="24"/>
          <w:szCs w:val="24"/>
          <w:highlight w:val="none"/>
          <w:u w:val="single"/>
          <w:lang w:val="en-US" w:eastAsia="zh-CN"/>
        </w:rPr>
        <w:t>审定结算总价款的3%</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w:t>
      </w:r>
    </w:p>
    <w:p>
      <w:pPr>
        <w:spacing w:line="604" w:lineRule="exact"/>
        <w:ind w:firstLine="624"/>
        <w:rPr>
          <w:rFonts w:ascii="宋体" w:hAnsi="宋体" w:eastAsia="宋体" w:cs="宋体"/>
          <w:sz w:val="24"/>
          <w:szCs w:val="24"/>
          <w:highlight w:val="none"/>
        </w:rPr>
      </w:pPr>
      <w:r>
        <w:rPr>
          <w:rFonts w:hint="eastAsia" w:ascii="宋体" w:hAnsi="宋体" w:cs="宋体"/>
          <w:color w:val="auto"/>
          <w:spacing w:val="-4"/>
          <w:sz w:val="24"/>
          <w:szCs w:val="24"/>
          <w:highlight w:val="none"/>
          <w:lang w:eastAsia="zh-CN"/>
        </w:rPr>
        <w:t>（</w:t>
      </w:r>
      <w:r>
        <w:rPr>
          <w:rFonts w:hint="eastAsia" w:ascii="宋体" w:hAnsi="宋体" w:cs="宋体"/>
          <w:color w:val="auto"/>
          <w:spacing w:val="-4"/>
          <w:sz w:val="24"/>
          <w:szCs w:val="24"/>
          <w:highlight w:val="none"/>
          <w:lang w:val="en-US" w:eastAsia="zh-CN"/>
        </w:rPr>
        <w:t>2</w:t>
      </w:r>
      <w:r>
        <w:rPr>
          <w:rFonts w:hint="eastAsia" w:ascii="宋体" w:hAnsi="宋体" w:cs="宋体"/>
          <w:color w:val="auto"/>
          <w:spacing w:val="-4"/>
          <w:sz w:val="24"/>
          <w:szCs w:val="24"/>
          <w:highlight w:val="none"/>
          <w:lang w:eastAsia="zh-CN"/>
        </w:rPr>
        <w:t>）</w:t>
      </w:r>
      <w:bookmarkStart w:id="1" w:name="_GoBack"/>
      <w:r>
        <w:rPr>
          <w:rFonts w:ascii="宋体" w:hAnsi="宋体" w:eastAsia="宋体" w:cs="宋体"/>
          <w:sz w:val="24"/>
          <w:szCs w:val="24"/>
          <w:highlight w:val="none"/>
        </w:rPr>
        <w:t>乙方须在竣工结算尾款支付前，向甲方提交</w:t>
      </w:r>
      <w:bookmarkEnd w:id="1"/>
      <w:r>
        <w:rPr>
          <w:rFonts w:hint="eastAsia" w:ascii="宋体" w:hAnsi="宋体" w:cs="宋体"/>
          <w:color w:val="auto"/>
          <w:spacing w:val="-4"/>
          <w:sz w:val="24"/>
          <w:szCs w:val="24"/>
          <w:highlight w:val="none"/>
          <w:u w:val="single"/>
          <w:lang w:val="en-US" w:eastAsia="zh-CN"/>
        </w:rPr>
        <w:t>审定结算总价款的</w:t>
      </w:r>
      <w:r>
        <w:rPr>
          <w:rFonts w:ascii="宋体" w:hAnsi="宋体" w:eastAsia="宋体" w:cs="宋体"/>
          <w:sz w:val="24"/>
          <w:szCs w:val="24"/>
          <w:highlight w:val="none"/>
        </w:rPr>
        <w:t>3%的工程质量银行保函（或工程质量保险保单）作为质量保修担保。甲方收到合规有效保函后，向乙方全额付清竣工结算尾款，确保财政资金足额执行拨付。缺陷责任期届满，乙方完全履行全部保修义务、无质量缺陷、无相关投诉及违约情形的，甲方无息退还该质量保函。</w:t>
      </w:r>
    </w:p>
    <w:p>
      <w:pPr>
        <w:spacing w:line="604" w:lineRule="exact"/>
        <w:ind w:firstLine="624"/>
        <w:rPr>
          <w:rFonts w:hint="default" w:ascii="宋体" w:hAnsi="宋体" w:cs="宋体"/>
          <w:color w:val="auto"/>
          <w:spacing w:val="-4"/>
          <w:sz w:val="24"/>
          <w:szCs w:val="24"/>
          <w:highlight w:val="none"/>
          <w:lang w:val="en-US" w:eastAsia="zh-CN"/>
        </w:rPr>
      </w:pPr>
      <w:r>
        <w:rPr>
          <w:rFonts w:hint="eastAsia" w:ascii="宋体" w:hAnsi="宋体" w:cs="宋体"/>
          <w:color w:val="auto"/>
          <w:spacing w:val="-4"/>
          <w:sz w:val="24"/>
          <w:szCs w:val="24"/>
          <w:highlight w:val="none"/>
          <w:lang w:val="en-US" w:eastAsia="zh-CN"/>
        </w:rPr>
        <w:t>（3）本工程实行总价风险包干，施工周期内因材料、设备、油料、人工等市场价格波动产生的所有涨价费用，均由乙方自行承担，合同价款不作任何调整。</w:t>
      </w:r>
    </w:p>
    <w:p>
      <w:pPr>
        <w:spacing w:line="604" w:lineRule="exact"/>
        <w:ind w:firstLine="624"/>
        <w:rPr>
          <w:rFonts w:hint="eastAsia" w:ascii="宋体" w:hAnsi="宋体" w:eastAsia="宋体" w:cs="宋体"/>
          <w:b/>
          <w:color w:val="auto"/>
          <w:spacing w:val="-4"/>
          <w:sz w:val="24"/>
          <w:szCs w:val="24"/>
          <w:highlight w:val="none"/>
        </w:rPr>
      </w:pPr>
      <w:r>
        <w:rPr>
          <w:rFonts w:hint="eastAsia" w:ascii="宋体" w:hAnsi="宋体" w:eastAsia="宋体" w:cs="宋体"/>
          <w:b/>
          <w:color w:val="auto"/>
          <w:spacing w:val="-4"/>
          <w:sz w:val="24"/>
          <w:szCs w:val="24"/>
          <w:highlight w:val="none"/>
        </w:rPr>
        <w:t>第10条：材料设备供应</w:t>
      </w:r>
    </w:p>
    <w:p>
      <w:pPr>
        <w:spacing w:line="616"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10.1乙方自购本工程所需的常用材料、设备时，应按设计和有关标准要求采购，并提供产品合格证明，对材料、设备质量负责。</w:t>
      </w:r>
    </w:p>
    <w:p>
      <w:pPr>
        <w:spacing w:line="616"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10.2乙方采购的常用材料和设备，在使用前，乙方均需向监理工程师报验，经监理工程师检查或抽检合格后方可使用。对经检查或抽检不合格的材料、设备，监理工程师有权拒绝使用。</w:t>
      </w:r>
    </w:p>
    <w:p>
      <w:pPr>
        <w:spacing w:line="616"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10.3项目所需的特殊材料和设备，为确保材料或设备质量的统一，由乙方提出申请，监理负责组织，邀请甲方代表、专业技术员组成考察组对特殊材料和设备进行公开选定。共同选定的材料或设备由乙方与供销商商谈相关条款，履行合同，视乙方采购，责任自负。</w:t>
      </w:r>
    </w:p>
    <w:p>
      <w:pPr>
        <w:spacing w:line="616"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10.4监理工程师认为必要时，可要求乙方对进场使用的材料共同取样送有资质的检测单位进行复检，复检不合格的材料禁止使用，由此造成的损失，由乙方承担。</w:t>
      </w:r>
    </w:p>
    <w:p>
      <w:pPr>
        <w:spacing w:line="600" w:lineRule="exact"/>
        <w:ind w:firstLine="624"/>
        <w:rPr>
          <w:rFonts w:hint="eastAsia" w:ascii="宋体" w:hAnsi="宋体" w:eastAsia="宋体" w:cs="宋体"/>
          <w:b/>
          <w:color w:val="auto"/>
          <w:spacing w:val="-4"/>
          <w:sz w:val="24"/>
          <w:szCs w:val="24"/>
          <w:highlight w:val="none"/>
        </w:rPr>
      </w:pPr>
      <w:r>
        <w:rPr>
          <w:rFonts w:hint="eastAsia" w:ascii="宋体" w:hAnsi="宋体" w:eastAsia="宋体" w:cs="宋体"/>
          <w:b/>
          <w:color w:val="auto"/>
          <w:spacing w:val="-4"/>
          <w:sz w:val="24"/>
          <w:szCs w:val="24"/>
          <w:highlight w:val="none"/>
        </w:rPr>
        <w:t>第11条：设计变更</w:t>
      </w:r>
    </w:p>
    <w:p>
      <w:pPr>
        <w:spacing w:line="60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11.1乙方必须按甲方</w:t>
      </w:r>
      <w:r>
        <w:rPr>
          <w:rFonts w:hint="eastAsia" w:ascii="宋体" w:hAnsi="宋体" w:eastAsia="宋体" w:cs="宋体"/>
          <w:color w:val="auto"/>
          <w:spacing w:val="-4"/>
          <w:sz w:val="24"/>
          <w:szCs w:val="24"/>
          <w:highlight w:val="none"/>
          <w:lang w:val="en-US" w:eastAsia="zh-CN"/>
        </w:rPr>
        <w:t>要求</w:t>
      </w:r>
      <w:r>
        <w:rPr>
          <w:rFonts w:hint="eastAsia" w:ascii="宋体" w:hAnsi="宋体" w:eastAsia="宋体" w:cs="宋体"/>
          <w:color w:val="auto"/>
          <w:spacing w:val="-4"/>
          <w:sz w:val="24"/>
          <w:szCs w:val="24"/>
          <w:highlight w:val="none"/>
        </w:rPr>
        <w:t xml:space="preserve">施工，不得私自随意变更设计。任何单位或个人私自随意变更设计带来的费用，由变更者自行承担，并追究相关责任。  </w:t>
      </w:r>
    </w:p>
    <w:p>
      <w:pPr>
        <w:spacing w:line="56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11.2经甲方批准同意的设计变更增加的合同额外工程量增加的费用，由甲方负担，减少的合同工程量，其费用由甲方在合同价款中扣回。</w:t>
      </w:r>
    </w:p>
    <w:p>
      <w:pPr>
        <w:spacing w:line="560" w:lineRule="exact"/>
        <w:ind w:firstLine="624"/>
        <w:rPr>
          <w:rFonts w:hint="eastAsia" w:ascii="宋体" w:hAnsi="宋体" w:eastAsia="宋体" w:cs="宋体"/>
          <w:b/>
          <w:color w:val="auto"/>
          <w:spacing w:val="-4"/>
          <w:sz w:val="24"/>
          <w:szCs w:val="24"/>
          <w:highlight w:val="none"/>
        </w:rPr>
      </w:pPr>
      <w:r>
        <w:rPr>
          <w:rFonts w:hint="eastAsia" w:ascii="宋体" w:hAnsi="宋体" w:eastAsia="宋体" w:cs="宋体"/>
          <w:b/>
          <w:color w:val="auto"/>
          <w:spacing w:val="-4"/>
          <w:sz w:val="24"/>
          <w:szCs w:val="24"/>
          <w:highlight w:val="none"/>
        </w:rPr>
        <w:t>第12条：施工工期</w:t>
      </w:r>
    </w:p>
    <w:p>
      <w:pPr>
        <w:spacing w:line="56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12.1乙方应在本合同规定的工期内完成全部项目工程。工期以甲方和监理机构下达的开工令确认的日期起算。因承包人原因造成工期延误的，逾期竣工违约金</w:t>
      </w:r>
      <w:r>
        <w:rPr>
          <w:rFonts w:hint="eastAsia" w:ascii="宋体" w:hAnsi="宋体" w:cs="宋体"/>
          <w:color w:val="auto"/>
          <w:spacing w:val="-4"/>
          <w:sz w:val="24"/>
          <w:szCs w:val="24"/>
          <w:highlight w:val="none"/>
          <w:lang w:val="en-US" w:eastAsia="zh-CN"/>
        </w:rPr>
        <w:t>按照合同违约金条款计算。</w:t>
      </w:r>
      <w:r>
        <w:rPr>
          <w:rFonts w:hint="eastAsia" w:ascii="宋体" w:hAnsi="宋体" w:eastAsia="宋体" w:cs="宋体"/>
          <w:color w:val="auto"/>
          <w:spacing w:val="-4"/>
          <w:sz w:val="24"/>
          <w:szCs w:val="24"/>
          <w:highlight w:val="none"/>
        </w:rPr>
        <w:t>承包人支付逾期违约金后，不免除承包人继续完成工程及修补缺陷的义务。</w:t>
      </w:r>
    </w:p>
    <w:p>
      <w:pPr>
        <w:spacing w:line="56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12.2施工期内，由于以下原因引起工期延误，乙方应承担工期违约责任和（或）因此产生的相关费用，并向甲方支付赔偿费。赔偿费由甲、乙双方协商确定。</w:t>
      </w:r>
    </w:p>
    <w:p>
      <w:pPr>
        <w:spacing w:line="56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（1）未按甲方和监理机构下达的开工日期开工；</w:t>
      </w:r>
    </w:p>
    <w:p>
      <w:pPr>
        <w:spacing w:line="56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（2）投标工期内未完成全部工程量；</w:t>
      </w:r>
    </w:p>
    <w:p>
      <w:pPr>
        <w:spacing w:line="56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（3）未按投标书承诺或甲方批准的施工组织设计，配备施工机械和人员，施工进度缓慢；</w:t>
      </w:r>
    </w:p>
    <w:p>
      <w:pPr>
        <w:spacing w:line="56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（4）施工期间，发生机械故障、大的事故，导致工期延误。</w:t>
      </w:r>
    </w:p>
    <w:p>
      <w:pPr>
        <w:spacing w:line="56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12.3若发生异常恶劣的气候条件，承包人应采取合理措施继续施工，并上报监理机构和甲方。确需延长工期，由乙方提出延期申请，甲方根据影响程度，协调现场监理工程师决定是否给予延期。</w:t>
      </w:r>
    </w:p>
    <w:p>
      <w:pPr>
        <w:spacing w:line="560" w:lineRule="exact"/>
        <w:ind w:firstLine="624"/>
        <w:rPr>
          <w:rFonts w:hint="eastAsia" w:ascii="宋体" w:hAnsi="宋体" w:eastAsia="宋体" w:cs="宋体"/>
          <w:b/>
          <w:color w:val="auto"/>
          <w:spacing w:val="-4"/>
          <w:sz w:val="24"/>
          <w:szCs w:val="24"/>
          <w:highlight w:val="none"/>
        </w:rPr>
      </w:pPr>
      <w:r>
        <w:rPr>
          <w:rFonts w:hint="eastAsia" w:ascii="宋体" w:hAnsi="宋体" w:eastAsia="宋体" w:cs="宋体"/>
          <w:b/>
          <w:color w:val="auto"/>
          <w:spacing w:val="-4"/>
          <w:sz w:val="24"/>
          <w:szCs w:val="24"/>
          <w:highlight w:val="none"/>
        </w:rPr>
        <w:t>第13条：环境保护</w:t>
      </w:r>
    </w:p>
    <w:p>
      <w:pPr>
        <w:spacing w:line="56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13.1项目区地域广、涉及区域大，甲方尽可能提供已有地面、地下建筑物资料，乙方在施工前必须认真了解、收集相关资料，由此带来的不良影响、责任和费用由乙方承担。</w:t>
      </w:r>
    </w:p>
    <w:p>
      <w:pPr>
        <w:spacing w:line="56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13.2施工及缺陷修复期内，乙方必须采取有效措施注意环境保护，遵守国家颁布的有关环境保护的法令。因施工原因（如烟尘排放、噪音、废料遗弃等）违反了环境保护规定而发生的费用由乙方承担。</w:t>
      </w:r>
    </w:p>
    <w:p>
      <w:pPr>
        <w:spacing w:line="56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13.3由于施工原因造成灌溉渠道的堵塞及损害等，由乙方负责处理，甲方不承担任何责任和费用。</w:t>
      </w:r>
    </w:p>
    <w:p>
      <w:pPr>
        <w:spacing w:line="56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13.4乙方应合理选定运输线路、运输车辆，采取限制和分配载运量等一切合理措施，防止损害或损伤所有通行的道路和桥梁。如果采取上述措施后，仍超过所通行公路或桥梁的载重限制而又必须通过时，乙方应与公路管理部门协商，取得同意或协助，并负责承担相关的费用。甲方不承担上述费用以及由于乙方未执行本款规定造成道路或桥梁损坏而引起的一切赔偿、诉讼费、指控费和其他开支。</w:t>
      </w:r>
    </w:p>
    <w:p>
      <w:pPr>
        <w:spacing w:line="560" w:lineRule="exact"/>
        <w:ind w:firstLine="624"/>
        <w:rPr>
          <w:rFonts w:hint="eastAsia" w:ascii="宋体" w:hAnsi="宋体" w:eastAsia="宋体" w:cs="宋体"/>
          <w:b/>
          <w:color w:val="auto"/>
          <w:spacing w:val="-4"/>
          <w:sz w:val="24"/>
          <w:szCs w:val="24"/>
          <w:highlight w:val="none"/>
        </w:rPr>
      </w:pPr>
      <w:r>
        <w:rPr>
          <w:rFonts w:hint="eastAsia" w:ascii="宋体" w:hAnsi="宋体" w:eastAsia="宋体" w:cs="宋体"/>
          <w:b/>
          <w:color w:val="auto"/>
          <w:spacing w:val="-4"/>
          <w:sz w:val="24"/>
          <w:szCs w:val="24"/>
          <w:highlight w:val="none"/>
        </w:rPr>
        <w:t>第14条：开工报告</w:t>
      </w:r>
    </w:p>
    <w:p>
      <w:pPr>
        <w:spacing w:line="56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14.1乙方须按照投标中所列人员、设备、测试仪器如数进场。当具备全部开工条件时，应向监理工程师提交开工申请并抄报甲方。监理工程师接到乙方的开工报告，现场核查确认乙方的施工准备满足开工条件后签发开工令。</w:t>
      </w:r>
    </w:p>
    <w:p>
      <w:pPr>
        <w:spacing w:line="56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14.2乙方在取得开工指令后，若其主要人员、机械设备、测试仪器等发生数量变化或更换时，必须征得监理机构和甲方的同意，否则将被视为违约，甲方扣除乙方履约金。</w:t>
      </w:r>
    </w:p>
    <w:p>
      <w:pPr>
        <w:spacing w:line="560" w:lineRule="exact"/>
        <w:ind w:firstLine="624"/>
        <w:rPr>
          <w:rFonts w:hint="eastAsia" w:ascii="宋体" w:hAnsi="宋体" w:eastAsia="宋体" w:cs="宋体"/>
          <w:b/>
          <w:color w:val="auto"/>
          <w:spacing w:val="-4"/>
          <w:sz w:val="24"/>
          <w:szCs w:val="24"/>
          <w:highlight w:val="none"/>
        </w:rPr>
      </w:pPr>
      <w:r>
        <w:rPr>
          <w:rFonts w:hint="eastAsia" w:ascii="宋体" w:hAnsi="宋体" w:eastAsia="宋体" w:cs="宋体"/>
          <w:b/>
          <w:color w:val="auto"/>
          <w:spacing w:val="-4"/>
          <w:sz w:val="24"/>
          <w:szCs w:val="24"/>
          <w:highlight w:val="none"/>
        </w:rPr>
        <w:t>第15条：完工验收</w:t>
      </w:r>
    </w:p>
    <w:p>
      <w:pPr>
        <w:spacing w:line="56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15.1乙方完成本合同规定的全部工程内容后，应在28天内，向监理机构和甲方提交完工验收申请报告，并附下列资料一式3份；</w:t>
      </w:r>
    </w:p>
    <w:p>
      <w:pPr>
        <w:spacing w:line="56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（1）项目施工管理工作总结；</w:t>
      </w:r>
    </w:p>
    <w:p>
      <w:pPr>
        <w:spacing w:line="56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（2）项目工程竣工图；</w:t>
      </w:r>
    </w:p>
    <w:p>
      <w:pPr>
        <w:spacing w:line="56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（3）工程质量检测、评定资料；</w:t>
      </w:r>
    </w:p>
    <w:p>
      <w:pPr>
        <w:spacing w:line="56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（4）工程竣工结算报告；</w:t>
      </w:r>
    </w:p>
    <w:p>
      <w:pPr>
        <w:spacing w:line="56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（5）施工大事记；</w:t>
      </w:r>
    </w:p>
    <w:p>
      <w:pPr>
        <w:spacing w:line="56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15.2监理机构收到乙方竣工验收申请报告，应在28天内将审核意见通知乙方。如认为本工程已具备竣工验收条件，可提请甲方适时组织竣工验收；如工程尚有较大缺陷或竣工资料达不到要求，书面通知乙方进行整改。乙方收到整改通知后，应在28天内完成工程缺陷处理和资料完善，并重新向监理机构和甲方提交竣工验收申请报告。</w:t>
      </w:r>
    </w:p>
    <w:p>
      <w:pPr>
        <w:spacing w:line="56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15.3工程竣工验收后，乙方还应按照竣工验收鉴定书指出的存在问题及处理意见，在28天内完成整改。经监理工程师检验确认合格后，甲方</w:t>
      </w:r>
      <w:r>
        <w:rPr>
          <w:rFonts w:hint="eastAsia" w:ascii="宋体" w:hAnsi="宋体" w:cs="宋体"/>
          <w:color w:val="auto"/>
          <w:spacing w:val="-4"/>
          <w:sz w:val="24"/>
          <w:szCs w:val="24"/>
          <w:highlight w:val="none"/>
          <w:lang w:val="en-US" w:eastAsia="zh-CN"/>
        </w:rPr>
        <w:t>向</w:t>
      </w:r>
      <w:r>
        <w:rPr>
          <w:rFonts w:hint="eastAsia" w:ascii="宋体" w:hAnsi="宋体" w:eastAsia="宋体" w:cs="宋体"/>
          <w:color w:val="auto"/>
          <w:spacing w:val="-4"/>
          <w:sz w:val="24"/>
          <w:szCs w:val="24"/>
          <w:highlight w:val="none"/>
        </w:rPr>
        <w:t>乙方付</w:t>
      </w:r>
      <w:r>
        <w:rPr>
          <w:rFonts w:hint="eastAsia" w:ascii="宋体" w:hAnsi="宋体" w:cs="宋体"/>
          <w:color w:val="auto"/>
          <w:spacing w:val="-4"/>
          <w:sz w:val="24"/>
          <w:szCs w:val="24"/>
          <w:highlight w:val="none"/>
          <w:lang w:val="en-US" w:eastAsia="zh-CN"/>
        </w:rPr>
        <w:t>款至</w:t>
      </w:r>
      <w:r>
        <w:rPr>
          <w:rFonts w:hint="eastAsia" w:ascii="宋体" w:hAnsi="宋体" w:cs="宋体"/>
          <w:color w:val="auto"/>
          <w:spacing w:val="-6"/>
          <w:sz w:val="24"/>
          <w:szCs w:val="24"/>
          <w:highlight w:val="none"/>
          <w:lang w:val="en-US" w:eastAsia="zh-CN"/>
        </w:rPr>
        <w:t>扣除暂列金后</w:t>
      </w:r>
      <w:r>
        <w:rPr>
          <w:rFonts w:hint="eastAsia" w:ascii="宋体" w:hAnsi="宋体" w:eastAsia="宋体" w:cs="宋体"/>
          <w:color w:val="auto"/>
          <w:spacing w:val="-4"/>
          <w:sz w:val="24"/>
          <w:szCs w:val="24"/>
          <w:highlight w:val="none"/>
        </w:rPr>
        <w:t>合同价款</w:t>
      </w:r>
      <w:r>
        <w:rPr>
          <w:rFonts w:hint="eastAsia" w:ascii="宋体" w:hAnsi="宋体" w:cs="宋体"/>
          <w:color w:val="auto"/>
          <w:spacing w:val="-6"/>
          <w:sz w:val="24"/>
          <w:szCs w:val="24"/>
          <w:highlight w:val="none"/>
          <w:lang w:val="en-US" w:eastAsia="zh-CN"/>
        </w:rPr>
        <w:t>的80%</w:t>
      </w:r>
      <w:r>
        <w:rPr>
          <w:rFonts w:hint="eastAsia" w:ascii="宋体" w:hAnsi="宋体" w:eastAsia="宋体" w:cs="宋体"/>
          <w:color w:val="auto"/>
          <w:spacing w:val="-4"/>
          <w:sz w:val="24"/>
          <w:szCs w:val="24"/>
          <w:highlight w:val="none"/>
        </w:rPr>
        <w:t>，同时授权监理机构签署工程移交证书、颁发给乙方。</w:t>
      </w:r>
    </w:p>
    <w:p>
      <w:pPr>
        <w:spacing w:line="560" w:lineRule="exact"/>
        <w:ind w:firstLine="624"/>
        <w:rPr>
          <w:rFonts w:hint="eastAsia" w:ascii="宋体" w:hAnsi="宋体" w:eastAsia="宋体" w:cs="宋体"/>
          <w:b/>
          <w:color w:val="auto"/>
          <w:spacing w:val="-4"/>
          <w:sz w:val="24"/>
          <w:szCs w:val="24"/>
          <w:highlight w:val="none"/>
        </w:rPr>
      </w:pPr>
      <w:r>
        <w:rPr>
          <w:rFonts w:hint="eastAsia" w:ascii="宋体" w:hAnsi="宋体" w:eastAsia="宋体" w:cs="宋体"/>
          <w:b/>
          <w:color w:val="auto"/>
          <w:spacing w:val="-4"/>
          <w:sz w:val="24"/>
          <w:szCs w:val="24"/>
          <w:highlight w:val="none"/>
        </w:rPr>
        <w:t>第16条：工程保修</w:t>
      </w:r>
    </w:p>
    <w:p>
      <w:pPr>
        <w:spacing w:line="500" w:lineRule="exact"/>
        <w:ind w:firstLine="696" w:firstLineChars="300"/>
        <w:jc w:val="both"/>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16.1本工程保修期为</w:t>
      </w:r>
      <w:r>
        <w:rPr>
          <w:rFonts w:hint="eastAsia" w:ascii="宋体" w:hAnsi="宋体" w:eastAsia="宋体" w:cs="宋体"/>
          <w:color w:val="auto"/>
          <w:sz w:val="24"/>
          <w:highlight w:val="none"/>
        </w:rPr>
        <w:t>项目完工验收合格之日起</w:t>
      </w:r>
      <w:r>
        <w:rPr>
          <w:rFonts w:hint="eastAsia" w:ascii="宋体" w:hAnsi="宋体" w:eastAsia="宋体" w:cs="宋体"/>
          <w:color w:val="auto"/>
          <w:sz w:val="24"/>
          <w:highlight w:val="none"/>
          <w:u w:val="single"/>
          <w:lang w:val="en-US" w:eastAsia="zh-CN"/>
        </w:rPr>
        <w:t xml:space="preserve"> </w:t>
      </w:r>
      <w:r>
        <w:rPr>
          <w:rFonts w:hint="eastAsia" w:ascii="宋体" w:hAnsi="宋体" w:cs="宋体"/>
          <w:color w:val="auto"/>
          <w:sz w:val="24"/>
          <w:highlight w:val="none"/>
          <w:u w:val="single"/>
          <w:lang w:val="en-US" w:eastAsia="zh-CN"/>
        </w:rPr>
        <w:t>5年</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pacing w:val="-4"/>
          <w:sz w:val="24"/>
          <w:szCs w:val="24"/>
          <w:highlight w:val="none"/>
        </w:rPr>
        <w:t>。</w:t>
      </w:r>
    </w:p>
    <w:p>
      <w:pPr>
        <w:spacing w:line="56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16.2保修期内乙方负责未移交的工程和工程设备的全部日常维护和缺陷修复工作，对已移交甲方使用的工程和工程设备，则应由甲方负责日常维护工作。乙方不能按期进行保修，甲方可另外雇请他人履行保修责任，所产生的一切费用由乙方承担。</w:t>
      </w:r>
    </w:p>
    <w:p>
      <w:pPr>
        <w:spacing w:line="56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16.3工程保修期满后，经监理机构确认工程保修内容符合要求，甲方</w:t>
      </w:r>
      <w:r>
        <w:rPr>
          <w:rFonts w:hint="eastAsia" w:ascii="宋体" w:hAnsi="宋体" w:cs="宋体"/>
          <w:color w:val="auto"/>
          <w:spacing w:val="-4"/>
          <w:sz w:val="24"/>
          <w:szCs w:val="24"/>
          <w:highlight w:val="none"/>
          <w:lang w:val="en-US" w:eastAsia="zh-CN"/>
        </w:rPr>
        <w:t>无息</w:t>
      </w:r>
      <w:r>
        <w:rPr>
          <w:rFonts w:hint="eastAsia" w:ascii="宋体" w:hAnsi="宋体" w:eastAsia="宋体" w:cs="宋体"/>
          <w:color w:val="auto"/>
          <w:spacing w:val="-4"/>
          <w:sz w:val="24"/>
          <w:szCs w:val="24"/>
          <w:highlight w:val="none"/>
        </w:rPr>
        <w:t>返还乙方保修金，甲方委托监理机构发放保修责任终止证书。</w:t>
      </w:r>
    </w:p>
    <w:p>
      <w:pPr>
        <w:spacing w:line="560" w:lineRule="exact"/>
        <w:ind w:firstLine="624"/>
        <w:rPr>
          <w:rFonts w:hint="eastAsia" w:ascii="宋体" w:hAnsi="宋体" w:eastAsia="宋体" w:cs="宋体"/>
          <w:b/>
          <w:color w:val="auto"/>
          <w:spacing w:val="-4"/>
          <w:sz w:val="24"/>
          <w:szCs w:val="24"/>
          <w:highlight w:val="none"/>
        </w:rPr>
      </w:pPr>
      <w:r>
        <w:rPr>
          <w:rFonts w:hint="eastAsia" w:ascii="宋体" w:hAnsi="宋体" w:eastAsia="宋体" w:cs="宋体"/>
          <w:b/>
          <w:color w:val="auto"/>
          <w:spacing w:val="-4"/>
          <w:sz w:val="24"/>
          <w:szCs w:val="24"/>
          <w:highlight w:val="none"/>
        </w:rPr>
        <w:t>第17条：合同争议</w:t>
      </w:r>
    </w:p>
    <w:p>
      <w:pPr>
        <w:spacing w:line="56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本合同执行过程中，甲、乙方如发生争议，由监理工程师协调双方协商解决，监理工程师协调未果时，可请当地仲裁机构裁决，发生的仲裁费用由责任方负担。</w:t>
      </w:r>
    </w:p>
    <w:p>
      <w:pPr>
        <w:spacing w:line="560" w:lineRule="exact"/>
        <w:ind w:firstLine="624"/>
        <w:rPr>
          <w:rFonts w:hint="eastAsia" w:ascii="宋体" w:hAnsi="宋体" w:eastAsia="宋体" w:cs="宋体"/>
          <w:b/>
          <w:color w:val="auto"/>
          <w:spacing w:val="-4"/>
          <w:sz w:val="24"/>
          <w:szCs w:val="24"/>
          <w:highlight w:val="none"/>
          <w:lang w:val="en-US" w:eastAsia="zh-CN"/>
        </w:rPr>
      </w:pPr>
      <w:r>
        <w:rPr>
          <w:rFonts w:hint="eastAsia" w:ascii="宋体" w:hAnsi="宋体" w:eastAsia="宋体" w:cs="宋体"/>
          <w:b/>
          <w:color w:val="auto"/>
          <w:spacing w:val="-4"/>
          <w:sz w:val="24"/>
          <w:szCs w:val="24"/>
          <w:highlight w:val="none"/>
        </w:rPr>
        <w:t>第18条：违约</w:t>
      </w:r>
      <w:r>
        <w:rPr>
          <w:rFonts w:hint="eastAsia" w:ascii="宋体" w:hAnsi="宋体" w:cs="宋体"/>
          <w:b/>
          <w:color w:val="auto"/>
          <w:spacing w:val="-4"/>
          <w:sz w:val="24"/>
          <w:szCs w:val="24"/>
          <w:highlight w:val="none"/>
          <w:lang w:val="en-US" w:eastAsia="zh-CN"/>
        </w:rPr>
        <w:t>责任</w:t>
      </w:r>
    </w:p>
    <w:p>
      <w:pPr>
        <w:spacing w:line="56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18.1甲方有下列情况之一时，视为违约，应承担违约责任；</w:t>
      </w:r>
    </w:p>
    <w:p>
      <w:pPr>
        <w:spacing w:line="56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（1）未能按合同约定的时间，支付乙方工程款项，导致施工无法进行；</w:t>
      </w:r>
    </w:p>
    <w:p>
      <w:pPr>
        <w:spacing w:line="56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18.2乙方有下列情况之一时，视为违约，应承担违约责任；</w:t>
      </w:r>
    </w:p>
    <w:p>
      <w:pPr>
        <w:spacing w:line="56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（1）未经甲方同意，私自转包工程或肢解分包工程</w:t>
      </w:r>
      <w:r>
        <w:rPr>
          <w:rFonts w:hint="eastAsia" w:ascii="宋体" w:hAnsi="宋体" w:cs="宋体"/>
          <w:color w:val="auto"/>
          <w:spacing w:val="-4"/>
          <w:sz w:val="24"/>
          <w:szCs w:val="24"/>
          <w:highlight w:val="none"/>
          <w:lang w:eastAsia="zh-CN"/>
        </w:rPr>
        <w:t>，甲方将相应工程收回，乙方向甲方支付合同价款10%违约金</w:t>
      </w:r>
      <w:r>
        <w:rPr>
          <w:rFonts w:hint="eastAsia" w:ascii="宋体" w:hAnsi="宋体" w:eastAsia="宋体" w:cs="宋体"/>
          <w:color w:val="auto"/>
          <w:spacing w:val="-4"/>
          <w:sz w:val="24"/>
          <w:szCs w:val="24"/>
          <w:highlight w:val="none"/>
        </w:rPr>
        <w:t>；</w:t>
      </w:r>
    </w:p>
    <w:p>
      <w:pPr>
        <w:spacing w:line="56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（2）未按合同约定的工期或甲方同意顺延的工期完工，每逾期一天，支付给甲方合同价款的</w:t>
      </w:r>
      <w:r>
        <w:rPr>
          <w:rFonts w:hint="eastAsia" w:ascii="宋体" w:hAnsi="宋体" w:cs="宋体"/>
          <w:color w:val="auto"/>
          <w:spacing w:val="-4"/>
          <w:sz w:val="24"/>
          <w:szCs w:val="24"/>
          <w:highlight w:val="none"/>
          <w:lang w:val="en-US" w:eastAsia="zh-CN"/>
        </w:rPr>
        <w:t>0.3</w:t>
      </w:r>
      <w:r>
        <w:rPr>
          <w:rFonts w:hint="eastAsia" w:ascii="宋体" w:hAnsi="宋体" w:eastAsia="宋体" w:cs="宋体"/>
          <w:color w:val="auto"/>
          <w:spacing w:val="-4"/>
          <w:sz w:val="24"/>
          <w:szCs w:val="24"/>
          <w:highlight w:val="none"/>
        </w:rPr>
        <w:t>‰作为违约金，延期违约赔偿金最高限额为合同价的</w:t>
      </w:r>
      <w:r>
        <w:rPr>
          <w:rFonts w:hint="eastAsia" w:ascii="宋体" w:hAnsi="宋体" w:cs="宋体"/>
          <w:color w:val="auto"/>
          <w:spacing w:val="-4"/>
          <w:sz w:val="24"/>
          <w:szCs w:val="24"/>
          <w:highlight w:val="none"/>
          <w:lang w:val="en-US" w:eastAsia="zh-CN"/>
        </w:rPr>
        <w:t>9‰</w:t>
      </w:r>
      <w:r>
        <w:rPr>
          <w:rFonts w:hint="eastAsia" w:ascii="宋体" w:hAnsi="宋体" w:eastAsia="宋体" w:cs="宋体"/>
          <w:color w:val="auto"/>
          <w:spacing w:val="-4"/>
          <w:sz w:val="24"/>
          <w:szCs w:val="24"/>
          <w:highlight w:val="none"/>
        </w:rPr>
        <w:t>，逾期超过30天的，甲方有权解除合同，乙方所完成的工程量按单项价格下浮50%后作为结算价款付给乙方；</w:t>
      </w:r>
    </w:p>
    <w:p>
      <w:pPr>
        <w:spacing w:line="56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（3）工程质量未达到合同约定的质量等级</w:t>
      </w:r>
      <w:r>
        <w:rPr>
          <w:rFonts w:hint="eastAsia" w:ascii="宋体" w:hAnsi="宋体" w:cs="宋体"/>
          <w:color w:val="auto"/>
          <w:spacing w:val="-4"/>
          <w:sz w:val="24"/>
          <w:szCs w:val="24"/>
          <w:highlight w:val="none"/>
          <w:lang w:eastAsia="zh-CN"/>
        </w:rPr>
        <w:t>，乙方负责无偿返工整改，在整改期限内达到质量标准。</w:t>
      </w:r>
    </w:p>
    <w:p>
      <w:pPr>
        <w:spacing w:line="56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18.3甲方或乙方违约，均应赔偿对方违约金。违约金按甲、乙方约定的金额和计算办法执行。</w:t>
      </w:r>
    </w:p>
    <w:p>
      <w:pPr>
        <w:spacing w:line="560" w:lineRule="exact"/>
        <w:ind w:firstLine="624"/>
        <w:rPr>
          <w:rFonts w:hint="eastAsia" w:ascii="宋体" w:hAnsi="宋体" w:eastAsia="宋体" w:cs="宋体"/>
          <w:b/>
          <w:color w:val="auto"/>
          <w:spacing w:val="-4"/>
          <w:sz w:val="24"/>
          <w:szCs w:val="24"/>
          <w:highlight w:val="none"/>
        </w:rPr>
      </w:pPr>
      <w:r>
        <w:rPr>
          <w:rFonts w:hint="eastAsia" w:ascii="宋体" w:hAnsi="宋体" w:eastAsia="宋体" w:cs="宋体"/>
          <w:b/>
          <w:color w:val="auto"/>
          <w:spacing w:val="-4"/>
          <w:sz w:val="24"/>
          <w:szCs w:val="24"/>
          <w:highlight w:val="none"/>
        </w:rPr>
        <w:t>第19条：保险</w:t>
      </w:r>
    </w:p>
    <w:p>
      <w:pPr>
        <w:spacing w:line="56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19.1施工期内，乙方应办理施工人员人身意外伤害保险和施工机械设备保险。</w:t>
      </w:r>
    </w:p>
    <w:p>
      <w:pPr>
        <w:spacing w:line="560" w:lineRule="exact"/>
        <w:ind w:firstLine="624"/>
        <w:rPr>
          <w:rFonts w:hint="eastAsia" w:ascii="宋体" w:hAnsi="宋体" w:eastAsia="宋体" w:cs="宋体"/>
          <w:b/>
          <w:color w:val="auto"/>
          <w:spacing w:val="-4"/>
          <w:sz w:val="24"/>
          <w:szCs w:val="24"/>
          <w:highlight w:val="none"/>
        </w:rPr>
      </w:pPr>
      <w:r>
        <w:rPr>
          <w:rFonts w:hint="eastAsia" w:ascii="宋体" w:hAnsi="宋体" w:eastAsia="宋体" w:cs="宋体"/>
          <w:b/>
          <w:color w:val="auto"/>
          <w:spacing w:val="-4"/>
          <w:sz w:val="24"/>
          <w:szCs w:val="24"/>
          <w:highlight w:val="none"/>
        </w:rPr>
        <w:t>第20条：合同生效与终止</w:t>
      </w:r>
    </w:p>
    <w:p>
      <w:pPr>
        <w:spacing w:line="56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20.1本合同生效日期从甲、乙双方法定代表人或其委托的代理人，在合同上签名并盖本单位公章之日起。</w:t>
      </w:r>
    </w:p>
    <w:p>
      <w:pPr>
        <w:spacing w:line="56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20.2本合同终止日期，以监理机构签发的保修责任终止证书之日起，且合同双方均未遗留合同规定应履行的义务时，合同自然终止。</w:t>
      </w:r>
    </w:p>
    <w:p>
      <w:pPr>
        <w:spacing w:line="560" w:lineRule="exact"/>
        <w:ind w:firstLine="624"/>
        <w:rPr>
          <w:rFonts w:hint="eastAsia" w:ascii="宋体" w:hAnsi="宋体" w:eastAsia="宋体" w:cs="宋体"/>
          <w:b/>
          <w:color w:val="auto"/>
          <w:spacing w:val="-4"/>
          <w:sz w:val="24"/>
          <w:szCs w:val="24"/>
          <w:highlight w:val="none"/>
        </w:rPr>
      </w:pPr>
      <w:r>
        <w:rPr>
          <w:rFonts w:hint="eastAsia" w:ascii="宋体" w:hAnsi="宋体" w:eastAsia="宋体" w:cs="宋体"/>
          <w:b/>
          <w:color w:val="auto"/>
          <w:spacing w:val="-4"/>
          <w:sz w:val="24"/>
          <w:szCs w:val="24"/>
          <w:highlight w:val="none"/>
        </w:rPr>
        <w:t>第21条：下列文件与本合同具有同等效力，甲、乙方应共同遵守。</w:t>
      </w:r>
    </w:p>
    <w:p>
      <w:pPr>
        <w:spacing w:line="56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（1）合同执行期间产生的会议纪要；</w:t>
      </w:r>
    </w:p>
    <w:p>
      <w:pPr>
        <w:spacing w:line="56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（2）监理工程师下达的通知、指令，工程签证；</w:t>
      </w:r>
    </w:p>
    <w:p>
      <w:pPr>
        <w:spacing w:line="56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（3）上级或甲方的有关通知；</w:t>
      </w:r>
    </w:p>
    <w:p>
      <w:pPr>
        <w:spacing w:line="56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（4）甲方委托监理合同中赋予监理工程师的职责、权利和义务；</w:t>
      </w:r>
    </w:p>
    <w:p>
      <w:pPr>
        <w:spacing w:line="56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（5）土地开发整理项目工程质量评定规程；</w:t>
      </w:r>
    </w:p>
    <w:p>
      <w:pPr>
        <w:spacing w:line="56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（6）双方其他与本项目有关的协议；</w:t>
      </w:r>
    </w:p>
    <w:p>
      <w:pPr>
        <w:spacing w:line="560" w:lineRule="exact"/>
        <w:ind w:firstLine="624"/>
        <w:rPr>
          <w:rFonts w:hint="eastAsia" w:ascii="宋体" w:hAnsi="宋体" w:eastAsia="宋体" w:cs="宋体"/>
          <w:b/>
          <w:color w:val="auto"/>
          <w:spacing w:val="-4"/>
          <w:sz w:val="24"/>
          <w:szCs w:val="24"/>
          <w:highlight w:val="none"/>
        </w:rPr>
      </w:pPr>
      <w:r>
        <w:rPr>
          <w:rFonts w:hint="eastAsia" w:ascii="宋体" w:hAnsi="宋体" w:eastAsia="宋体" w:cs="宋体"/>
          <w:b/>
          <w:color w:val="auto"/>
          <w:spacing w:val="-4"/>
          <w:sz w:val="24"/>
          <w:szCs w:val="24"/>
          <w:highlight w:val="none"/>
        </w:rPr>
        <w:t>第22条：组成本合同的文件顺序如下：</w:t>
      </w:r>
    </w:p>
    <w:p>
      <w:pPr>
        <w:spacing w:line="56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（1）本合同所列条款；</w:t>
      </w:r>
    </w:p>
    <w:p>
      <w:pPr>
        <w:spacing w:line="56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（2）中标通知书、投标书和</w:t>
      </w:r>
      <w:r>
        <w:rPr>
          <w:rFonts w:hint="eastAsia" w:ascii="宋体" w:hAnsi="宋体" w:eastAsia="宋体" w:cs="宋体"/>
          <w:color w:val="auto"/>
          <w:spacing w:val="-4"/>
          <w:sz w:val="24"/>
          <w:szCs w:val="24"/>
          <w:highlight w:val="none"/>
          <w:lang w:eastAsia="zh-CN"/>
        </w:rPr>
        <w:t>采购文件</w:t>
      </w:r>
      <w:r>
        <w:rPr>
          <w:rFonts w:hint="eastAsia" w:ascii="宋体" w:hAnsi="宋体" w:eastAsia="宋体" w:cs="宋体"/>
          <w:color w:val="auto"/>
          <w:spacing w:val="-4"/>
          <w:sz w:val="24"/>
          <w:szCs w:val="24"/>
          <w:highlight w:val="none"/>
        </w:rPr>
        <w:t>；</w:t>
      </w:r>
    </w:p>
    <w:p>
      <w:pPr>
        <w:spacing w:line="56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（3）工程量清单、工程预算书；</w:t>
      </w:r>
    </w:p>
    <w:p>
      <w:pPr>
        <w:spacing w:line="56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（4）技术规范和其他相关技术资料、技术要求；</w:t>
      </w:r>
    </w:p>
    <w:p>
      <w:pPr>
        <w:spacing w:line="560" w:lineRule="exact"/>
        <w:ind w:firstLine="624"/>
        <w:rPr>
          <w:rFonts w:hint="eastAsia" w:ascii="宋体" w:hAnsi="宋体" w:eastAsia="宋体" w:cs="宋体"/>
          <w:b/>
          <w:color w:val="auto"/>
          <w:spacing w:val="-4"/>
          <w:sz w:val="24"/>
          <w:szCs w:val="24"/>
          <w:highlight w:val="none"/>
        </w:rPr>
      </w:pPr>
      <w:r>
        <w:rPr>
          <w:rFonts w:hint="eastAsia" w:ascii="宋体" w:hAnsi="宋体" w:eastAsia="宋体" w:cs="宋体"/>
          <w:b/>
          <w:color w:val="auto"/>
          <w:spacing w:val="-4"/>
          <w:sz w:val="24"/>
          <w:szCs w:val="24"/>
          <w:highlight w:val="none"/>
        </w:rPr>
        <w:t>第23条：文物保护</w:t>
      </w:r>
    </w:p>
    <w:p>
      <w:pPr>
        <w:spacing w:line="560" w:lineRule="exact"/>
        <w:ind w:firstLine="62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在施工过程中，发掘的古墓、古建筑遗址、化石、古币等文物，乙方应妥善保护，并立即报告文物管理部门，同时通知监理机构和甲方。</w:t>
      </w:r>
    </w:p>
    <w:p>
      <w:pPr>
        <w:spacing w:line="560" w:lineRule="exact"/>
        <w:ind w:firstLine="624"/>
        <w:rPr>
          <w:rFonts w:hint="eastAsia" w:ascii="宋体" w:hAnsi="宋体" w:cs="宋体"/>
          <w:b/>
          <w:color w:val="auto"/>
          <w:spacing w:val="-4"/>
          <w:sz w:val="24"/>
          <w:szCs w:val="24"/>
          <w:highlight w:val="none"/>
          <w:lang w:val="en-US" w:eastAsia="zh-CN"/>
        </w:rPr>
      </w:pPr>
      <w:bookmarkStart w:id="0" w:name="OLE_LINK1"/>
      <w:r>
        <w:rPr>
          <w:rFonts w:hint="eastAsia" w:ascii="宋体" w:hAnsi="宋体" w:eastAsia="宋体" w:cs="宋体"/>
          <w:b/>
          <w:color w:val="auto"/>
          <w:spacing w:val="-4"/>
          <w:sz w:val="24"/>
          <w:szCs w:val="24"/>
          <w:highlight w:val="none"/>
        </w:rPr>
        <w:t>第 24 条 农民工工</w:t>
      </w:r>
      <w:r>
        <w:rPr>
          <w:rFonts w:hint="eastAsia" w:ascii="宋体" w:hAnsi="宋体" w:cs="宋体"/>
          <w:b/>
          <w:color w:val="auto"/>
          <w:spacing w:val="-4"/>
          <w:sz w:val="24"/>
          <w:szCs w:val="24"/>
          <w:highlight w:val="none"/>
          <w:lang w:val="en-US" w:eastAsia="zh-CN"/>
        </w:rPr>
        <w:t>资追责条款</w:t>
      </w:r>
    </w:p>
    <w:p>
      <w:pPr>
        <w:spacing w:line="560" w:lineRule="exact"/>
        <w:ind w:firstLine="624"/>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24.1 基本管理</w:t>
      </w:r>
    </w:p>
    <w:p>
      <w:pPr>
        <w:spacing w:line="560" w:lineRule="exact"/>
        <w:ind w:firstLine="624"/>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乙方严格按照本合同9.2条款完成实名制登记、人员报备及工资专户开设工作，现场设置农民工维权公示牌。未落实上述要求的，甲方有权不予签发开工令、暂停支付工程款。</w:t>
      </w:r>
    </w:p>
    <w:p>
      <w:pPr>
        <w:spacing w:line="560" w:lineRule="exact"/>
        <w:ind w:firstLine="624"/>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24.2 工资发放与保证金</w:t>
      </w:r>
    </w:p>
    <w:p>
      <w:pPr>
        <w:spacing w:line="560" w:lineRule="exact"/>
        <w:ind w:firstLine="624"/>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农民工工资统一银行代发，严禁克扣、拖欠、他人代领。乙方须按陕西省规定足额缴纳农民工工资保证金，未缴存到位的，甲方有权拒付所有工程款项。</w:t>
      </w:r>
    </w:p>
    <w:p>
      <w:pPr>
        <w:spacing w:line="560" w:lineRule="exact"/>
        <w:ind w:firstLine="624"/>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24.3 代扣追偿与违约责任</w:t>
      </w:r>
    </w:p>
    <w:p>
      <w:pPr>
        <w:spacing w:line="560" w:lineRule="exact"/>
        <w:ind w:firstLine="624"/>
        <w:rPr>
          <w:rFonts w:hint="eastAsia" w:ascii="宋体" w:hAnsi="宋体" w:eastAsia="宋体" w:cs="宋体"/>
          <w:color w:val="auto"/>
          <w:spacing w:val="-4"/>
          <w:sz w:val="24"/>
          <w:szCs w:val="24"/>
          <w:highlight w:val="none"/>
          <w:lang w:val="en-US" w:eastAsia="zh-CN"/>
        </w:rPr>
      </w:pPr>
      <w:r>
        <w:rPr>
          <w:rFonts w:hint="eastAsia" w:ascii="宋体" w:hAnsi="宋体" w:cs="宋体"/>
          <w:color w:val="auto"/>
          <w:spacing w:val="-4"/>
          <w:sz w:val="24"/>
          <w:szCs w:val="24"/>
          <w:highlight w:val="none"/>
          <w:lang w:val="en-US" w:eastAsia="zh-CN"/>
        </w:rPr>
        <w:t>（1）</w:t>
      </w:r>
      <w:r>
        <w:rPr>
          <w:rFonts w:hint="eastAsia" w:ascii="宋体" w:hAnsi="宋体" w:eastAsia="宋体" w:cs="宋体"/>
          <w:color w:val="auto"/>
          <w:spacing w:val="-4"/>
          <w:sz w:val="24"/>
          <w:szCs w:val="24"/>
          <w:highlight w:val="none"/>
          <w:lang w:val="en-US" w:eastAsia="zh-CN"/>
        </w:rPr>
        <w:t>乙方若存在欠薪情况，经主管部门核实后，甲方有权从工程款中代扣代发，由此产生的全部费用及损失由乙方承担。</w:t>
      </w:r>
    </w:p>
    <w:p>
      <w:pPr>
        <w:spacing w:line="560" w:lineRule="exact"/>
        <w:ind w:firstLine="624"/>
        <w:rPr>
          <w:rFonts w:hint="eastAsia" w:ascii="宋体" w:hAnsi="宋体" w:eastAsia="宋体" w:cs="宋体"/>
          <w:color w:val="auto"/>
          <w:spacing w:val="-4"/>
          <w:sz w:val="24"/>
          <w:szCs w:val="24"/>
          <w:highlight w:val="none"/>
          <w:lang w:val="en-US" w:eastAsia="zh-CN"/>
        </w:rPr>
      </w:pPr>
      <w:r>
        <w:rPr>
          <w:rFonts w:hint="eastAsia" w:ascii="宋体" w:hAnsi="宋体" w:cs="宋体"/>
          <w:color w:val="auto"/>
          <w:spacing w:val="-4"/>
          <w:sz w:val="24"/>
          <w:szCs w:val="24"/>
          <w:highlight w:val="none"/>
          <w:lang w:val="en-US" w:eastAsia="zh-CN"/>
        </w:rPr>
        <w:t>（2）</w:t>
      </w:r>
      <w:r>
        <w:rPr>
          <w:rFonts w:hint="eastAsia" w:ascii="宋体" w:hAnsi="宋体" w:eastAsia="宋体" w:cs="宋体"/>
          <w:color w:val="auto"/>
          <w:spacing w:val="-4"/>
          <w:sz w:val="24"/>
          <w:szCs w:val="24"/>
          <w:highlight w:val="none"/>
          <w:lang w:val="en-US" w:eastAsia="zh-CN"/>
        </w:rPr>
        <w:t>乙方未落实用工管理、挪用工资资金、</w:t>
      </w:r>
      <w:r>
        <w:rPr>
          <w:rFonts w:hint="eastAsia" w:ascii="宋体" w:hAnsi="宋体" w:cs="宋体"/>
          <w:color w:val="auto"/>
          <w:spacing w:val="-4"/>
          <w:sz w:val="24"/>
          <w:szCs w:val="24"/>
          <w:highlight w:val="none"/>
          <w:lang w:val="en-US" w:eastAsia="zh-CN"/>
        </w:rPr>
        <w:t>提供虚假信息骗取农民工工资、</w:t>
      </w:r>
      <w:r>
        <w:rPr>
          <w:rFonts w:hint="eastAsia" w:ascii="宋体" w:hAnsi="宋体" w:eastAsia="宋体" w:cs="宋体"/>
          <w:color w:val="auto"/>
          <w:spacing w:val="-4"/>
          <w:sz w:val="24"/>
          <w:szCs w:val="24"/>
          <w:highlight w:val="none"/>
          <w:lang w:val="en-US" w:eastAsia="zh-CN"/>
        </w:rPr>
        <w:t>拖欠工资引发不良事件的，须承担相应违约金及全部责任，甲方有权追责、扣除保证金、解除合同并下浮结算。</w:t>
      </w:r>
    </w:p>
    <w:p>
      <w:pPr>
        <w:spacing w:line="560" w:lineRule="exact"/>
        <w:ind w:firstLine="624"/>
        <w:rPr>
          <w:rFonts w:hint="eastAsia" w:ascii="宋体" w:hAnsi="宋体" w:eastAsia="宋体" w:cs="宋体"/>
          <w:color w:val="auto"/>
          <w:spacing w:val="-4"/>
          <w:sz w:val="24"/>
          <w:szCs w:val="24"/>
          <w:highlight w:val="none"/>
          <w:lang w:val="en-US" w:eastAsia="zh-CN"/>
        </w:rPr>
      </w:pPr>
      <w:r>
        <w:rPr>
          <w:rFonts w:hint="eastAsia" w:ascii="宋体" w:hAnsi="宋体" w:cs="宋体"/>
          <w:color w:val="auto"/>
          <w:spacing w:val="-4"/>
          <w:sz w:val="24"/>
          <w:szCs w:val="24"/>
          <w:highlight w:val="none"/>
          <w:lang w:val="en-US" w:eastAsia="zh-CN"/>
        </w:rPr>
        <w:t>（3）</w:t>
      </w:r>
      <w:r>
        <w:rPr>
          <w:rFonts w:hint="eastAsia" w:ascii="宋体" w:hAnsi="宋体" w:eastAsia="宋体" w:cs="宋体"/>
          <w:color w:val="auto"/>
          <w:spacing w:val="-4"/>
          <w:sz w:val="24"/>
          <w:szCs w:val="24"/>
          <w:highlight w:val="none"/>
          <w:lang w:val="en-US" w:eastAsia="zh-CN"/>
        </w:rPr>
        <w:t>乙方违约责任</w:t>
      </w:r>
      <w:r>
        <w:rPr>
          <w:rFonts w:hint="eastAsia" w:ascii="宋体" w:hAnsi="宋体" w:cs="宋体"/>
          <w:color w:val="auto"/>
          <w:spacing w:val="-4"/>
          <w:sz w:val="24"/>
          <w:szCs w:val="24"/>
          <w:highlight w:val="none"/>
          <w:lang w:val="en-US" w:eastAsia="zh-CN"/>
        </w:rPr>
        <w:t>承担：</w:t>
      </w:r>
      <w:r>
        <w:rPr>
          <w:rFonts w:hint="eastAsia" w:ascii="宋体" w:hAnsi="宋体" w:eastAsia="宋体" w:cs="宋体"/>
          <w:color w:val="auto"/>
          <w:spacing w:val="-4"/>
          <w:sz w:val="24"/>
          <w:szCs w:val="24"/>
          <w:highlight w:val="none"/>
          <w:lang w:val="en-US" w:eastAsia="zh-CN"/>
        </w:rPr>
        <w:t xml:space="preserve"> </w:t>
      </w:r>
      <w:r>
        <w:rPr>
          <w:rFonts w:hint="eastAsia" w:ascii="宋体" w:hAnsi="宋体" w:cs="宋体"/>
          <w:color w:val="auto"/>
          <w:spacing w:val="-4"/>
          <w:sz w:val="24"/>
          <w:szCs w:val="24"/>
          <w:highlight w:val="none"/>
          <w:lang w:val="en-US" w:eastAsia="zh-CN"/>
        </w:rPr>
        <w:t>①</w:t>
      </w:r>
      <w:r>
        <w:rPr>
          <w:rFonts w:hint="eastAsia" w:ascii="宋体" w:hAnsi="宋体" w:eastAsia="宋体" w:cs="宋体"/>
          <w:color w:val="auto"/>
          <w:spacing w:val="-4"/>
          <w:sz w:val="24"/>
          <w:szCs w:val="24"/>
          <w:highlight w:val="none"/>
          <w:lang w:val="en-US" w:eastAsia="zh-CN"/>
        </w:rPr>
        <w:t xml:space="preserve">未落实实名制、未开立工资专户：单次处罚 5000 元； </w:t>
      </w:r>
      <w:r>
        <w:rPr>
          <w:rFonts w:hint="eastAsia" w:ascii="宋体" w:hAnsi="宋体" w:cs="宋体"/>
          <w:color w:val="auto"/>
          <w:spacing w:val="-4"/>
          <w:sz w:val="24"/>
          <w:szCs w:val="24"/>
          <w:highlight w:val="none"/>
          <w:lang w:val="en-US" w:eastAsia="zh-CN"/>
        </w:rPr>
        <w:t>②</w:t>
      </w:r>
      <w:r>
        <w:rPr>
          <w:rFonts w:hint="eastAsia" w:ascii="宋体" w:hAnsi="宋体" w:eastAsia="宋体" w:cs="宋体"/>
          <w:color w:val="auto"/>
          <w:spacing w:val="-4"/>
          <w:sz w:val="24"/>
          <w:szCs w:val="24"/>
          <w:highlight w:val="none"/>
          <w:lang w:val="en-US" w:eastAsia="zh-CN"/>
        </w:rPr>
        <w:t xml:space="preserve">逾期发放工资超过 15 日，按欠付工资金额每日 0.3‰向甲方支付违约金； </w:t>
      </w:r>
      <w:r>
        <w:rPr>
          <w:rFonts w:hint="eastAsia" w:ascii="宋体" w:hAnsi="宋体" w:cs="宋体"/>
          <w:color w:val="auto"/>
          <w:spacing w:val="-4"/>
          <w:sz w:val="24"/>
          <w:szCs w:val="24"/>
          <w:highlight w:val="none"/>
          <w:lang w:val="en-US" w:eastAsia="zh-CN"/>
        </w:rPr>
        <w:t>③</w:t>
      </w:r>
      <w:r>
        <w:rPr>
          <w:rFonts w:hint="eastAsia" w:ascii="宋体" w:hAnsi="宋体" w:eastAsia="宋体" w:cs="宋体"/>
          <w:color w:val="auto"/>
          <w:spacing w:val="-4"/>
          <w:sz w:val="24"/>
          <w:szCs w:val="24"/>
          <w:highlight w:val="none"/>
          <w:lang w:val="en-US" w:eastAsia="zh-CN"/>
        </w:rPr>
        <w:t>截留、挪用工资专户资金、伪造工资表、虚报工人考勤，甲方可单方面解除合同，已完工工程量按结算价下浮 30% 结算，同时扣除全部质保金、履约保证金；</w:t>
      </w:r>
      <w:r>
        <w:rPr>
          <w:rFonts w:hint="eastAsia" w:ascii="宋体" w:hAnsi="宋体" w:cs="宋体"/>
          <w:color w:val="auto"/>
          <w:spacing w:val="-4"/>
          <w:sz w:val="24"/>
          <w:szCs w:val="24"/>
          <w:highlight w:val="none"/>
          <w:lang w:val="en-US" w:eastAsia="zh-CN"/>
        </w:rPr>
        <w:t>④</w:t>
      </w:r>
      <w:r>
        <w:rPr>
          <w:rFonts w:hint="eastAsia" w:ascii="宋体" w:hAnsi="宋体" w:eastAsia="宋体" w:cs="宋体"/>
          <w:color w:val="auto"/>
          <w:spacing w:val="-4"/>
          <w:sz w:val="24"/>
          <w:szCs w:val="24"/>
          <w:highlight w:val="none"/>
          <w:lang w:val="en-US" w:eastAsia="zh-CN"/>
        </w:rPr>
        <w:t>因拖欠工资引发工人上访、劳动监察立案、媒体曝光的，乙方一次性向甲方支付合同总价 5% 的违约金，并承担全部行政、民事赔偿责任。</w:t>
      </w:r>
    </w:p>
    <w:p>
      <w:pPr>
        <w:spacing w:line="560" w:lineRule="exact"/>
        <w:ind w:firstLine="624"/>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24.4 政策适用</w:t>
      </w:r>
    </w:p>
    <w:p>
      <w:pPr>
        <w:numPr>
          <w:ilvl w:val="0"/>
          <w:numId w:val="0"/>
        </w:numPr>
        <w:spacing w:line="560" w:lineRule="exact"/>
        <w:ind w:left="479" w:leftChars="228" w:firstLine="0" w:firstLineChars="0"/>
        <w:rPr>
          <w:rFonts w:hint="eastAsia" w:ascii="宋体" w:hAnsi="宋体" w:eastAsia="宋体" w:cs="宋体"/>
          <w:b/>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本条款未尽事宜，遵照国家及陕西省农民工工资支付相关现行政策法规执行。</w:t>
      </w:r>
      <w:bookmarkEnd w:id="0"/>
      <w:r>
        <w:rPr>
          <w:rFonts w:hint="eastAsia" w:ascii="宋体" w:hAnsi="宋体" w:cs="宋体"/>
          <w:b/>
          <w:color w:val="auto"/>
          <w:spacing w:val="-4"/>
          <w:sz w:val="24"/>
          <w:szCs w:val="24"/>
          <w:highlight w:val="none"/>
          <w:lang w:val="en-US" w:eastAsia="zh-CN"/>
        </w:rPr>
        <w:t>第25条</w:t>
      </w:r>
      <w:r>
        <w:rPr>
          <w:rFonts w:hint="eastAsia" w:ascii="宋体" w:hAnsi="宋体" w:eastAsia="宋体" w:cs="宋体"/>
          <w:b/>
          <w:color w:val="auto"/>
          <w:spacing w:val="-4"/>
          <w:sz w:val="24"/>
          <w:szCs w:val="24"/>
          <w:highlight w:val="none"/>
        </w:rPr>
        <w:t>：本合同</w:t>
      </w:r>
      <w:r>
        <w:rPr>
          <w:rFonts w:hint="eastAsia" w:ascii="宋体" w:hAnsi="宋体" w:eastAsia="宋体" w:cs="宋体"/>
          <w:b/>
          <w:color w:val="auto"/>
          <w:spacing w:val="-4"/>
          <w:sz w:val="24"/>
          <w:szCs w:val="24"/>
          <w:highlight w:val="none"/>
          <w:lang w:eastAsia="zh-CN"/>
        </w:rPr>
        <w:t>一</w:t>
      </w:r>
      <w:r>
        <w:rPr>
          <w:rFonts w:hint="eastAsia" w:ascii="宋体" w:hAnsi="宋体" w:eastAsia="宋体" w:cs="宋体"/>
          <w:b/>
          <w:color w:val="auto"/>
          <w:spacing w:val="-4"/>
          <w:sz w:val="24"/>
          <w:szCs w:val="24"/>
          <w:highlight w:val="none"/>
        </w:rPr>
        <w:t>式</w:t>
      </w:r>
      <w:r>
        <w:rPr>
          <w:rFonts w:hint="eastAsia" w:ascii="宋体" w:hAnsi="宋体" w:eastAsia="宋体" w:cs="宋体"/>
          <w:b/>
          <w:color w:val="auto"/>
          <w:spacing w:val="-4"/>
          <w:sz w:val="24"/>
          <w:szCs w:val="24"/>
          <w:highlight w:val="none"/>
          <w:lang w:val="en-US" w:eastAsia="zh-CN"/>
        </w:rPr>
        <w:t>陆</w:t>
      </w:r>
      <w:r>
        <w:rPr>
          <w:rFonts w:hint="eastAsia" w:ascii="宋体" w:hAnsi="宋体" w:eastAsia="宋体" w:cs="宋体"/>
          <w:b/>
          <w:color w:val="auto"/>
          <w:spacing w:val="-4"/>
          <w:sz w:val="24"/>
          <w:szCs w:val="24"/>
          <w:highlight w:val="none"/>
        </w:rPr>
        <w:t>份，甲方执肆份，乙方执贰份。</w:t>
      </w:r>
      <w:r>
        <w:rPr>
          <w:rFonts w:hint="eastAsia" w:ascii="宋体" w:hAnsi="宋体" w:cs="宋体"/>
          <w:b/>
          <w:color w:val="auto"/>
          <w:spacing w:val="-4"/>
          <w:sz w:val="24"/>
          <w:szCs w:val="24"/>
          <w:highlight w:val="none"/>
          <w:lang w:val="en-US" w:eastAsia="zh-CN"/>
        </w:rPr>
        <w:t xml:space="preserve"> </w:t>
      </w:r>
    </w:p>
    <w:p>
      <w:pPr>
        <w:numPr>
          <w:ilvl w:val="0"/>
          <w:numId w:val="0"/>
        </w:numPr>
        <w:spacing w:line="560" w:lineRule="exact"/>
        <w:ind w:firstLine="466" w:firstLineChars="200"/>
        <w:rPr>
          <w:rFonts w:hint="eastAsia" w:ascii="宋体" w:hAnsi="宋体" w:eastAsia="宋体" w:cs="宋体"/>
          <w:b/>
          <w:color w:val="auto"/>
          <w:spacing w:val="-4"/>
          <w:sz w:val="24"/>
          <w:szCs w:val="24"/>
          <w:highlight w:val="none"/>
        </w:rPr>
      </w:pPr>
      <w:r>
        <w:rPr>
          <w:rFonts w:hint="eastAsia" w:ascii="宋体" w:hAnsi="宋体" w:cs="宋体"/>
          <w:b/>
          <w:color w:val="auto"/>
          <w:spacing w:val="-4"/>
          <w:sz w:val="24"/>
          <w:szCs w:val="24"/>
          <w:highlight w:val="none"/>
          <w:lang w:val="en-US" w:eastAsia="zh-CN"/>
        </w:rPr>
        <w:t>第26条</w:t>
      </w:r>
      <w:r>
        <w:rPr>
          <w:rFonts w:hint="eastAsia" w:ascii="宋体" w:hAnsi="宋体" w:eastAsia="宋体" w:cs="宋体"/>
          <w:b/>
          <w:color w:val="auto"/>
          <w:spacing w:val="-4"/>
          <w:sz w:val="24"/>
          <w:szCs w:val="24"/>
          <w:highlight w:val="none"/>
        </w:rPr>
        <w:t>：</w:t>
      </w:r>
      <w:r>
        <w:rPr>
          <w:rFonts w:hint="eastAsia" w:ascii="宋体" w:hAnsi="宋体" w:eastAsia="宋体" w:cs="宋体"/>
          <w:bCs/>
          <w:color w:val="auto"/>
          <w:spacing w:val="-4"/>
          <w:sz w:val="24"/>
          <w:szCs w:val="24"/>
          <w:highlight w:val="none"/>
        </w:rPr>
        <w:t>本合同未尽事宜，双方另行协商解决。</w:t>
      </w:r>
    </w:p>
    <w:p>
      <w:pPr>
        <w:spacing w:line="560" w:lineRule="exact"/>
        <w:rPr>
          <w:rFonts w:hint="eastAsia" w:ascii="宋体" w:hAnsi="宋体" w:eastAsia="宋体" w:cs="宋体"/>
          <w:color w:val="auto"/>
          <w:spacing w:val="-4"/>
          <w:sz w:val="24"/>
          <w:szCs w:val="24"/>
          <w:highlight w:val="none"/>
        </w:rPr>
      </w:pPr>
    </w:p>
    <w:p>
      <w:pPr>
        <w:spacing w:line="560" w:lineRule="exac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建设单位（甲方）：                  施工单位（乙方）：</w:t>
      </w:r>
    </w:p>
    <w:p>
      <w:pPr>
        <w:spacing w:line="560" w:lineRule="exact"/>
        <w:rPr>
          <w:rFonts w:hint="eastAsia" w:ascii="宋体" w:hAnsi="宋体" w:eastAsia="宋体" w:cs="宋体"/>
          <w:color w:val="auto"/>
          <w:spacing w:val="-4"/>
          <w:sz w:val="24"/>
          <w:szCs w:val="24"/>
          <w:highlight w:val="none"/>
        </w:rPr>
      </w:pPr>
    </w:p>
    <w:p>
      <w:pPr>
        <w:spacing w:line="560" w:lineRule="exac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法定代表人：                       法定代表人：</w:t>
      </w:r>
    </w:p>
    <w:p>
      <w:pPr>
        <w:spacing w:line="560" w:lineRule="exact"/>
        <w:rPr>
          <w:rFonts w:hint="eastAsia" w:ascii="宋体" w:hAnsi="宋体" w:eastAsia="宋体" w:cs="宋体"/>
          <w:color w:val="auto"/>
          <w:spacing w:val="-4"/>
          <w:sz w:val="24"/>
          <w:szCs w:val="24"/>
          <w:highlight w:val="none"/>
        </w:rPr>
      </w:pPr>
    </w:p>
    <w:p>
      <w:pPr>
        <w:spacing w:line="560" w:lineRule="exact"/>
        <w:rPr>
          <w:rFonts w:hint="eastAsia" w:ascii="宋体" w:hAnsi="宋体" w:eastAsia="宋体" w:cs="宋体"/>
          <w:color w:val="auto"/>
          <w:spacing w:val="-4"/>
          <w:sz w:val="24"/>
          <w:szCs w:val="24"/>
          <w:highlight w:val="none"/>
          <w:lang w:eastAsia="zh-CN"/>
        </w:rPr>
      </w:pPr>
      <w:r>
        <w:rPr>
          <w:rFonts w:hint="eastAsia" w:ascii="宋体" w:hAnsi="宋体" w:eastAsia="宋体" w:cs="宋体"/>
          <w:color w:val="auto"/>
          <w:spacing w:val="-4"/>
          <w:sz w:val="24"/>
          <w:szCs w:val="24"/>
          <w:highlight w:val="none"/>
        </w:rPr>
        <w:t>委托代理人：                       委托代理人</w:t>
      </w:r>
      <w:r>
        <w:rPr>
          <w:rFonts w:hint="eastAsia" w:ascii="宋体" w:hAnsi="宋体" w:eastAsia="宋体" w:cs="宋体"/>
          <w:color w:val="auto"/>
          <w:spacing w:val="-4"/>
          <w:sz w:val="24"/>
          <w:szCs w:val="24"/>
          <w:highlight w:val="none"/>
          <w:lang w:eastAsia="zh-CN"/>
        </w:rPr>
        <w:t>：</w:t>
      </w:r>
    </w:p>
    <w:p>
      <w:pPr>
        <w:spacing w:line="560" w:lineRule="exact"/>
        <w:jc w:val="center"/>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 xml:space="preserve">                     </w:t>
      </w:r>
    </w:p>
    <w:p>
      <w:pPr>
        <w:spacing w:line="560" w:lineRule="exact"/>
        <w:jc w:val="center"/>
        <w:rPr>
          <w:rFonts w:hint="eastAsia" w:ascii="宋体" w:hAnsi="宋体" w:eastAsia="宋体" w:cs="宋体"/>
          <w:b/>
          <w:color w:val="auto"/>
          <w:sz w:val="32"/>
          <w:szCs w:val="32"/>
          <w:highlight w:val="none"/>
          <w:lang w:val="en-US" w:eastAsia="zh-CN"/>
        </w:rPr>
      </w:pPr>
      <w:r>
        <w:rPr>
          <w:rFonts w:hint="eastAsia" w:ascii="宋体" w:hAnsi="宋体" w:eastAsia="宋体" w:cs="宋体"/>
          <w:color w:val="auto"/>
          <w:spacing w:val="-4"/>
          <w:sz w:val="24"/>
          <w:szCs w:val="24"/>
          <w:highlight w:val="none"/>
        </w:rPr>
        <w:t>合同签订日期：</w:t>
      </w:r>
      <w:r>
        <w:rPr>
          <w:rFonts w:hint="eastAsia" w:ascii="宋体" w:hAnsi="宋体" w:eastAsia="宋体" w:cs="宋体"/>
          <w:bCs/>
          <w:color w:val="auto"/>
          <w:sz w:val="24"/>
          <w:szCs w:val="24"/>
          <w:highlight w:val="none"/>
          <w:lang w:val="en-US" w:eastAsia="zh-CN"/>
        </w:rPr>
        <w:t xml:space="preserve">  </w:t>
      </w:r>
      <w:r>
        <w:rPr>
          <w:rFonts w:hint="eastAsia" w:ascii="宋体" w:hAnsi="宋体" w:eastAsia="宋体" w:cs="宋体"/>
          <w:bCs/>
          <w:color w:val="auto"/>
          <w:sz w:val="24"/>
          <w:szCs w:val="24"/>
          <w:highlight w:val="none"/>
        </w:rPr>
        <w:t>年</w:t>
      </w:r>
      <w:r>
        <w:rPr>
          <w:rFonts w:hint="eastAsia" w:ascii="宋体" w:hAnsi="宋体" w:eastAsia="宋体" w:cs="宋体"/>
          <w:bCs/>
          <w:color w:val="auto"/>
          <w:sz w:val="24"/>
          <w:szCs w:val="24"/>
          <w:highlight w:val="none"/>
          <w:lang w:val="en-US" w:eastAsia="zh-CN"/>
        </w:rPr>
        <w:t xml:space="preserve">     </w:t>
      </w:r>
      <w:r>
        <w:rPr>
          <w:rFonts w:hint="eastAsia" w:ascii="宋体" w:hAnsi="宋体" w:eastAsia="宋体" w:cs="宋体"/>
          <w:bCs/>
          <w:color w:val="auto"/>
          <w:sz w:val="24"/>
          <w:szCs w:val="24"/>
          <w:highlight w:val="none"/>
        </w:rPr>
        <w:t>月</w:t>
      </w:r>
      <w:r>
        <w:rPr>
          <w:rFonts w:hint="eastAsia" w:ascii="宋体" w:hAnsi="宋体" w:eastAsia="宋体" w:cs="宋体"/>
          <w:bCs/>
          <w:color w:val="auto"/>
          <w:sz w:val="24"/>
          <w:szCs w:val="24"/>
          <w:highlight w:val="none"/>
          <w:lang w:val="en-US" w:eastAsia="zh-CN"/>
        </w:rPr>
        <w:t xml:space="preserve">    </w:t>
      </w:r>
      <w:r>
        <w:rPr>
          <w:rFonts w:hint="eastAsia" w:ascii="宋体" w:hAnsi="宋体" w:eastAsia="宋体" w:cs="宋体"/>
          <w:bCs/>
          <w:color w:val="auto"/>
          <w:sz w:val="24"/>
          <w:szCs w:val="24"/>
          <w:highlight w:val="none"/>
        </w:rPr>
        <w:t>日</w:t>
      </w:r>
    </w:p>
    <w:p>
      <w:pPr>
        <w:pStyle w:val="21"/>
        <w:rPr>
          <w:rFonts w:hint="eastAsia"/>
          <w:highlight w:val="none"/>
          <w:lang w:val="en-US" w:eastAsia="zh-Hans"/>
        </w:rPr>
      </w:pPr>
      <w:r>
        <w:rPr>
          <w:rFonts w:ascii="仿宋_GB2312" w:hAnsi="仿宋_GB2312" w:eastAsia="仿宋_GB2312" w:cs="仿宋_GB2312"/>
          <w:highlight w:val="none"/>
        </w:rPr>
        <w:t xml:space="preserve"> </w:t>
      </w:r>
    </w:p>
    <w:p>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0479A2"/>
    <w:multiLevelType w:val="singleLevel"/>
    <w:tmpl w:val="DC0479A2"/>
    <w:lvl w:ilvl="0" w:tentative="0">
      <w:start w:val="1"/>
      <w:numFmt w:val="decimal"/>
      <w:suff w:val="nothing"/>
      <w:lvlText w:val="（%1）"/>
      <w:lvlJc w:val="left"/>
    </w:lvl>
  </w:abstractNum>
  <w:abstractNum w:abstractNumId="1">
    <w:nsid w:val="EC121FA4"/>
    <w:multiLevelType w:val="multilevel"/>
    <w:tmpl w:val="EC121FA4"/>
    <w:lvl w:ilvl="0" w:tentative="0">
      <w:start w:val="1"/>
      <w:numFmt w:val="chineseCounting"/>
      <w:suff w:val="nothing"/>
      <w:lvlText w:val="%1、"/>
      <w:lvlJc w:val="left"/>
      <w:pPr>
        <w:tabs>
          <w:tab w:val="left" w:pos="0"/>
        </w:tabs>
        <w:ind w:left="0" w:firstLine="0"/>
      </w:pPr>
      <w:rPr>
        <w:rFonts w:hint="eastAsia"/>
      </w:rPr>
    </w:lvl>
    <w:lvl w:ilvl="1" w:tentative="0">
      <w:start w:val="1"/>
      <w:numFmt w:val="none"/>
      <w:suff w:val="nothing"/>
      <w:lvlText w:val="1."/>
      <w:lvlJc w:val="left"/>
      <w:pPr>
        <w:ind w:left="0" w:firstLine="0"/>
      </w:pPr>
      <w:rPr>
        <w:rFonts w:hint="eastAsia" w:ascii="宋体" w:hAnsi="宋体" w:eastAsia="宋体" w:cs="Times New Roman"/>
      </w:rPr>
    </w:lvl>
    <w:lvl w:ilvl="2" w:tentative="0">
      <w:start w:val="1"/>
      <w:numFmt w:val="none"/>
      <w:pStyle w:val="4"/>
      <w:suff w:val="nothing"/>
      <w:lvlText w:val="1.1"/>
      <w:lvlJc w:val="left"/>
      <w:pPr>
        <w:ind w:left="0" w:firstLine="400"/>
      </w:pPr>
      <w:rPr>
        <w:rFonts w:hint="eastAsia" w:ascii="宋体" w:hAnsi="宋体" w:eastAsia="宋体" w:cs="Times New Roman"/>
      </w:rPr>
    </w:lvl>
    <w:lvl w:ilvl="3" w:tentative="0">
      <w:start w:val="1"/>
      <w:numFmt w:val="decimal"/>
      <w:pStyle w:val="5"/>
      <w:suff w:val="nothing"/>
      <w:lvlText w:val="（%4）"/>
      <w:lvlJc w:val="left"/>
      <w:pPr>
        <w:ind w:left="-402" w:firstLine="402"/>
      </w:pPr>
      <w:rPr>
        <w:rFonts w:hint="eastAsia"/>
      </w:rPr>
    </w:lvl>
    <w:lvl w:ilvl="4" w:tentative="0">
      <w:start w:val="1"/>
      <w:numFmt w:val="decimalEnclosedCircleChinese"/>
      <w:pStyle w:val="6"/>
      <w:suff w:val="nothing"/>
      <w:lvlText w:val="%5"/>
      <w:lvlJc w:val="left"/>
      <w:pPr>
        <w:ind w:left="0" w:firstLine="402"/>
      </w:pPr>
      <w:rPr>
        <w:rFonts w:hint="eastAsia"/>
      </w:rPr>
    </w:lvl>
    <w:lvl w:ilvl="5" w:tentative="0">
      <w:start w:val="1"/>
      <w:numFmt w:val="decimal"/>
      <w:pStyle w:val="7"/>
      <w:suff w:val="nothing"/>
      <w:lvlText w:val="%6）"/>
      <w:lvlJc w:val="left"/>
      <w:pPr>
        <w:ind w:left="0" w:firstLine="402"/>
      </w:pPr>
      <w:rPr>
        <w:rFonts w:hint="eastAsia"/>
      </w:rPr>
    </w:lvl>
    <w:lvl w:ilvl="6" w:tentative="0">
      <w:start w:val="1"/>
      <w:numFmt w:val="lowerLetter"/>
      <w:pStyle w:val="8"/>
      <w:suff w:val="nothing"/>
      <w:lvlText w:val="%7．"/>
      <w:lvlJc w:val="left"/>
      <w:pPr>
        <w:ind w:left="0" w:firstLine="402"/>
      </w:pPr>
      <w:rPr>
        <w:rFonts w:hint="eastAsia"/>
      </w:rPr>
    </w:lvl>
    <w:lvl w:ilvl="7" w:tentative="0">
      <w:start w:val="1"/>
      <w:numFmt w:val="lowerLetter"/>
      <w:pStyle w:val="9"/>
      <w:suff w:val="nothing"/>
      <w:lvlText w:val="%8）"/>
      <w:lvlJc w:val="left"/>
      <w:pPr>
        <w:ind w:left="0" w:firstLine="402"/>
      </w:pPr>
      <w:rPr>
        <w:rFonts w:hint="eastAsia"/>
      </w:rPr>
    </w:lvl>
    <w:lvl w:ilvl="8" w:tentative="0">
      <w:start w:val="1"/>
      <w:numFmt w:val="lowerRoman"/>
      <w:pStyle w:val="10"/>
      <w:suff w:val="nothing"/>
      <w:lvlText w:val="%9 "/>
      <w:lvlJc w:val="left"/>
      <w:pPr>
        <w:ind w:left="0" w:firstLine="402"/>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revisionView w:markup="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20131E"/>
    <w:rsid w:val="02426A07"/>
    <w:rsid w:val="02704B18"/>
    <w:rsid w:val="033735A0"/>
    <w:rsid w:val="03DB70CC"/>
    <w:rsid w:val="08D65447"/>
    <w:rsid w:val="0A383D70"/>
    <w:rsid w:val="0B926DE9"/>
    <w:rsid w:val="0CF7786B"/>
    <w:rsid w:val="0D47563A"/>
    <w:rsid w:val="0E8119EB"/>
    <w:rsid w:val="0E9C4C32"/>
    <w:rsid w:val="0F11496D"/>
    <w:rsid w:val="0FE80FC7"/>
    <w:rsid w:val="13970ECC"/>
    <w:rsid w:val="13E01FD6"/>
    <w:rsid w:val="14172A0E"/>
    <w:rsid w:val="148F2742"/>
    <w:rsid w:val="165A0F43"/>
    <w:rsid w:val="16C35007"/>
    <w:rsid w:val="17CD2C05"/>
    <w:rsid w:val="181E5B80"/>
    <w:rsid w:val="18561D4E"/>
    <w:rsid w:val="1D0172B0"/>
    <w:rsid w:val="1F006E1E"/>
    <w:rsid w:val="1FDE0ECE"/>
    <w:rsid w:val="20CF31E8"/>
    <w:rsid w:val="24776564"/>
    <w:rsid w:val="27A85CCA"/>
    <w:rsid w:val="2980310C"/>
    <w:rsid w:val="2A854B80"/>
    <w:rsid w:val="2B8215B9"/>
    <w:rsid w:val="2B9405DB"/>
    <w:rsid w:val="2C465315"/>
    <w:rsid w:val="2CEE3785"/>
    <w:rsid w:val="2DCF7CBB"/>
    <w:rsid w:val="2DDC776E"/>
    <w:rsid w:val="2F6C3BE9"/>
    <w:rsid w:val="304E64D5"/>
    <w:rsid w:val="312F6FD0"/>
    <w:rsid w:val="318A4343"/>
    <w:rsid w:val="319A0FBB"/>
    <w:rsid w:val="3252711D"/>
    <w:rsid w:val="32C2253B"/>
    <w:rsid w:val="32E50CBE"/>
    <w:rsid w:val="33B0144F"/>
    <w:rsid w:val="35110B7D"/>
    <w:rsid w:val="3603425D"/>
    <w:rsid w:val="36B2387C"/>
    <w:rsid w:val="37AB357A"/>
    <w:rsid w:val="3A6F74D3"/>
    <w:rsid w:val="3F84144C"/>
    <w:rsid w:val="40F84DF9"/>
    <w:rsid w:val="42086AFA"/>
    <w:rsid w:val="426C4C00"/>
    <w:rsid w:val="42E16303"/>
    <w:rsid w:val="44663A75"/>
    <w:rsid w:val="451B6927"/>
    <w:rsid w:val="46230E33"/>
    <w:rsid w:val="46384A1D"/>
    <w:rsid w:val="48212D85"/>
    <w:rsid w:val="4BD326DA"/>
    <w:rsid w:val="4BE056EB"/>
    <w:rsid w:val="4C572761"/>
    <w:rsid w:val="4D0E3CCC"/>
    <w:rsid w:val="4D1A4A03"/>
    <w:rsid w:val="4DF13257"/>
    <w:rsid w:val="4E6E4883"/>
    <w:rsid w:val="4F4F395C"/>
    <w:rsid w:val="4FEF1294"/>
    <w:rsid w:val="51373C5C"/>
    <w:rsid w:val="518B669B"/>
    <w:rsid w:val="533965E6"/>
    <w:rsid w:val="53FE4407"/>
    <w:rsid w:val="575D4706"/>
    <w:rsid w:val="57C04051"/>
    <w:rsid w:val="57DF53E5"/>
    <w:rsid w:val="582F399C"/>
    <w:rsid w:val="5B155D64"/>
    <w:rsid w:val="5CE225B7"/>
    <w:rsid w:val="5D303663"/>
    <w:rsid w:val="5DD659DB"/>
    <w:rsid w:val="5E2E6C61"/>
    <w:rsid w:val="5E6A413B"/>
    <w:rsid w:val="5F1940B9"/>
    <w:rsid w:val="5F430DC1"/>
    <w:rsid w:val="5F4478D5"/>
    <w:rsid w:val="5F591EEB"/>
    <w:rsid w:val="602D3AD5"/>
    <w:rsid w:val="60937425"/>
    <w:rsid w:val="64797CC4"/>
    <w:rsid w:val="6565168D"/>
    <w:rsid w:val="66366266"/>
    <w:rsid w:val="69AD6246"/>
    <w:rsid w:val="69E10CB0"/>
    <w:rsid w:val="6E511E5A"/>
    <w:rsid w:val="6F2F3736"/>
    <w:rsid w:val="706C0880"/>
    <w:rsid w:val="70DF5567"/>
    <w:rsid w:val="7104493E"/>
    <w:rsid w:val="719C2C94"/>
    <w:rsid w:val="763A5B08"/>
    <w:rsid w:val="789A5E64"/>
    <w:rsid w:val="78EA6D7D"/>
    <w:rsid w:val="79184D3C"/>
    <w:rsid w:val="79971974"/>
    <w:rsid w:val="7AA5508E"/>
    <w:rsid w:val="7AAC5505"/>
    <w:rsid w:val="7B237743"/>
    <w:rsid w:val="7D026A47"/>
    <w:rsid w:val="7D083434"/>
    <w:rsid w:val="7D9469B0"/>
    <w:rsid w:val="7DA33D2B"/>
    <w:rsid w:val="7ED34B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7"/>
    <w:qFormat/>
    <w:uiPriority w:val="0"/>
    <w:pPr>
      <w:keepNext/>
      <w:keepLines/>
      <w:spacing w:beforeLines="0" w:beforeAutospacing="0" w:afterLines="0" w:afterAutospacing="0" w:line="360" w:lineRule="auto"/>
      <w:jc w:val="left"/>
      <w:outlineLvl w:val="0"/>
    </w:pPr>
    <w:rPr>
      <w:rFonts w:ascii="Arial" w:hAnsi="Arial" w:eastAsia="宋体" w:cs="Arial"/>
      <w:b/>
      <w:snapToGrid w:val="0"/>
      <w:color w:val="000000"/>
      <w:kern w:val="44"/>
      <w:sz w:val="32"/>
      <w:szCs w:val="21"/>
      <w:lang w:eastAsia="en-US"/>
      <w14:ligatures w14:val="standardContextual"/>
    </w:rPr>
  </w:style>
  <w:style w:type="paragraph" w:styleId="3">
    <w:name w:val="heading 2"/>
    <w:basedOn w:val="1"/>
    <w:next w:val="1"/>
    <w:link w:val="18"/>
    <w:semiHidden/>
    <w:unhideWhenUsed/>
    <w:qFormat/>
    <w:uiPriority w:val="0"/>
    <w:pPr>
      <w:keepNext/>
      <w:keepLines/>
      <w:spacing w:line="360" w:lineRule="auto"/>
      <w:jc w:val="left"/>
      <w:outlineLvl w:val="1"/>
    </w:pPr>
    <w:rPr>
      <w:rFonts w:ascii="Arial" w:hAnsi="Arial" w:cs="Arial"/>
      <w:b/>
      <w:bCs/>
      <w:snapToGrid w:val="0"/>
      <w:color w:val="000000"/>
      <w:kern w:val="0"/>
      <w:sz w:val="30"/>
      <w:szCs w:val="32"/>
      <w:lang w:eastAsia="en-US"/>
    </w:rPr>
  </w:style>
  <w:style w:type="paragraph" w:styleId="4">
    <w:name w:val="heading 3"/>
    <w:basedOn w:val="1"/>
    <w:next w:val="1"/>
    <w:link w:val="19"/>
    <w:semiHidden/>
    <w:unhideWhenUsed/>
    <w:qFormat/>
    <w:uiPriority w:val="0"/>
    <w:pPr>
      <w:keepNext/>
      <w:keepLines/>
      <w:numPr>
        <w:ilvl w:val="2"/>
        <w:numId w:val="1"/>
      </w:numPr>
      <w:spacing w:line="360" w:lineRule="auto"/>
      <w:ind w:firstLine="400" w:firstLineChars="0"/>
      <w:outlineLvl w:val="2"/>
    </w:pPr>
    <w:rPr>
      <w:rFonts w:eastAsia="宋体" w:asciiTheme="minorAscii" w:hAnsiTheme="minorAscii" w:cstheme="minorBidi"/>
      <w:b/>
      <w:snapToGrid w:val="0"/>
      <w:color w:val="000000"/>
      <w:kern w:val="0"/>
      <w:sz w:val="28"/>
      <w:szCs w:val="24"/>
      <w:lang w:eastAsia="en-US"/>
      <w14:ligatures w14:val="standardContextual"/>
    </w:rPr>
  </w:style>
  <w:style w:type="paragraph" w:styleId="5">
    <w:name w:val="heading 4"/>
    <w:basedOn w:val="1"/>
    <w:next w:val="1"/>
    <w:semiHidden/>
    <w:unhideWhenUsed/>
    <w:qFormat/>
    <w:uiPriority w:val="0"/>
    <w:pPr>
      <w:keepNext/>
      <w:keepLines/>
      <w:numPr>
        <w:ilvl w:val="3"/>
        <w:numId w:val="1"/>
      </w:numPr>
      <w:spacing w:before="280" w:beforeLines="0" w:beforeAutospacing="0" w:after="290" w:afterLines="0" w:afterAutospacing="0" w:line="372" w:lineRule="auto"/>
      <w:ind w:firstLine="402" w:firstLineChars="0"/>
      <w:outlineLvl w:val="3"/>
    </w:pPr>
    <w:rPr>
      <w:rFonts w:ascii="Arial" w:hAnsi="Arial" w:eastAsia="黑体" w:cs="Times New Roman"/>
      <w:b/>
      <w:sz w:val="28"/>
      <w:szCs w:val="22"/>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firstLine="402" w:firstLineChars="0"/>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firstLine="402" w:firstLineChars="0"/>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firstLine="402" w:firstLineChars="0"/>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firstLine="402" w:firstLineChars="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firstLine="402" w:firstLineChars="0"/>
      <w:outlineLvl w:val="8"/>
    </w:pPr>
    <w:rPr>
      <w:rFonts w:ascii="Arial" w:hAnsi="Arial" w:eastAsia="黑体"/>
      <w:sz w:val="21"/>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11">
    <w:name w:val="Body Text"/>
    <w:basedOn w:val="1"/>
    <w:qFormat/>
    <w:uiPriority w:val="0"/>
    <w:pPr>
      <w:spacing w:after="120" w:afterLines="0" w:afterAutospacing="0"/>
    </w:pPr>
  </w:style>
  <w:style w:type="paragraph" w:styleId="12">
    <w:name w:val="header"/>
    <w:qFormat/>
    <w:uiPriority w:val="0"/>
    <w:pPr>
      <w:widowControl w:val="0"/>
      <w:pBdr>
        <w:bottom w:val="single" w:color="auto" w:sz="6" w:space="1"/>
      </w:pBdr>
      <w:tabs>
        <w:tab w:val="center" w:pos="4153"/>
        <w:tab w:val="right" w:pos="8306"/>
      </w:tabs>
      <w:snapToGrid w:val="0"/>
      <w:jc w:val="center"/>
    </w:pPr>
    <w:rPr>
      <w:rFonts w:ascii="Times New Roman" w:hAnsi="Times New Roman" w:eastAsia="宋体" w:cs="Times New Roman"/>
      <w:kern w:val="2"/>
      <w:sz w:val="18"/>
      <w:szCs w:val="18"/>
      <w:lang w:val="en-US" w:eastAsia="zh-CN" w:bidi="ar-SA"/>
    </w:rPr>
  </w:style>
  <w:style w:type="paragraph" w:styleId="13">
    <w:name w:val="toc 1"/>
    <w:basedOn w:val="1"/>
    <w:next w:val="1"/>
    <w:qFormat/>
    <w:uiPriority w:val="0"/>
  </w:style>
  <w:style w:type="character" w:styleId="16">
    <w:name w:val="Strong"/>
    <w:basedOn w:val="15"/>
    <w:qFormat/>
    <w:uiPriority w:val="0"/>
    <w:rPr>
      <w:b/>
    </w:rPr>
  </w:style>
  <w:style w:type="character" w:customStyle="1" w:styleId="17">
    <w:name w:val="标题 1 Char"/>
    <w:link w:val="2"/>
    <w:qFormat/>
    <w:uiPriority w:val="9"/>
    <w:rPr>
      <w:rFonts w:ascii="Arial" w:hAnsi="Arial" w:eastAsia="宋体" w:cs="Arial"/>
      <w:b/>
      <w:snapToGrid w:val="0"/>
      <w:color w:val="000000"/>
      <w:kern w:val="44"/>
      <w:sz w:val="32"/>
      <w:szCs w:val="21"/>
      <w:lang w:eastAsia="en-US"/>
      <w14:ligatures w14:val="standardContextual"/>
    </w:rPr>
  </w:style>
  <w:style w:type="character" w:customStyle="1" w:styleId="18">
    <w:name w:val="标题 2 Char"/>
    <w:link w:val="3"/>
    <w:qFormat/>
    <w:uiPriority w:val="0"/>
    <w:rPr>
      <w:rFonts w:ascii="Arial" w:hAnsi="Arial" w:eastAsia="宋体" w:cs="Arial"/>
      <w:snapToGrid w:val="0"/>
      <w:color w:val="000000"/>
      <w:kern w:val="0"/>
      <w:sz w:val="30"/>
      <w:szCs w:val="24"/>
      <w:lang w:eastAsia="en-US"/>
      <w14:ligatures w14:val="standardContextual"/>
    </w:rPr>
  </w:style>
  <w:style w:type="character" w:customStyle="1" w:styleId="19">
    <w:name w:val="标题 3 Char"/>
    <w:link w:val="4"/>
    <w:qFormat/>
    <w:uiPriority w:val="0"/>
    <w:rPr>
      <w:rFonts w:eastAsia="宋体" w:asciiTheme="minorAscii" w:hAnsiTheme="minorAscii" w:cstheme="minorBidi"/>
      <w:b/>
      <w:snapToGrid w:val="0"/>
      <w:color w:val="000000"/>
      <w:kern w:val="0"/>
      <w:sz w:val="28"/>
      <w:szCs w:val="24"/>
      <w:lang w:eastAsia="en-US"/>
      <w14:ligatures w14:val="standardContextual"/>
    </w:rPr>
  </w:style>
  <w:style w:type="paragraph" w:customStyle="1" w:styleId="20">
    <w:name w:val="无间隔1"/>
    <w:next w:val="1"/>
    <w:qFormat/>
    <w:uiPriority w:val="1"/>
    <w:pPr>
      <w:widowControl w:val="0"/>
    </w:pPr>
    <w:rPr>
      <w:rFonts w:ascii="Calibri" w:hAnsi="Calibri" w:eastAsia="宋体" w:cs="Times New Roman"/>
      <w:kern w:val="2"/>
      <w:sz w:val="21"/>
      <w:szCs w:val="22"/>
      <w:lang w:val="en-US" w:eastAsia="zh-CN" w:bidi="ar-SA"/>
    </w:rPr>
  </w:style>
  <w:style w:type="paragraph" w:customStyle="1" w:styleId="2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7349</Words>
  <Characters>7596</Characters>
  <Lines>0</Lines>
  <Paragraphs>0</Paragraphs>
  <TotalTime>24</TotalTime>
  <ScaleCrop>false</ScaleCrop>
  <LinksUpToDate>false</LinksUpToDate>
  <CharactersWithSpaces>8054</CharactersWithSpaces>
  <Application>WPS Office_11.8.6.10973_F1E327BC-269C-435d-A152-05C5408002CA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2024-11-05T00:30:00Z</dcterms:created>
  <dc:creator>Administrator</dc:creator>
  <cp:lastModifiedBy>捌玖</cp:lastModifiedBy>
  <dcterms:modified xsi:type="dcterms:W3CDTF">2026-06-30T10:00:00Z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2052-11.8.6.10973</vt:lpwstr>
  </property>
  <property fmtid="{D5CDD505-2E9C-101B-9397-08002B2CF9AE}" pid="3" name="ICV">
    <vt:lpwstr>92DB5464AA12459ABA926924ED0909E1</vt:lpwstr>
  </property>
  <property fmtid="{D5CDD505-2E9C-101B-9397-08002B2CF9AE}" pid="4" name="KSOTemplateDocerSaveRecord">
    <vt:lpwstr>eyJoZGlkIjoiMjQ1NmE2NjQ3YzczMDcyMTZiY2EzMGQ0ZDJhOTM1YjQiLCJ1c2VySWQiOiI0NDY5Mzc0NzUifQ==</vt:lpwstr>
  </property>
</Properties>
</file>