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版本号：BYTC2025CG02220260630001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汉台区七里田家庙幼儿园提升改造项目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BYTC2025CG022</w:t>
      </w:r>
      <w:r>
        <w:br/>
      </w:r>
      <w:r>
        <w:br/>
      </w:r>
      <w:r>
        <w:br/>
      </w:r>
    </w:p>
    <w:p>
      <w:pPr>
        <w:pStyle w:val="null3"/>
        <w:jc w:val="center"/>
        <w:outlineLvl w:val="2"/>
      </w:pPr>
      <w:r>
        <w:rPr>
          <w:rFonts w:ascii="仿宋_GB2312" w:hAnsi="仿宋_GB2312" w:cs="仿宋_GB2312" w:eastAsia="仿宋_GB2312"/>
          <w:sz w:val="28"/>
          <w:b/>
        </w:rPr>
        <w:t>汉台区七里街道办事处中心小学</w:t>
      </w:r>
    </w:p>
    <w:p>
      <w:pPr>
        <w:pStyle w:val="null3"/>
        <w:jc w:val="center"/>
        <w:outlineLvl w:val="2"/>
      </w:pPr>
      <w:r>
        <w:rPr>
          <w:rFonts w:ascii="仿宋_GB2312" w:hAnsi="仿宋_GB2312" w:cs="仿宋_GB2312" w:eastAsia="仿宋_GB2312"/>
          <w:sz w:val="28"/>
          <w:b/>
        </w:rPr>
        <w:t>陕西博宇天诚项目管理有限公司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陕西博宇天诚项目管理有限公司</w:t>
      </w:r>
      <w:r>
        <w:rPr>
          <w:rFonts w:ascii="仿宋_GB2312" w:hAnsi="仿宋_GB2312" w:cs="仿宋_GB2312" w:eastAsia="仿宋_GB2312"/>
        </w:rPr>
        <w:t>（以下简称“代理机构”）受</w:t>
      </w:r>
      <w:r>
        <w:rPr>
          <w:rFonts w:ascii="仿宋_GB2312" w:hAnsi="仿宋_GB2312" w:cs="仿宋_GB2312" w:eastAsia="仿宋_GB2312"/>
        </w:rPr>
        <w:t>汉台区七里街道办事处中心小学</w:t>
      </w:r>
      <w:r>
        <w:rPr>
          <w:rFonts w:ascii="仿宋_GB2312" w:hAnsi="仿宋_GB2312" w:cs="仿宋_GB2312" w:eastAsia="仿宋_GB2312"/>
        </w:rPr>
        <w:t>委托，拟对</w:t>
      </w:r>
      <w:r>
        <w:rPr>
          <w:rFonts w:ascii="仿宋_GB2312" w:hAnsi="仿宋_GB2312" w:cs="仿宋_GB2312" w:eastAsia="仿宋_GB2312"/>
        </w:rPr>
        <w:t>汉台区七里田家庙幼儿园提升改造项目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BYTC2025CG022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汉台区七里田家庙幼儿园提升改造项目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汉台区田家庙幼儿园院内。主要建设内容有：食堂铲除原墙面乳胶漆后新贴墙砖，地面新贴地砖，拆除食堂原旧门并更换钢制防盗门，新建耐力板风雨走廊，操场部分花坛拆除后新做混凝土路面，部分绿化场地平整后新做混凝土路面并铺设人工草皮，拆除原水池后新建砖砌戏水池一座，综合楼外墙铲除原真石漆面层后新做真石漆墙面，围墙铲除原乳胶漆面层后新做乳胶漆墙面，拆除操场原部分草皮后新做PVC悬浮地板，新增成品玩具设备，新做背景墙及文化墙，拆除并更换部分防腐木玩具，拆除并更换沙池马赛克瓷砖，拆除并更换沙池防腐木围边，大门口新建排水沟及砖砌雨水口，拆除并更换储物柜，拆除并新做水磨石洗手台，拆除的建筑垃圾外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采购包1（汉台区田家庙幼儿园提升改造项目）：属于专门面向中小企业采购。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单位负责人授权书及被授权人身份证：供应商应授权合法的人员参加投标，其中法定代表人直接参加的，须出具法定代表人证明书，并与营业执照上信息一致；被授权代表参加的，须出具法定代表人授权书及被授权人身份证；（非法人单位的负责人均参照执行）；</w:t>
      </w:r>
    </w:p>
    <w:p>
      <w:pPr>
        <w:pStyle w:val="null3"/>
      </w:pPr>
      <w:r>
        <w:rPr>
          <w:rFonts w:ascii="仿宋_GB2312" w:hAnsi="仿宋_GB2312" w:cs="仿宋_GB2312" w:eastAsia="仿宋_GB2312"/>
        </w:rPr>
        <w:t>3、供应商资格承诺函：提供“汉中市政府采购供应商资格承诺函”；</w:t>
      </w:r>
    </w:p>
    <w:p>
      <w:pPr>
        <w:pStyle w:val="null3"/>
      </w:pPr>
      <w:r>
        <w:rPr>
          <w:rFonts w:ascii="仿宋_GB2312" w:hAnsi="仿宋_GB2312" w:cs="仿宋_GB2312" w:eastAsia="仿宋_GB2312"/>
        </w:rPr>
        <w:t>4、供应商资质要求：供应商具备建设行政主管部门颁发的建筑工程施工总承包三级（含三级）及以上资质等级或建筑装修装饰工程专业承包二级以上（含二级）资质；并取得有效期内的安全生产许可证；</w:t>
      </w:r>
    </w:p>
    <w:p>
      <w:pPr>
        <w:pStyle w:val="null3"/>
      </w:pPr>
      <w:r>
        <w:rPr>
          <w:rFonts w:ascii="仿宋_GB2312" w:hAnsi="仿宋_GB2312" w:cs="仿宋_GB2312" w:eastAsia="仿宋_GB2312"/>
        </w:rPr>
        <w:t>5、拟派项目负责人资格要求：供应商拟派项目经理（项目负责人）具备建设行政主管部门核发的建筑工程专业二级及以上注册建造师资格，具备有效的建安B类考核合格证书并提供无在建工程承诺函（无在建工程承诺函自拟格式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汉台区七里街道办事处中心小学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汉台区七里街道办事处季丰村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0916- 2658519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陕西博宇天诚项目管理有限公司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陕西省汉中市汉台区陕西省汉中市汉台区汉中路街道办事处荔枝路智诚雅居2楼1号写字间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0916-2697988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开户名称：陕西博宇天诚项目管理有限公司</w:t>
            </w:r>
          </w:p>
          <w:p>
            <w:pPr>
              <w:pStyle w:val="null3"/>
            </w:pPr>
            <w:r>
              <w:rPr>
                <w:rFonts w:ascii="仿宋_GB2312" w:hAnsi="仿宋_GB2312" w:cs="仿宋_GB2312" w:eastAsia="仿宋_GB2312"/>
              </w:rPr>
              <w:t>开户银行：长安银行股份有限公司汉中兴元路支行</w:t>
            </w:r>
          </w:p>
          <w:p>
            <w:pPr>
              <w:pStyle w:val="null3"/>
            </w:pPr>
            <w:r>
              <w:rPr>
                <w:rFonts w:ascii="仿宋_GB2312" w:hAnsi="仿宋_GB2312" w:cs="仿宋_GB2312" w:eastAsia="仿宋_GB2312"/>
              </w:rPr>
              <w:t>银行账号：806060601429999888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代理服务费收费标准：本项目招标代理服务费按中标金额的百分之一计取，由 委托采购方（采购人） 向招标代理机构支付。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汉台区七里街道办事处中心小学</w:t>
      </w:r>
      <w:r>
        <w:rPr>
          <w:rFonts w:ascii="仿宋_GB2312" w:hAnsi="仿宋_GB2312" w:cs="仿宋_GB2312" w:eastAsia="仿宋_GB2312"/>
        </w:rPr>
        <w:t>和</w:t>
      </w:r>
      <w:r>
        <w:rPr>
          <w:rFonts w:ascii="仿宋_GB2312" w:hAnsi="仿宋_GB2312" w:cs="仿宋_GB2312" w:eastAsia="仿宋_GB2312"/>
        </w:rPr>
        <w:t>陕西博宇天诚项目管理有限公司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汉台区七里街道办事处中心小学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陕西博宇天诚项目管理有限公司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汉台区七里街道办事处中心小学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陕西博宇天诚项目管理有限公司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投标单位要充分考虑知识产权问题，应保证采购单位免除且承担由于投标单位在其本 国使用该项目所需的材料和设计或其任何一部分时而引起第三方提出的侵犯专利权、商标权或工业设计权的起诉、行动、行政 程序索赔、请求等，以及采购单位为此而产生的损失和损害、费用和支出（包括律师费）。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满足国家及行业相关规定，满足采购人实际使用要求。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联系电话：0916-2697988</w:t>
      </w:r>
    </w:p>
    <w:p>
      <w:pPr>
        <w:pStyle w:val="null3"/>
      </w:pPr>
      <w:r>
        <w:rPr>
          <w:rFonts w:ascii="仿宋_GB2312" w:hAnsi="仿宋_GB2312" w:cs="仿宋_GB2312" w:eastAsia="仿宋_GB2312"/>
        </w:rPr>
        <w:t>地址：陕西省汉中市汉台区荔枝路祥瑞四季印象南侧(房产大厦斜对面)智城雅居二楼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391,186.74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田家庙幼儿园提升改造项目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400,000.00</w:t>
            </w:r>
          </w:p>
        </w:tc>
        <w:tc>
          <w:tcPr>
            <w:tcW w:type="dxa" w:w="1384"/>
          </w:tcPr>
          <w:p>
            <w:pPr>
              <w:pStyle w:val="null3"/>
            </w:pPr>
            <w:r>
              <w:rPr>
                <w:rFonts w:ascii="仿宋_GB2312" w:hAnsi="仿宋_GB2312" w:cs="仿宋_GB2312" w:eastAsia="仿宋_GB2312"/>
              </w:rPr>
              <w:t>1项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标的名称：田家庙幼儿园提升改造项目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pPr>
            <w:r>
              <w:rPr>
                <w:rFonts w:ascii="仿宋_GB2312" w:hAnsi="仿宋_GB2312" w:cs="仿宋_GB2312" w:eastAsia="仿宋_GB2312"/>
                <w:sz w:val="18"/>
              </w:rPr>
              <w:t>一、工程概况</w:t>
            </w:r>
          </w:p>
          <w:p>
            <w:pPr>
              <w:pStyle w:val="null3"/>
              <w:ind w:firstLine="640"/>
            </w:pPr>
            <w:r>
              <w:rPr>
                <w:rFonts w:ascii="仿宋_GB2312" w:hAnsi="仿宋_GB2312" w:cs="仿宋_GB2312" w:eastAsia="仿宋_GB2312"/>
                <w:sz w:val="18"/>
              </w:rPr>
              <w:t>本项目位于汉台区田家庙幼儿园院内。主要建设内容有：食堂铲除原墙面乳胶漆后新贴墙砖，地面新贴地砖，拆除食堂原旧门并更换钢制防盗门，新建耐力板风雨走廊，操场部分花坛拆除后新做混凝土路面，部分绿化场地平整后新做混凝土路面并铺设人工草皮，拆除原水池后新建砖砌戏水池一座，综合楼外墙铲除原真石漆面层后新做真石漆墙面，围墙铲除原乳胶漆面层后新做乳胶漆墙面，拆除操场原部分草皮后新做PVC悬浮地板，新增成品玩具设备，新做背景墙及文化墙，拆除并更换部分防腐木玩具，拆除并更换沙池马赛克瓷砖，拆除并更换沙池防腐木围边，大门口新建排水沟及砖砌雨水口，拆除并更换储物柜，拆除并新做水磨石洗手台，拆除的建筑垃圾外运等。</w:t>
            </w:r>
          </w:p>
          <w:p>
            <w:pPr>
              <w:pStyle w:val="null3"/>
              <w:ind w:firstLine="640"/>
            </w:pPr>
            <w:r>
              <w:rPr>
                <w:rFonts w:ascii="仿宋_GB2312" w:hAnsi="仿宋_GB2312" w:cs="仿宋_GB2312" w:eastAsia="仿宋_GB2312"/>
                <w:sz w:val="18"/>
              </w:rPr>
              <w:t>二、编制范围</w:t>
            </w:r>
          </w:p>
          <w:p>
            <w:pPr>
              <w:pStyle w:val="null3"/>
              <w:ind w:firstLine="640"/>
            </w:pPr>
            <w:r>
              <w:rPr>
                <w:rFonts w:ascii="仿宋_GB2312" w:hAnsi="仿宋_GB2312" w:cs="仿宋_GB2312" w:eastAsia="仿宋_GB2312"/>
                <w:sz w:val="18"/>
              </w:rPr>
              <w:t>汉台区田家庙幼儿园装饰工程（详见工程量清单）</w:t>
            </w:r>
          </w:p>
          <w:p>
            <w:pPr>
              <w:pStyle w:val="null3"/>
              <w:ind w:firstLine="640"/>
            </w:pPr>
            <w:r>
              <w:rPr>
                <w:rFonts w:ascii="仿宋_GB2312" w:hAnsi="仿宋_GB2312" w:cs="仿宋_GB2312" w:eastAsia="仿宋_GB2312"/>
                <w:sz w:val="18"/>
              </w:rPr>
              <w:t>三、编制依据</w:t>
            </w:r>
          </w:p>
          <w:p>
            <w:pPr>
              <w:pStyle w:val="null3"/>
              <w:ind w:firstLine="640"/>
            </w:pPr>
            <w:r>
              <w:rPr>
                <w:rFonts w:ascii="仿宋_GB2312" w:hAnsi="仿宋_GB2312" w:cs="仿宋_GB2312" w:eastAsia="仿宋_GB2312"/>
                <w:sz w:val="18"/>
              </w:rPr>
              <w:t>（一）《陕西省建设工程工程量清单计价计算标准(2025)》《陕西省市政工程基价表(2025)》及其他相关计价依据和办法。</w:t>
            </w:r>
          </w:p>
          <w:p>
            <w:pPr>
              <w:pStyle w:val="null3"/>
              <w:ind w:firstLine="640"/>
            </w:pPr>
            <w:r>
              <w:rPr>
                <w:rFonts w:ascii="仿宋_GB2312" w:hAnsi="仿宋_GB2312" w:cs="仿宋_GB2312" w:eastAsia="仿宋_GB2312"/>
                <w:sz w:val="18"/>
              </w:rPr>
              <w:t>（二）与本工程相关的标准、规范等技术资料；本工程适用的常规施工方案及与本工程有关的其他相关资料。</w:t>
            </w:r>
          </w:p>
          <w:p>
            <w:pPr>
              <w:pStyle w:val="null3"/>
              <w:ind w:firstLine="640"/>
            </w:pPr>
            <w:r>
              <w:rPr>
                <w:rFonts w:ascii="仿宋_GB2312" w:hAnsi="仿宋_GB2312" w:cs="仿宋_GB2312" w:eastAsia="仿宋_GB2312"/>
                <w:sz w:val="18"/>
              </w:rPr>
              <w:t>（三）汉中市建设工程造价管理办公室发布的2026年第4期《汉中建设工程造价信息》材料价格及当地现行市场价格。</w:t>
            </w:r>
          </w:p>
          <w:p>
            <w:pPr>
              <w:pStyle w:val="null3"/>
              <w:ind w:firstLine="640"/>
            </w:pPr>
            <w:r>
              <w:rPr>
                <w:rFonts w:ascii="仿宋_GB2312" w:hAnsi="仿宋_GB2312" w:cs="仿宋_GB2312" w:eastAsia="仿宋_GB2312"/>
                <w:sz w:val="18"/>
              </w:rPr>
              <w:t>四、最高投标限价：391,186.74元</w:t>
            </w:r>
          </w:p>
          <w:p>
            <w:pPr>
              <w:pStyle w:val="null3"/>
              <w:ind w:firstLine="640"/>
            </w:pPr>
            <w:r>
              <w:rPr>
                <w:rFonts w:ascii="仿宋_GB2312" w:hAnsi="仿宋_GB2312" w:cs="仿宋_GB2312" w:eastAsia="仿宋_GB2312"/>
                <w:sz w:val="18"/>
                <w:color w:val="000000"/>
              </w:rPr>
              <w:t>其中：分部分项工程费：</w:t>
            </w:r>
            <w:r>
              <w:rPr>
                <w:rFonts w:ascii="仿宋_GB2312" w:hAnsi="仿宋_GB2312" w:cs="仿宋_GB2312" w:eastAsia="仿宋_GB2312"/>
                <w:sz w:val="18"/>
                <w:color w:val="000000"/>
              </w:rPr>
              <w:t>331,831.4</w:t>
            </w:r>
            <w:r>
              <w:rPr>
                <w:rFonts w:ascii="仿宋_GB2312" w:hAnsi="仿宋_GB2312" w:cs="仿宋_GB2312" w:eastAsia="仿宋_GB2312"/>
                <w:sz w:val="18"/>
                <w:color w:val="000000"/>
              </w:rPr>
              <w:t>元</w:t>
            </w:r>
          </w:p>
          <w:p>
            <w:pPr>
              <w:pStyle w:val="null3"/>
            </w:pPr>
            <w:r>
              <w:rPr>
                <w:rFonts w:ascii="仿宋_GB2312" w:hAnsi="仿宋_GB2312" w:cs="仿宋_GB2312" w:eastAsia="仿宋_GB2312"/>
                <w:sz w:val="18"/>
                <w:color w:val="000000"/>
              </w:rPr>
              <w:t xml:space="preserve">          措施项目费：</w:t>
            </w:r>
            <w:r>
              <w:rPr>
                <w:rFonts w:ascii="仿宋_GB2312" w:hAnsi="仿宋_GB2312" w:cs="仿宋_GB2312" w:eastAsia="仿宋_GB2312"/>
                <w:sz w:val="18"/>
                <w:color w:val="000000"/>
              </w:rPr>
              <w:t>27,055.52</w:t>
            </w:r>
            <w:r>
              <w:rPr>
                <w:rFonts w:ascii="仿宋_GB2312" w:hAnsi="仿宋_GB2312" w:cs="仿宋_GB2312" w:eastAsia="仿宋_GB2312"/>
                <w:sz w:val="18"/>
                <w:color w:val="000000"/>
              </w:rPr>
              <w:t>元</w:t>
            </w:r>
          </w:p>
          <w:p>
            <w:pPr>
              <w:pStyle w:val="null3"/>
            </w:pPr>
            <w:r>
              <w:rPr>
                <w:rFonts w:ascii="仿宋_GB2312" w:hAnsi="仿宋_GB2312" w:cs="仿宋_GB2312" w:eastAsia="仿宋_GB2312"/>
                <w:sz w:val="18"/>
                <w:color w:val="000000"/>
              </w:rPr>
              <w:t xml:space="preserve">          其他项目费：</w:t>
            </w:r>
            <w:r>
              <w:rPr>
                <w:rFonts w:ascii="仿宋_GB2312" w:hAnsi="仿宋_GB2312" w:cs="仿宋_GB2312" w:eastAsia="仿宋_GB2312"/>
                <w:sz w:val="18"/>
                <w:color w:val="000000"/>
              </w:rPr>
              <w:t>0.00</w:t>
            </w:r>
            <w:r>
              <w:rPr>
                <w:rFonts w:ascii="仿宋_GB2312" w:hAnsi="仿宋_GB2312" w:cs="仿宋_GB2312" w:eastAsia="仿宋_GB2312"/>
                <w:sz w:val="18"/>
                <w:color w:val="000000"/>
              </w:rPr>
              <w:t>元</w:t>
            </w:r>
          </w:p>
          <w:p>
            <w:pPr>
              <w:pStyle w:val="null3"/>
              <w:ind w:firstLine="1600"/>
            </w:pPr>
            <w:r>
              <w:rPr>
                <w:rFonts w:ascii="仿宋_GB2312" w:hAnsi="仿宋_GB2312" w:cs="仿宋_GB2312" w:eastAsia="仿宋_GB2312"/>
                <w:sz w:val="18"/>
                <w:color w:val="000000"/>
              </w:rPr>
              <w:t>增值税</w:t>
            </w:r>
            <w:r>
              <w:rPr>
                <w:rFonts w:ascii="仿宋_GB2312" w:hAnsi="仿宋_GB2312" w:cs="仿宋_GB2312" w:eastAsia="仿宋_GB2312"/>
                <w:sz w:val="18"/>
                <w:color w:val="000000"/>
              </w:rPr>
              <w:t>：</w:t>
            </w:r>
            <w:r>
              <w:rPr>
                <w:rFonts w:ascii="仿宋_GB2312" w:hAnsi="仿宋_GB2312" w:cs="仿宋_GB2312" w:eastAsia="仿宋_GB2312"/>
                <w:sz w:val="18"/>
                <w:color w:val="000000"/>
              </w:rPr>
              <w:t>32,299.82</w:t>
            </w:r>
            <w:r>
              <w:rPr>
                <w:rFonts w:ascii="仿宋_GB2312" w:hAnsi="仿宋_GB2312" w:cs="仿宋_GB2312" w:eastAsia="仿宋_GB2312"/>
                <w:sz w:val="18"/>
                <w:color w:val="000000"/>
              </w:rPr>
              <w:t>元</w:t>
            </w:r>
          </w:p>
          <w:p>
            <w:pPr>
              <w:pStyle w:val="null3"/>
              <w:ind w:firstLine="640"/>
            </w:pPr>
            <w:r>
              <w:rPr>
                <w:rFonts w:ascii="仿宋_GB2312" w:hAnsi="仿宋_GB2312" w:cs="仿宋_GB2312" w:eastAsia="仿宋_GB2312"/>
                <w:sz w:val="18"/>
              </w:rPr>
              <w:t>五、工期与质量等级要求</w:t>
            </w:r>
          </w:p>
          <w:p>
            <w:pPr>
              <w:pStyle w:val="null3"/>
              <w:ind w:firstLine="640"/>
            </w:pPr>
            <w:r>
              <w:rPr>
                <w:rFonts w:ascii="仿宋_GB2312" w:hAnsi="仿宋_GB2312" w:cs="仿宋_GB2312" w:eastAsia="仿宋_GB2312"/>
                <w:sz w:val="18"/>
              </w:rPr>
              <w:t>工期：30天                    质量等级：合格</w:t>
            </w:r>
          </w:p>
          <w:p>
            <w:pPr>
              <w:pStyle w:val="null3"/>
              <w:ind w:firstLine="640"/>
            </w:pPr>
            <w:r>
              <w:rPr>
                <w:rFonts w:ascii="仿宋_GB2312" w:hAnsi="仿宋_GB2312" w:cs="仿宋_GB2312" w:eastAsia="仿宋_GB2312"/>
                <w:sz w:val="18"/>
              </w:rPr>
              <w:t>六、本工程量清单采用广联达GCCP7.0(7.5000.23.3)计价软件。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工程质量满足国家及行业相关规定，售后质保满足《建设工程质量管理条例》等国家及行业相关规定。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工期：自签订合同之日起30天，质保期：按《建设工程质量管理条例》等国家及行业相关规定执行。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须自行承担项目实施过程中产生的所有风险责任，包括但不限于：人员安全、财产安全、设备安全等全部责任。2、供应商在项目实施过程中须对园区原有设备、地面、墙面进行保护。3、因施工需要对未施工区域进行损坏的，施工完成之后须对损坏部位进行修复。4、本项目专门面向中小企业采购。5、本项目不接受联合体投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证明书，并与营业执照上信息一致；被授权代表参加的，须出具法定代表人授权书及被授权人身份证；（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供应商具备建设行政主管部门颁发的建筑工程施工总承包三级（含三级）及以上资质等级或建筑装修装饰工程专业承包二级以上（含二级）资质；并取得有效期内的安全生产许可证；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供应商拟派项目经理（项目负责人）具备建设行政主管部门核发的建筑工程专业二级及以上注册建造师资格，具备有效的建安B类考核合格证书并提供无在建工程承诺函（无在建工程承诺函自拟格式承诺）；</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审查施工内容、投标报价、质保期等是否满足</w:t>
            </w:r>
          </w:p>
        </w:tc>
        <w:tc>
          <w:tcPr>
            <w:tcW w:type="dxa" w:w="3322"/>
          </w:tcPr>
          <w:p>
            <w:pPr>
              <w:pStyle w:val="null3"/>
            </w:pPr>
            <w:r>
              <w:rPr>
                <w:rFonts w:ascii="仿宋_GB2312" w:hAnsi="仿宋_GB2312" w:cs="仿宋_GB2312" w:eastAsia="仿宋_GB2312"/>
              </w:rPr>
              <w:t>审查投标文件中施工内容、投标报价、质保期等是否满足采购文件要求。</w:t>
            </w:r>
          </w:p>
        </w:tc>
        <w:tc>
          <w:tcPr>
            <w:tcW w:type="dxa" w:w="1661"/>
          </w:tcPr>
          <w:p>
            <w:pPr>
              <w:pStyle w:val="null3"/>
            </w:pPr>
            <w:r>
              <w:rPr>
                <w:rFonts w:ascii="仿宋_GB2312" w:hAnsi="仿宋_GB2312" w:cs="仿宋_GB2312" w:eastAsia="仿宋_GB2312"/>
              </w:rPr>
              <w:t>响应文件封面 已标价工程量清单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审查投标文件签署及盖章是否满足要求</w:t>
            </w:r>
          </w:p>
        </w:tc>
        <w:tc>
          <w:tcPr>
            <w:tcW w:type="dxa" w:w="3322"/>
          </w:tcPr>
          <w:p>
            <w:pPr>
              <w:pStyle w:val="null3"/>
            </w:pPr>
            <w:r>
              <w:rPr>
                <w:rFonts w:ascii="仿宋_GB2312" w:hAnsi="仿宋_GB2312" w:cs="仿宋_GB2312" w:eastAsia="仿宋_GB2312"/>
              </w:rPr>
              <w:t>审查投标文件签署及盖章是否符合招标文件要求；</w:t>
            </w:r>
          </w:p>
        </w:tc>
        <w:tc>
          <w:tcPr>
            <w:tcW w:type="dxa" w:w="1661"/>
          </w:tcPr>
          <w:p>
            <w:pPr>
              <w:pStyle w:val="null3"/>
            </w:pPr>
            <w:r>
              <w:rPr>
                <w:rFonts w:ascii="仿宋_GB2312" w:hAnsi="仿宋_GB2312" w:cs="仿宋_GB2312" w:eastAsia="仿宋_GB2312"/>
              </w:rPr>
              <w:t>响应文件封面 已标价工程量清单 供应商应提交的相关资格证明材料.docx 残疾人福利性单位声明函 中小企业声明函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投标人针对本项目编制完善的施工方案，内容包含但不限于：①具体施工内容、施工次序，②施工方法，③现场施工问题处理。 二、赋分标准： （1）完整性：方案内容完整全面，对上述各项内容均有描述及说明，得3.0分；缺1项，得2.0分；缺2项，得1.0分；缺3项，得0分； （2）针对性：针对性强，得4.0分；针对性一般，得2.0分；缺乏针对性，得1.0分；未按要求进行响应的，得0分； （3）可实施性：可实施性强，得3.0分；可实施性一般，得2.0分；缺乏可实施性，得1.0分。未按要求进行响应的，得0分； 二、评审标准： 1、针对性： （1）针对性强：方案能够完全切合本项目实际情况。（2）针对性一般：方案中多数内容能够切合本项目实际情况，但存在至少一处不适用本项目实际的内容。（3）缺乏针对性：方案描述不符合本项目实际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详细评审1-施工方案.docx</w:t>
            </w:r>
          </w:p>
        </w:tc>
      </w:tr>
      <w:tr>
        <w:tc>
          <w:tcPr>
            <w:tcW w:type="dxa" w:w="831"/>
            <w:vMerge/>
          </w:tcPr>
          <w:p/>
        </w:tc>
        <w:tc>
          <w:tcPr>
            <w:tcW w:type="dxa" w:w="1661"/>
          </w:tcPr>
          <w:p>
            <w:pPr>
              <w:pStyle w:val="null3"/>
            </w:pPr>
            <w:r>
              <w:rPr>
                <w:rFonts w:ascii="仿宋_GB2312" w:hAnsi="仿宋_GB2312" w:cs="仿宋_GB2312" w:eastAsia="仿宋_GB2312"/>
              </w:rPr>
              <w:t>工程质量的保障措施</w:t>
            </w:r>
          </w:p>
        </w:tc>
        <w:tc>
          <w:tcPr>
            <w:tcW w:type="dxa" w:w="2492"/>
          </w:tcPr>
          <w:p>
            <w:pPr>
              <w:pStyle w:val="null3"/>
            </w:pPr>
            <w:r>
              <w:rPr>
                <w:rFonts w:ascii="仿宋_GB2312" w:hAnsi="仿宋_GB2312" w:cs="仿宋_GB2312" w:eastAsia="仿宋_GB2312"/>
              </w:rPr>
              <w:t>一、评审内容： 投标人针对本项目编制完善的工程质量技术组织措施，内容包含但不限于：①质量目标管理体系，②施工质量的检验制度，③确保质量的技术组织措施。 二、赋分标准： （1）完整性：方案内容完整全面，对上述各项内容均有描述及说明，得3.0分；缺1项，得2.0分；缺2项，得1分；缺3项，得0分； （2）针对性：针对性强，得4.0分；针对性一般，得2.0分；缺乏针对性，得1.0分。未按要求进行响应的，得0分； （3）可实施性：可实施性强，得3.0分；可实施性一般，得2.0分；缺乏可实施性，得1.0分。未按要求进行响应的，得0分； 二、评审标准： 1、针对性： （1）针对性强：方案能够完全切合本项目实际情况。（2）针对性一般：方案中多数内容能够切合本项目实际情况，但存在至少一处不适用本项目实际的内容。（3）缺乏针对性：方案描述不符合本项目实际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详细评审2-工程质量的保证措施.docx</w:t>
            </w:r>
          </w:p>
        </w:tc>
      </w:tr>
      <w:tr>
        <w:tc>
          <w:tcPr>
            <w:tcW w:type="dxa" w:w="831"/>
            <w:vMerge/>
          </w:tcPr>
          <w:p/>
        </w:tc>
        <w:tc>
          <w:tcPr>
            <w:tcW w:type="dxa" w:w="1661"/>
          </w:tcPr>
          <w:p>
            <w:pPr>
              <w:pStyle w:val="null3"/>
            </w:pPr>
            <w:r>
              <w:rPr>
                <w:rFonts w:ascii="仿宋_GB2312" w:hAnsi="仿宋_GB2312" w:cs="仿宋_GB2312" w:eastAsia="仿宋_GB2312"/>
              </w:rPr>
              <w:t>工程进度的保障措施</w:t>
            </w:r>
          </w:p>
        </w:tc>
        <w:tc>
          <w:tcPr>
            <w:tcW w:type="dxa" w:w="2492"/>
          </w:tcPr>
          <w:p>
            <w:pPr>
              <w:pStyle w:val="null3"/>
            </w:pPr>
            <w:r>
              <w:rPr>
                <w:rFonts w:ascii="仿宋_GB2312" w:hAnsi="仿宋_GB2312" w:cs="仿宋_GB2312" w:eastAsia="仿宋_GB2312"/>
              </w:rPr>
              <w:t>一、评审内容： 投标人针对本项目编制完善的工程进度保障措施，内容包含但不限于：①工程进度保障措施方案，②劳动力安排计划，③施工进度网络图或施工进度表。 二、赋分标准： （1）完整性：方案内容完整全面，对上述各项内容均有描述及说明，得3.0分；缺1项，得2.0分；缺2项，得1分；缺3项，得0分； （2）针对性：针对性强，得4.0分；针对性一般，得2.0分；缺乏针对性，得1.0分。未按要求进行响应的，得0分； （3）可实施性：可实施性强，得3.0分；可实施性一般，得2.0分；缺乏可实施性，得1.0分。未按要求进行响应的，得0分； 二、评审标准： 1、针对性： （1）针对性强：方案能够完全切合本项目实际情况。（2）针对性一般：方案中多数内容能够切合本项目实际情况，但存在至少一处不适用本项目实际的内容。（3）缺乏针对性：方案描述不符合本项目实际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详细评审3-工程进度的保证措施.docx</w:t>
            </w:r>
          </w:p>
        </w:tc>
      </w:tr>
      <w:tr>
        <w:tc>
          <w:tcPr>
            <w:tcW w:type="dxa" w:w="831"/>
            <w:vMerge/>
          </w:tcPr>
          <w:p/>
        </w:tc>
        <w:tc>
          <w:tcPr>
            <w:tcW w:type="dxa" w:w="1661"/>
          </w:tcPr>
          <w:p>
            <w:pPr>
              <w:pStyle w:val="null3"/>
            </w:pPr>
            <w:r>
              <w:rPr>
                <w:rFonts w:ascii="仿宋_GB2312" w:hAnsi="仿宋_GB2312" w:cs="仿宋_GB2312" w:eastAsia="仿宋_GB2312"/>
              </w:rPr>
              <w:t>安全文明施工的保障措施</w:t>
            </w:r>
          </w:p>
        </w:tc>
        <w:tc>
          <w:tcPr>
            <w:tcW w:type="dxa" w:w="2492"/>
          </w:tcPr>
          <w:p>
            <w:pPr>
              <w:pStyle w:val="null3"/>
            </w:pPr>
            <w:r>
              <w:rPr>
                <w:rFonts w:ascii="仿宋_GB2312" w:hAnsi="仿宋_GB2312" w:cs="仿宋_GB2312" w:eastAsia="仿宋_GB2312"/>
              </w:rPr>
              <w:t>一、评审内容： 投标人针对本项目编制完善的安全文明施工保障措施，内容包含但不限于：①安全施工目标及施工现场的临时管理措施，②文明施工保障措施，③环保控制措施：污染物及废弃物处理的排放、噪音控制、防尘及扬尘的控制措施。 二、赋分标准： （1）完整性：方案内容完整全面，对上述各项内容均有描述及说明，得3.0分；缺1项，得2.0分；缺2项，得1分；缺3项，得0分； （2）针对性：针对性强，得4.0分；针对性一般，得2.0分；缺乏针对性，得1.0分。未按要求进行响应的，得0分； （3）可实施性：可实施性强，得3.0分；可实施性一般，得2.0分；缺乏可实施性，得1.0分。未按要求进行响应的，得0分； 二、评审标准： 1、针对性： （1）针对性强：方案能够完全切合本项目实际情况。（2）针对性一般：方案中多数内容能够切合本项目实际情况，但存在至少一处不适用本项目实际的内容。（3）缺乏针对性：方案描述不符合本项目实际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详细评审4-安全文明施工的保障措施.docx</w:t>
            </w:r>
          </w:p>
        </w:tc>
      </w:tr>
      <w:tr>
        <w:tc>
          <w:tcPr>
            <w:tcW w:type="dxa" w:w="831"/>
            <w:vMerge/>
          </w:tcPr>
          <w:p/>
        </w:tc>
        <w:tc>
          <w:tcPr>
            <w:tcW w:type="dxa" w:w="1661"/>
          </w:tcPr>
          <w:p>
            <w:pPr>
              <w:pStyle w:val="null3"/>
            </w:pPr>
            <w:r>
              <w:rPr>
                <w:rFonts w:ascii="仿宋_GB2312" w:hAnsi="仿宋_GB2312" w:cs="仿宋_GB2312" w:eastAsia="仿宋_GB2312"/>
              </w:rPr>
              <w:t>施工材料投入计划和机械设备配备计划</w:t>
            </w:r>
          </w:p>
        </w:tc>
        <w:tc>
          <w:tcPr>
            <w:tcW w:type="dxa" w:w="2492"/>
          </w:tcPr>
          <w:p>
            <w:pPr>
              <w:pStyle w:val="null3"/>
            </w:pPr>
            <w:r>
              <w:rPr>
                <w:rFonts w:ascii="仿宋_GB2312" w:hAnsi="仿宋_GB2312" w:cs="仿宋_GB2312" w:eastAsia="仿宋_GB2312"/>
              </w:rPr>
              <w:t>一、评审内容： 投标人详细说明本项目施工材料投入计划和机械设备配备计划，内容包含但不限于：①施工材料投入计划，②机械设备配备计划，③施工材料及机械设备管理方案； 二、赋分标准： （1）完整性：方案内容完整全面，对上述各项内容均有描述及说明，得3.0分；缺1项，得2.0分；缺2项，得1分；缺3项，得0分； （2）针对性：针对性强，得4.0分；针对性一般，得2.0分；缺乏针对性，得1.0分。未按要求进行响应的，得0分； （3）可实施性：可实施性强，得3.0分；可实施性一般，得2.0分；缺乏可实施性，得1.0分。未按要求进行响应的，得0分； 二、评审标准： 1、针对性： （1）针对性强：方案能够完全切合本项目实际情况。（2）针对性一般：方案中多数内容能够切合本项目实际情况，但存在至少一处不适用本项目实际的内容。（3）缺乏针对性：方案描述不符合本项目实际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详细评审5-施工材料投入计划和机械设备配备计划.docx</w:t>
            </w:r>
          </w:p>
        </w:tc>
      </w:tr>
      <w:tr>
        <w:tc>
          <w:tcPr>
            <w:tcW w:type="dxa" w:w="831"/>
            <w:vMerge/>
          </w:tcPr>
          <w:p/>
        </w:tc>
        <w:tc>
          <w:tcPr>
            <w:tcW w:type="dxa" w:w="1661"/>
          </w:tcPr>
          <w:p>
            <w:pPr>
              <w:pStyle w:val="null3"/>
            </w:pPr>
            <w:r>
              <w:rPr>
                <w:rFonts w:ascii="仿宋_GB2312" w:hAnsi="仿宋_GB2312" w:cs="仿宋_GB2312" w:eastAsia="仿宋_GB2312"/>
              </w:rPr>
              <w:t>项目组成员及组织机构</w:t>
            </w:r>
          </w:p>
        </w:tc>
        <w:tc>
          <w:tcPr>
            <w:tcW w:type="dxa" w:w="2492"/>
          </w:tcPr>
          <w:p>
            <w:pPr>
              <w:pStyle w:val="null3"/>
            </w:pPr>
            <w:r>
              <w:rPr>
                <w:rFonts w:ascii="仿宋_GB2312" w:hAnsi="仿宋_GB2312" w:cs="仿宋_GB2312" w:eastAsia="仿宋_GB2312"/>
              </w:rPr>
              <w:t>一、评审内容： 投标人详细说明本项目经理部组成情况，内容包含但不限于：①项目成员配置清单及架构，②项目组配备人员的专业素质、人员结构，③项目成员的主要职责及工作内容 二、赋分标准： （1）完整性：方案内容完整全面，对上述各项内容均有描述及说明，得3.0分；缺1项，得2.0分；缺2项，得1分；缺3项，得0分； （2）针对性：针对性强，得4.0分；针对性一般，得2.0分；缺乏针对性，得1.0分。未按要求进行响应的，得0分； （3）可实施性：可实施性强，得3.0分；可实施性一般，得2.0分；缺乏可实施性，得1.0分。未按要求进行响应的，得0分； 二、评审标准： 1、针对性： （1）针对性强：方案能够完全切合本项目实际情况。（2）针对性一般：方案中多数内容能够切合本项目实际情况，但存在至少一处不适用本项目实际的内容。（3）缺乏针对性：方案描述不符合本项目实际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详细评审6-项目组成员及组织机构.docx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投标人提供2023年1月1日以来完成过类似项目合同，每提供一份得2.0分，最高得4.0分； 注：投标文件中提供合同复印件并加盖单位公章。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详细评审7-业绩.docx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投标人针对本项目采购需求及履约要求，自拟格式内容出具服务承诺，承诺内容至少需包含： ①售后服务承诺：供应商需承诺在工程质保期内的保修内容与范围、维修时间等。 ②应急措施承诺：供应商需承诺在项目实施过程中可能出现的天气、环境、防火、防盗等情况下应急管理措施承诺； ③管理承诺：供应商需承诺严格按照采购人工作管理制度及保密工作相关要求进行施工作业。 投标人服务承诺内容满足要求得6.0 分；每缺1项，以6.0分为基础扣2.0分，扣完为止。 注：投标文件中自拟格式内容提供承诺（承诺内容需满足评分标准要求）并加盖单位公章。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详细评审8-服务承诺.docx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详见附件：详细评审1-施工方案.docx</w:t>
      </w:r>
    </w:p>
    <w:p>
      <w:pPr>
        <w:pStyle w:val="null3"/>
        <w:ind w:firstLine="960"/>
      </w:pPr>
      <w:r>
        <w:rPr>
          <w:rFonts w:ascii="仿宋_GB2312" w:hAnsi="仿宋_GB2312" w:cs="仿宋_GB2312" w:eastAsia="仿宋_GB2312"/>
        </w:rPr>
        <w:t>详见附件：详细评审2-工程质量的保证措施.docx</w:t>
      </w:r>
    </w:p>
    <w:p>
      <w:pPr>
        <w:pStyle w:val="null3"/>
        <w:ind w:firstLine="960"/>
      </w:pPr>
      <w:r>
        <w:rPr>
          <w:rFonts w:ascii="仿宋_GB2312" w:hAnsi="仿宋_GB2312" w:cs="仿宋_GB2312" w:eastAsia="仿宋_GB2312"/>
        </w:rPr>
        <w:t>详见附件：详细评审3-工程进度的保证措施.docx</w:t>
      </w:r>
    </w:p>
    <w:p>
      <w:pPr>
        <w:pStyle w:val="null3"/>
        <w:ind w:firstLine="960"/>
      </w:pPr>
      <w:r>
        <w:rPr>
          <w:rFonts w:ascii="仿宋_GB2312" w:hAnsi="仿宋_GB2312" w:cs="仿宋_GB2312" w:eastAsia="仿宋_GB2312"/>
        </w:rPr>
        <w:t>详见附件：详细评审4-安全文明施工的保障措施.docx</w:t>
      </w:r>
    </w:p>
    <w:p>
      <w:pPr>
        <w:pStyle w:val="null3"/>
        <w:ind w:firstLine="960"/>
      </w:pPr>
      <w:r>
        <w:rPr>
          <w:rFonts w:ascii="仿宋_GB2312" w:hAnsi="仿宋_GB2312" w:cs="仿宋_GB2312" w:eastAsia="仿宋_GB2312"/>
        </w:rPr>
        <w:t>详见附件：详细评审5-施工材料投入计划和机械设备配备计划.docx</w:t>
      </w:r>
    </w:p>
    <w:p>
      <w:pPr>
        <w:pStyle w:val="null3"/>
        <w:ind w:firstLine="960"/>
      </w:pPr>
      <w:r>
        <w:rPr>
          <w:rFonts w:ascii="仿宋_GB2312" w:hAnsi="仿宋_GB2312" w:cs="仿宋_GB2312" w:eastAsia="仿宋_GB2312"/>
        </w:rPr>
        <w:t>详见附件：详细评审6-项目组成员及组织机构.docx</w:t>
      </w:r>
    </w:p>
    <w:p>
      <w:pPr>
        <w:pStyle w:val="null3"/>
        <w:ind w:firstLine="960"/>
      </w:pPr>
      <w:r>
        <w:rPr>
          <w:rFonts w:ascii="仿宋_GB2312" w:hAnsi="仿宋_GB2312" w:cs="仿宋_GB2312" w:eastAsia="仿宋_GB2312"/>
        </w:rPr>
        <w:t>详见附件：详细评审7-业绩.docx</w:t>
      </w:r>
    </w:p>
    <w:p>
      <w:pPr>
        <w:pStyle w:val="null3"/>
        <w:ind w:firstLine="960"/>
      </w:pPr>
      <w:r>
        <w:rPr>
          <w:rFonts w:ascii="仿宋_GB2312" w:hAnsi="仿宋_GB2312" w:cs="仿宋_GB2312" w:eastAsia="仿宋_GB2312"/>
        </w:rPr>
        <w:t>详见附件：详细评审8-服务承诺.docx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