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版本号：ZCTH2026-06-05720260710002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体育学院健身实训室及操舞教室采购项目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ZCTH2026-06-057</w:t>
      </w:r>
      <w:r>
        <w:br/>
      </w:r>
      <w:r>
        <w:br/>
      </w:r>
      <w:r>
        <w:br/>
      </w:r>
    </w:p>
    <w:p>
      <w:pPr>
        <w:pStyle w:val="null3"/>
        <w:jc w:val="center"/>
        <w:outlineLvl w:val="2"/>
      </w:pPr>
      <w:r>
        <w:rPr>
          <w:rFonts w:ascii="仿宋_GB2312" w:hAnsi="仿宋_GB2312" w:cs="仿宋_GB2312" w:eastAsia="仿宋_GB2312"/>
          <w:sz w:val="28"/>
          <w:b/>
        </w:rPr>
        <w:t>西安文理学院（本级）</w:t>
      </w:r>
    </w:p>
    <w:p>
      <w:pPr>
        <w:pStyle w:val="null3"/>
        <w:jc w:val="center"/>
        <w:outlineLvl w:val="2"/>
      </w:pPr>
      <w:r>
        <w:rPr>
          <w:rFonts w:ascii="仿宋_GB2312" w:hAnsi="仿宋_GB2312" w:cs="仿宋_GB2312" w:eastAsia="仿宋_GB2312"/>
          <w:sz w:val="28"/>
          <w:b/>
        </w:rPr>
        <w:t>陕西中诚天和项目管理有限公司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陕西中诚天和项目管理有限公司</w:t>
      </w:r>
      <w:r>
        <w:rPr>
          <w:rFonts w:ascii="仿宋_GB2312" w:hAnsi="仿宋_GB2312" w:cs="仿宋_GB2312" w:eastAsia="仿宋_GB2312"/>
        </w:rPr>
        <w:t>（以下简称“代理机构”）受</w:t>
      </w:r>
      <w:r>
        <w:rPr>
          <w:rFonts w:ascii="仿宋_GB2312" w:hAnsi="仿宋_GB2312" w:cs="仿宋_GB2312" w:eastAsia="仿宋_GB2312"/>
        </w:rPr>
        <w:t>西安文理学院（本级）</w:t>
      </w:r>
      <w:r>
        <w:rPr>
          <w:rFonts w:ascii="仿宋_GB2312" w:hAnsi="仿宋_GB2312" w:cs="仿宋_GB2312" w:eastAsia="仿宋_GB2312"/>
        </w:rPr>
        <w:t>委托，拟对</w:t>
      </w:r>
      <w:r>
        <w:rPr>
          <w:rFonts w:ascii="仿宋_GB2312" w:hAnsi="仿宋_GB2312" w:cs="仿宋_GB2312" w:eastAsia="仿宋_GB2312"/>
        </w:rPr>
        <w:t>体育学院健身实训室及操舞教室采购项目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ZCTH2026-06-057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体育学院健身实训室及操舞教室采购项目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西安文理学院体育学院健身实训室及操舞教室采购项目，具体内容详见采购文件。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采购包1（西安文理学院体育学院健身实训室及操舞教室采购项目）：属于专门面向中小企业采购。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1、法定代表人身份证明/法定代表人授权书：法定代表人直接参加谈判的，须出具法定代表人身份证明及法人身份证；法定代表人授权代表参加谈判的，须出具法定代表人授权书及法人和授权代表身份证</w:t>
      </w:r>
    </w:p>
    <w:p>
      <w:pPr>
        <w:pStyle w:val="null3"/>
      </w:pPr>
      <w:r>
        <w:rPr>
          <w:rFonts w:ascii="仿宋_GB2312" w:hAnsi="仿宋_GB2312" w:cs="仿宋_GB2312" w:eastAsia="仿宋_GB2312"/>
        </w:rPr>
        <w:t>2、符合《财政部关于在政府采购活动中查询及使用信用记录有关问题的通知》（财库【2016】125号）文件中信用查询的要求：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西安文理学院（本级）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西安市雁塔区科技六路1号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029-88258528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陕西中诚天和项目管理有限公司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陕西省西安市高新区锦业一路52号宝德云谷国际-B座14层1406-6室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柏维娜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029-81882499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采购包1：438,300.00元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应依据成交金额向采购代理机构交纳成交服务费，交费金额参照国家计委颁布的《招标代理服务收费管理暂行办法》（计价格[2002]1980号）及发改办价格[2003]857号文件的规定标准执行。本项目代理服务费按货物计取。 招标代理服务费账户 户名：陕西中诚天和项目管理有限公司 开户行：中国建设银行股份有限公司西安高新自贸区支行 账号：61050110066700001164 代理费计算不足陆仟元按陆仟元收取。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西安文理学院（本级）</w:t>
      </w:r>
      <w:r>
        <w:rPr>
          <w:rFonts w:ascii="仿宋_GB2312" w:hAnsi="仿宋_GB2312" w:cs="仿宋_GB2312" w:eastAsia="仿宋_GB2312"/>
        </w:rPr>
        <w:t>和</w:t>
      </w:r>
      <w:r>
        <w:rPr>
          <w:rFonts w:ascii="仿宋_GB2312" w:hAnsi="仿宋_GB2312" w:cs="仿宋_GB2312" w:eastAsia="仿宋_GB2312"/>
        </w:rPr>
        <w:t>陕西中诚天和项目管理有限公司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西安文理学院（本级）</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陕西中诚天和项目管理有限公司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西安文理学院（本级）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陕西中诚天和项目管理有限公司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以有利于采购人的原则实施。</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按照相关规定执行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联系人：冯妮</w:t>
      </w:r>
    </w:p>
    <w:p>
      <w:pPr>
        <w:pStyle w:val="null3"/>
      </w:pPr>
      <w:r>
        <w:rPr>
          <w:rFonts w:ascii="仿宋_GB2312" w:hAnsi="仿宋_GB2312" w:cs="仿宋_GB2312" w:eastAsia="仿宋_GB2312"/>
        </w:rPr>
        <w:t>联系电话：029-81882499</w:t>
      </w:r>
    </w:p>
    <w:p>
      <w:pPr>
        <w:pStyle w:val="null3"/>
      </w:pPr>
      <w:r>
        <w:rPr>
          <w:rFonts w:ascii="仿宋_GB2312" w:hAnsi="仿宋_GB2312" w:cs="仿宋_GB2312" w:eastAsia="仿宋_GB2312"/>
        </w:rPr>
        <w:t>地址：西安市高新区锦业一路52号宝德云谷国际-B座14层1406-6室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 西安文理学院体育学院运动促进健康项目，具体内容详见采购文件。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438,300.00</w:t>
      </w:r>
    </w:p>
    <w:p>
      <w:pPr>
        <w:pStyle w:val="null3"/>
      </w:pPr>
      <w:r>
        <w:rPr>
          <w:rFonts w:ascii="仿宋_GB2312" w:hAnsi="仿宋_GB2312" w:cs="仿宋_GB2312" w:eastAsia="仿宋_GB2312"/>
        </w:rPr>
        <w:t>采购包最高限价（元）: 438,300.00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西安文理学院体育学院健身实训室及操舞教室采购项目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438,300.00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标的名称：西安文理学院体育学院健身实训室及操舞教室采购项目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90"/>
              <w:gridCol w:w="241"/>
              <w:gridCol w:w="1819"/>
              <w:gridCol w:w="134"/>
              <w:gridCol w:w="158"/>
            </w:tblGrid>
            <w:tr>
              <w:tc>
                <w:tcPr>
                  <w:tcW w:type="dxa" w:w="1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序号</w:t>
                  </w:r>
                </w:p>
              </w:tc>
              <w:tc>
                <w:tcPr>
                  <w:tcW w:type="dxa" w:w="2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名称</w:t>
                  </w:r>
                </w:p>
              </w:tc>
              <w:tc>
                <w:tcPr>
                  <w:tcW w:type="dxa" w:w="18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技术参数要求</w:t>
                  </w:r>
                </w:p>
              </w:tc>
              <w:tc>
                <w:tcPr>
                  <w:tcW w:type="dxa" w:w="1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单位</w:t>
                  </w:r>
                </w:p>
              </w:tc>
              <w:tc>
                <w:tcPr>
                  <w:tcW w:type="dxa" w:w="1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数量</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触摸屏商用电动跑步机（核心产品）</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屏幕采用不小于</w:t>
                  </w:r>
                  <w:r>
                    <w:rPr>
                      <w:rFonts w:ascii="仿宋_GB2312" w:hAnsi="仿宋_GB2312" w:cs="仿宋_GB2312" w:eastAsia="仿宋_GB2312"/>
                      <w:sz w:val="21"/>
                      <w:color w:val="000000"/>
                    </w:rPr>
                    <w:t>23.8寸高清智能触摸屏；</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台</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具有</w:t>
                  </w:r>
                  <w:r>
                    <w:rPr>
                      <w:rFonts w:ascii="仿宋_GB2312" w:hAnsi="仿宋_GB2312" w:cs="仿宋_GB2312" w:eastAsia="仿宋_GB2312"/>
                      <w:sz w:val="21"/>
                      <w:color w:val="000000"/>
                    </w:rPr>
                    <w:t>USB充电功能；</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无人自动停机功能；</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睡眠模式待机后自动进入睡眠模式，节能减排；</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带有跑带自动纠偏系统；</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跑带采用不小于</w:t>
                  </w:r>
                  <w:r>
                    <w:rPr>
                      <w:rFonts w:ascii="仿宋_GB2312" w:hAnsi="仿宋_GB2312" w:cs="仿宋_GB2312" w:eastAsia="仿宋_GB2312"/>
                      <w:sz w:val="21"/>
                      <w:color w:val="000000"/>
                    </w:rPr>
                    <w:t>2.2mm厚度耐磨跑带；</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★跑步面积不小于550mm*1550mm；</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采用</w:t>
                  </w:r>
                  <w:r>
                    <w:rPr>
                      <w:rFonts w:ascii="仿宋_GB2312" w:hAnsi="仿宋_GB2312" w:cs="仿宋_GB2312" w:eastAsia="仿宋_GB2312"/>
                      <w:sz w:val="21"/>
                      <w:color w:val="000000"/>
                    </w:rPr>
                    <w:t>PU发泡扶手；</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硬件急停功能；</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★输入功率不小于3.3kw；   </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★直选键功能范围速度范围不小于0.8~18KM/H，坡度范围不小于0~16%；</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跑板采用不小于</w:t>
                  </w:r>
                  <w:r>
                    <w:rPr>
                      <w:rFonts w:ascii="仿宋_GB2312" w:hAnsi="仿宋_GB2312" w:cs="仿宋_GB2312" w:eastAsia="仿宋_GB2312"/>
                      <w:sz w:val="21"/>
                      <w:color w:val="000000"/>
                    </w:rPr>
                    <w:t>18mm厚度跑板；</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滚筒尺寸不小于</w:t>
                  </w:r>
                  <w:r>
                    <w:rPr>
                      <w:rFonts w:ascii="仿宋_GB2312" w:hAnsi="仿宋_GB2312" w:cs="仿宋_GB2312" w:eastAsia="仿宋_GB2312"/>
                      <w:sz w:val="21"/>
                      <w:color w:val="000000"/>
                    </w:rPr>
                    <w:t>70mm；</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器材净重不小于</w:t>
                  </w:r>
                  <w:r>
                    <w:rPr>
                      <w:rFonts w:ascii="仿宋_GB2312" w:hAnsi="仿宋_GB2312" w:cs="仿宋_GB2312" w:eastAsia="仿宋_GB2312"/>
                      <w:sz w:val="21"/>
                      <w:color w:val="000000"/>
                    </w:rPr>
                    <w:t>190KG；</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★最大限重不小于180KG。</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提供具有</w:t>
                  </w:r>
                  <w:r>
                    <w:rPr>
                      <w:rFonts w:ascii="仿宋_GB2312" w:hAnsi="仿宋_GB2312" w:cs="仿宋_GB2312" w:eastAsia="仿宋_GB2312"/>
                      <w:sz w:val="21"/>
                      <w:color w:val="000000"/>
                    </w:rPr>
                    <w:t>CMA或CNAS标识的检测报告；</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提供漆板附着力</w:t>
                  </w:r>
                  <w:r>
                    <w:rPr>
                      <w:rFonts w:ascii="仿宋_GB2312" w:hAnsi="仿宋_GB2312" w:cs="仿宋_GB2312" w:eastAsia="仿宋_GB2312"/>
                      <w:sz w:val="21"/>
                      <w:color w:val="000000"/>
                    </w:rPr>
                    <w:t>0级检测报告，检测报告需带有</w:t>
                  </w:r>
                  <w:r>
                    <w:rPr>
                      <w:rFonts w:ascii="仿宋_GB2312" w:hAnsi="仿宋_GB2312" w:cs="仿宋_GB2312" w:eastAsia="仿宋_GB2312"/>
                      <w:sz w:val="21"/>
                    </w:rPr>
                    <w:t>CNAS标识</w:t>
                  </w:r>
                  <w:r>
                    <w:rPr>
                      <w:rFonts w:ascii="仿宋_GB2312" w:hAnsi="仿宋_GB2312" w:cs="仿宋_GB2312" w:eastAsia="仿宋_GB2312"/>
                      <w:sz w:val="21"/>
                      <w:color w:val="000000"/>
                    </w:rPr>
                    <w:t>；</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提供主框架</w:t>
                  </w:r>
                  <w:r>
                    <w:rPr>
                      <w:rFonts w:ascii="仿宋_GB2312" w:hAnsi="仿宋_GB2312" w:cs="仿宋_GB2312" w:eastAsia="仿宋_GB2312"/>
                      <w:sz w:val="21"/>
                      <w:color w:val="000000"/>
                    </w:rPr>
                    <w:t>500小时盐雾试验检测报告，检测报告需带有CMA和CNAS标识；</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加</w:t>
                  </w:r>
                  <w:r>
                    <w:rPr>
                      <w:rFonts w:ascii="仿宋_GB2312" w:hAnsi="仿宋_GB2312" w:cs="仿宋_GB2312" w:eastAsia="仿宋_GB2312"/>
                      <w:sz w:val="21"/>
                    </w:rPr>
                    <w:t>★项需提供第三方出具的佐证材料原件或复印件并加盖原厂公章</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商用椭圆机</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★精度等级须达到</w:t>
                  </w:r>
                  <w:r>
                    <w:rPr>
                      <w:rFonts w:ascii="仿宋_GB2312" w:hAnsi="仿宋_GB2312" w:cs="仿宋_GB2312" w:eastAsia="仿宋_GB2312"/>
                      <w:sz w:val="21"/>
                    </w:rPr>
                    <w:t>B级</w:t>
                  </w:r>
                  <w:r>
                    <w:rPr>
                      <w:rFonts w:ascii="仿宋_GB2312" w:hAnsi="仿宋_GB2312" w:cs="仿宋_GB2312" w:eastAsia="仿宋_GB2312"/>
                      <w:sz w:val="21"/>
                      <w:color w:val="000000"/>
                    </w:rPr>
                    <w:t>；</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台</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屏幕采用</w:t>
                  </w:r>
                  <w:r>
                    <w:rPr>
                      <w:rFonts w:ascii="仿宋_GB2312" w:hAnsi="仿宋_GB2312" w:cs="仿宋_GB2312" w:eastAsia="仿宋_GB2312"/>
                      <w:sz w:val="21"/>
                      <w:color w:val="000000"/>
                    </w:rPr>
                    <w:t>LED数码显示屏；</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须配有蓝色灯带；</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免维护故障自检系统；</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输入电源电压不小于</w:t>
                  </w:r>
                  <w:r>
                    <w:rPr>
                      <w:rFonts w:ascii="仿宋_GB2312" w:hAnsi="仿宋_GB2312" w:cs="仿宋_GB2312" w:eastAsia="仿宋_GB2312"/>
                      <w:sz w:val="21"/>
                      <w:color w:val="000000"/>
                    </w:rPr>
                    <w:t>220V±15%（50/60Hz）</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仪表功能不少于</w:t>
                  </w:r>
                  <w:r>
                    <w:rPr>
                      <w:rFonts w:ascii="仿宋_GB2312" w:hAnsi="仿宋_GB2312" w:cs="仿宋_GB2312" w:eastAsia="仿宋_GB2312"/>
                      <w:sz w:val="21"/>
                      <w:color w:val="000000"/>
                    </w:rPr>
                    <w:t>3个手动程序、6个预设程序（登山、燃脂、心肺、力量、间歇）、3个用户程序；</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把立管规格不小于</w:t>
                  </w:r>
                  <w:r>
                    <w:rPr>
                      <w:rFonts w:ascii="仿宋_GB2312" w:hAnsi="仿宋_GB2312" w:cs="仿宋_GB2312" w:eastAsia="仿宋_GB2312"/>
                      <w:sz w:val="21"/>
                      <w:color w:val="000000"/>
                    </w:rPr>
                    <w:t>φ32mm*864*3mm ；</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★不小于15KG飞轮；</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阻力系统不小于</w:t>
                  </w:r>
                  <w:r>
                    <w:rPr>
                      <w:rFonts w:ascii="仿宋_GB2312" w:hAnsi="仿宋_GB2312" w:cs="仿宋_GB2312" w:eastAsia="仿宋_GB2312"/>
                      <w:sz w:val="21"/>
                      <w:color w:val="000000"/>
                    </w:rPr>
                    <w:t>1-40级；</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★功率不小于500W；</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净重不小于</w:t>
                  </w:r>
                  <w:r>
                    <w:rPr>
                      <w:rFonts w:ascii="仿宋_GB2312" w:hAnsi="仿宋_GB2312" w:cs="仿宋_GB2312" w:eastAsia="仿宋_GB2312"/>
                      <w:sz w:val="21"/>
                      <w:color w:val="000000"/>
                    </w:rPr>
                    <w:t>200kg；</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★最大载重不小于200kg。</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提供具有</w:t>
                  </w:r>
                  <w:r>
                    <w:rPr>
                      <w:rFonts w:ascii="仿宋_GB2312" w:hAnsi="仿宋_GB2312" w:cs="仿宋_GB2312" w:eastAsia="仿宋_GB2312"/>
                      <w:sz w:val="21"/>
                      <w:color w:val="000000"/>
                    </w:rPr>
                    <w:t>CMA或CNAS标识的检测报告；</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提供漆板附着力</w:t>
                  </w:r>
                  <w:r>
                    <w:rPr>
                      <w:rFonts w:ascii="仿宋_GB2312" w:hAnsi="仿宋_GB2312" w:cs="仿宋_GB2312" w:eastAsia="仿宋_GB2312"/>
                      <w:sz w:val="21"/>
                      <w:color w:val="000000"/>
                    </w:rPr>
                    <w:t>0级检测报告，检测报告需带有CMA和CNAS标识；</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提供主框架</w:t>
                  </w:r>
                  <w:r>
                    <w:rPr>
                      <w:rFonts w:ascii="仿宋_GB2312" w:hAnsi="仿宋_GB2312" w:cs="仿宋_GB2312" w:eastAsia="仿宋_GB2312"/>
                      <w:sz w:val="21"/>
                      <w:color w:val="000000"/>
                    </w:rPr>
                    <w:t>500小时盐雾试验检测报告，检测报告需带有CMA和CNAS标识；</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加</w:t>
                  </w:r>
                  <w:r>
                    <w:rPr>
                      <w:rFonts w:ascii="仿宋_GB2312" w:hAnsi="仿宋_GB2312" w:cs="仿宋_GB2312" w:eastAsia="仿宋_GB2312"/>
                      <w:sz w:val="21"/>
                    </w:rPr>
                    <w:t>★项需提供第三方出具的佐证材料原件或复印件并加盖原厂公章</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大腿内外侧训练器</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★主体框架管材不小于50mm*100mm*3mm钢管；</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台</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采用不小于</w:t>
                  </w:r>
                  <w:r>
                    <w:rPr>
                      <w:rFonts w:ascii="仿宋_GB2312" w:hAnsi="仿宋_GB2312" w:cs="仿宋_GB2312" w:eastAsia="仿宋_GB2312"/>
                      <w:sz w:val="21"/>
                      <w:color w:val="000000"/>
                    </w:rPr>
                    <w:t>φ4.8mm的钢索，；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采用不小于</w:t>
                  </w:r>
                  <w:r>
                    <w:rPr>
                      <w:rFonts w:ascii="仿宋_GB2312" w:hAnsi="仿宋_GB2312" w:cs="仿宋_GB2312" w:eastAsia="仿宋_GB2312"/>
                      <w:sz w:val="21"/>
                      <w:color w:val="000000"/>
                    </w:rPr>
                    <w:t xml:space="preserve">φ20mm的钢制导杆；                 </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器材须采用全包式护罩，前后护罩均采用封闭式半透明</w:t>
                  </w:r>
                  <w:r>
                    <w:rPr>
                      <w:rFonts w:ascii="仿宋_GB2312" w:hAnsi="仿宋_GB2312" w:cs="仿宋_GB2312" w:eastAsia="仿宋_GB2312"/>
                      <w:sz w:val="21"/>
                      <w:color w:val="000000"/>
                    </w:rPr>
                    <w:t>ABS注塑护罩；</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器材需具内、外侧大腿两种训练功能；</w:t>
                  </w:r>
                  <w:r>
                    <w:rPr>
                      <w:rFonts w:ascii="仿宋_GB2312" w:hAnsi="仿宋_GB2312" w:cs="仿宋_GB2312" w:eastAsia="仿宋_GB2312"/>
                      <w:sz w:val="21"/>
                      <w:color w:val="000000"/>
                    </w:rPr>
                    <w:t xml:space="preserve">   </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器材需具有横把手，方便使用者站立分腿时抓握；</w:t>
                  </w:r>
                  <w:r>
                    <w:rPr>
                      <w:rFonts w:ascii="仿宋_GB2312" w:hAnsi="仿宋_GB2312" w:cs="仿宋_GB2312" w:eastAsia="仿宋_GB2312"/>
                      <w:sz w:val="21"/>
                      <w:color w:val="000000"/>
                    </w:rPr>
                    <w:t xml:space="preserve">                                                                                                        </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采用棘轮式调较系统，每</w:t>
                  </w:r>
                  <w:r>
                    <w:rPr>
                      <w:rFonts w:ascii="仿宋_GB2312" w:hAnsi="仿宋_GB2312" w:cs="仿宋_GB2312" w:eastAsia="仿宋_GB2312"/>
                      <w:sz w:val="21"/>
                      <w:color w:val="000000"/>
                    </w:rPr>
                    <w:t xml:space="preserve">10度递增起始重量位置；                                              </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★最大人体质量不小于180kg；</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★最大训练载荷不小于104kg；</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提供具有</w:t>
                  </w:r>
                  <w:r>
                    <w:rPr>
                      <w:rFonts w:ascii="仿宋_GB2312" w:hAnsi="仿宋_GB2312" w:cs="仿宋_GB2312" w:eastAsia="仿宋_GB2312"/>
                      <w:sz w:val="21"/>
                      <w:color w:val="000000"/>
                    </w:rPr>
                    <w:t>CMA或CNAS标识的检测报告；</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提供漆板附着力</w:t>
                  </w:r>
                  <w:r>
                    <w:rPr>
                      <w:rFonts w:ascii="仿宋_GB2312" w:hAnsi="仿宋_GB2312" w:cs="仿宋_GB2312" w:eastAsia="仿宋_GB2312"/>
                      <w:sz w:val="21"/>
                      <w:color w:val="000000"/>
                    </w:rPr>
                    <w:t>0级检测报告，检测报告需带有CMA和CNAS标识；</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提供主框架</w:t>
                  </w:r>
                  <w:r>
                    <w:rPr>
                      <w:rFonts w:ascii="仿宋_GB2312" w:hAnsi="仿宋_GB2312" w:cs="仿宋_GB2312" w:eastAsia="仿宋_GB2312"/>
                      <w:sz w:val="21"/>
                      <w:color w:val="000000"/>
                    </w:rPr>
                    <w:t>500小时盐雾试验检测报告，检测报告需带有CMA和CNAS标识；</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加</w:t>
                  </w:r>
                  <w:r>
                    <w:rPr>
                      <w:rFonts w:ascii="仿宋_GB2312" w:hAnsi="仿宋_GB2312" w:cs="仿宋_GB2312" w:eastAsia="仿宋_GB2312"/>
                      <w:sz w:val="21"/>
                    </w:rPr>
                    <w:t>★项需提供第三方出具的佐证材料原件或复印件并加盖原厂公章.</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史密斯</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★主体框架采用不小于120mm*70mm*4mm钢管；</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台</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不小于</w:t>
                  </w:r>
                  <w:r>
                    <w:rPr>
                      <w:rFonts w:ascii="仿宋_GB2312" w:hAnsi="仿宋_GB2312" w:cs="仿宋_GB2312" w:eastAsia="仿宋_GB2312"/>
                      <w:sz w:val="21"/>
                      <w:color w:val="000000"/>
                    </w:rPr>
                    <w:t>φ4.8mm钢索；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采用铝合金滑轮；</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不小于</w:t>
                  </w:r>
                  <w:r>
                    <w:rPr>
                      <w:rFonts w:ascii="仿宋_GB2312" w:hAnsi="仿宋_GB2312" w:cs="仿宋_GB2312" w:eastAsia="仿宋_GB2312"/>
                      <w:sz w:val="21"/>
                      <w:color w:val="000000"/>
                    </w:rPr>
                    <w:t>Φ25mm钢制实心导杆；</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放置杠铃片均采用</w:t>
                  </w:r>
                  <w:r>
                    <w:rPr>
                      <w:rFonts w:ascii="仿宋_GB2312" w:hAnsi="仿宋_GB2312" w:cs="仿宋_GB2312" w:eastAsia="仿宋_GB2312"/>
                      <w:sz w:val="21"/>
                      <w:color w:val="000000"/>
                    </w:rPr>
                    <w:t xml:space="preserve">PP耐磨圆筒材质；   </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杠铃杆配有平衡装置，初始负载不小于</w:t>
                  </w:r>
                  <w:r>
                    <w:rPr>
                      <w:rFonts w:ascii="仿宋_GB2312" w:hAnsi="仿宋_GB2312" w:cs="仿宋_GB2312" w:eastAsia="仿宋_GB2312"/>
                      <w:sz w:val="21"/>
                      <w:color w:val="000000"/>
                    </w:rPr>
                    <w:t>2kg；</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带有限位装置，防止意外伤害；</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提供具有</w:t>
                  </w:r>
                  <w:r>
                    <w:rPr>
                      <w:rFonts w:ascii="仿宋_GB2312" w:hAnsi="仿宋_GB2312" w:cs="仿宋_GB2312" w:eastAsia="仿宋_GB2312"/>
                      <w:sz w:val="21"/>
                      <w:color w:val="000000"/>
                    </w:rPr>
                    <w:t>CMA或CNAS标识的检测报告；</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提供漆板附着力</w:t>
                  </w:r>
                  <w:r>
                    <w:rPr>
                      <w:rFonts w:ascii="仿宋_GB2312" w:hAnsi="仿宋_GB2312" w:cs="仿宋_GB2312" w:eastAsia="仿宋_GB2312"/>
                      <w:sz w:val="21"/>
                      <w:color w:val="000000"/>
                    </w:rPr>
                    <w:t>0级检测报告，检测报告需带有CMA和CNAS标识；</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提供主框架</w:t>
                  </w:r>
                  <w:r>
                    <w:rPr>
                      <w:rFonts w:ascii="仿宋_GB2312" w:hAnsi="仿宋_GB2312" w:cs="仿宋_GB2312" w:eastAsia="仿宋_GB2312"/>
                      <w:sz w:val="21"/>
                      <w:color w:val="000000"/>
                    </w:rPr>
                    <w:t>500小时盐雾试验检测报告，检测报告需带有</w:t>
                  </w:r>
                  <w:r>
                    <w:rPr>
                      <w:rFonts w:ascii="仿宋_GB2312" w:hAnsi="仿宋_GB2312" w:cs="仿宋_GB2312" w:eastAsia="仿宋_GB2312"/>
                      <w:sz w:val="21"/>
                    </w:rPr>
                    <w:t>CMA和CNAS标</w:t>
                  </w:r>
                  <w:r>
                    <w:rPr>
                      <w:rFonts w:ascii="仿宋_GB2312" w:hAnsi="仿宋_GB2312" w:cs="仿宋_GB2312" w:eastAsia="仿宋_GB2312"/>
                      <w:sz w:val="21"/>
                      <w:color w:val="000000"/>
                    </w:rPr>
                    <w:t>识；</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加</w:t>
                  </w:r>
                  <w:r>
                    <w:rPr>
                      <w:rFonts w:ascii="仿宋_GB2312" w:hAnsi="仿宋_GB2312" w:cs="仿宋_GB2312" w:eastAsia="仿宋_GB2312"/>
                      <w:sz w:val="21"/>
                    </w:rPr>
                    <w:t>★项需提供第三方出具的佐证材料原件或复印件并加盖原厂公章.</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大飞鸟训练器</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主体框架不小于</w:t>
                  </w:r>
                  <w:r>
                    <w:rPr>
                      <w:rFonts w:ascii="仿宋_GB2312" w:hAnsi="仿宋_GB2312" w:cs="仿宋_GB2312" w:eastAsia="仿宋_GB2312"/>
                      <w:sz w:val="21"/>
                      <w:color w:val="000000"/>
                    </w:rPr>
                    <w:t>φ95mm*3mm钢管；</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台</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浸泡式前处理工艺，静电粉末喷涂；</w:t>
                  </w:r>
                  <w:r>
                    <w:rPr>
                      <w:rFonts w:ascii="仿宋_GB2312" w:hAnsi="仿宋_GB2312" w:cs="仿宋_GB2312" w:eastAsia="仿宋_GB2312"/>
                      <w:sz w:val="21"/>
                      <w:color w:val="000000"/>
                    </w:rPr>
                    <w:t xml:space="preserve">   </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采用橡胶脚套，确保了器材的稳定性并防止磨损地板；</w:t>
                  </w:r>
                  <w:r>
                    <w:rPr>
                      <w:rFonts w:ascii="仿宋_GB2312" w:hAnsi="仿宋_GB2312" w:cs="仿宋_GB2312" w:eastAsia="仿宋_GB2312"/>
                      <w:sz w:val="21"/>
                      <w:color w:val="000000"/>
                    </w:rPr>
                    <w:t xml:space="preserve">     </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配重重量不小于</w:t>
                  </w:r>
                  <w:r>
                    <w:rPr>
                      <w:rFonts w:ascii="仿宋_GB2312" w:hAnsi="仿宋_GB2312" w:cs="仿宋_GB2312" w:eastAsia="仿宋_GB2312"/>
                      <w:sz w:val="21"/>
                      <w:color w:val="000000"/>
                    </w:rPr>
                    <w:t>136kg。</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提供具有</w:t>
                  </w:r>
                  <w:r>
                    <w:rPr>
                      <w:rFonts w:ascii="仿宋_GB2312" w:hAnsi="仿宋_GB2312" w:cs="仿宋_GB2312" w:eastAsia="仿宋_GB2312"/>
                      <w:sz w:val="21"/>
                      <w:color w:val="000000"/>
                    </w:rPr>
                    <w:t>CMA或CNAS标识的检测报告。</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举重（硬拉台）</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地板框架部分为</w:t>
                  </w:r>
                  <w:r>
                    <w:rPr>
                      <w:rFonts w:ascii="仿宋_GB2312" w:hAnsi="仿宋_GB2312" w:cs="仿宋_GB2312" w:eastAsia="仿宋_GB2312"/>
                      <w:sz w:val="21"/>
                      <w:color w:val="000000"/>
                    </w:rPr>
                    <w:t>3mm钢材；</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台</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框架内为白橡木</w:t>
                  </w:r>
                  <w:r>
                    <w:rPr>
                      <w:rFonts w:ascii="仿宋_GB2312" w:hAnsi="仿宋_GB2312" w:cs="仿宋_GB2312" w:eastAsia="仿宋_GB2312"/>
                      <w:sz w:val="21"/>
                      <w:color w:val="000000"/>
                    </w:rPr>
                    <w:t>+塑胶地垫组合而成                                                                   橡胶垫厚度不低于60mm；</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占地面积参考：</w:t>
                  </w:r>
                  <w:r>
                    <w:rPr>
                      <w:rFonts w:ascii="仿宋_GB2312" w:hAnsi="仿宋_GB2312" w:cs="仿宋_GB2312" w:eastAsia="仿宋_GB2312"/>
                      <w:sz w:val="21"/>
                      <w:color w:val="000000"/>
                    </w:rPr>
                    <w:t>3200mm*3800mm*60mm。</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上斜推胸训练器</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主体框架采用不小于</w:t>
                  </w:r>
                  <w:r>
                    <w:rPr>
                      <w:rFonts w:ascii="仿宋_GB2312" w:hAnsi="仿宋_GB2312" w:cs="仿宋_GB2312" w:eastAsia="仿宋_GB2312"/>
                      <w:sz w:val="21"/>
                      <w:color w:val="000000"/>
                    </w:rPr>
                    <w:t>φ95*2.5mm钢管；</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台</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采用橡胶脚套，确保了器材的稳定性并防止磨损地板；</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调节部分调节滑动部分采用电镀调节管，调节快捷顺畅，座垫调节采用半自动及滑动式设计；</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放置杠铃杆位置均采用</w:t>
                  </w:r>
                  <w:r>
                    <w:rPr>
                      <w:rFonts w:ascii="仿宋_GB2312" w:hAnsi="仿宋_GB2312" w:cs="仿宋_GB2312" w:eastAsia="仿宋_GB2312"/>
                      <w:sz w:val="21"/>
                      <w:color w:val="000000"/>
                    </w:rPr>
                    <w:t>TPU、PE高耐磨缓冲撞击材料；</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放置杠铃片均采用</w:t>
                  </w:r>
                  <w:r>
                    <w:rPr>
                      <w:rFonts w:ascii="仿宋_GB2312" w:hAnsi="仿宋_GB2312" w:cs="仿宋_GB2312" w:eastAsia="仿宋_GB2312"/>
                      <w:sz w:val="21"/>
                      <w:color w:val="000000"/>
                    </w:rPr>
                    <w:t>PP耐磨圆筒材质；</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设有独立的辅助防滑踏板，辅助保护使用者安全；</w:t>
                  </w:r>
                  <w:r>
                    <w:rPr>
                      <w:rFonts w:ascii="仿宋_GB2312" w:hAnsi="仿宋_GB2312" w:cs="仿宋_GB2312" w:eastAsia="仿宋_GB2312"/>
                      <w:sz w:val="21"/>
                      <w:color w:val="000000"/>
                    </w:rPr>
                    <w:t xml:space="preserve">                                     </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器材重量不小于</w:t>
                  </w:r>
                  <w:r>
                    <w:rPr>
                      <w:rFonts w:ascii="仿宋_GB2312" w:hAnsi="仿宋_GB2312" w:cs="仿宋_GB2312" w:eastAsia="仿宋_GB2312"/>
                      <w:sz w:val="21"/>
                      <w:color w:val="000000"/>
                    </w:rPr>
                    <w:t>119kg。</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提供具有</w:t>
                  </w:r>
                  <w:r>
                    <w:rPr>
                      <w:rFonts w:ascii="仿宋_GB2312" w:hAnsi="仿宋_GB2312" w:cs="仿宋_GB2312" w:eastAsia="仿宋_GB2312"/>
                      <w:sz w:val="21"/>
                      <w:color w:val="000000"/>
                    </w:rPr>
                    <w:t>CMA或CNAS标识的检测报告。</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平卧推胸训练器</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主体框架采用不小于</w:t>
                  </w:r>
                  <w:r>
                    <w:rPr>
                      <w:rFonts w:ascii="仿宋_GB2312" w:hAnsi="仿宋_GB2312" w:cs="仿宋_GB2312" w:eastAsia="仿宋_GB2312"/>
                      <w:sz w:val="21"/>
                      <w:color w:val="000000"/>
                    </w:rPr>
                    <w:t>120mm*60mm*3mm矩形钢管组合；</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台</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采用橡胶脚套，确保了器材的稳定性并防止磨损地板；</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放置杠铃杆位置均采用</w:t>
                  </w:r>
                  <w:r>
                    <w:rPr>
                      <w:rFonts w:ascii="仿宋_GB2312" w:hAnsi="仿宋_GB2312" w:cs="仿宋_GB2312" w:eastAsia="仿宋_GB2312"/>
                      <w:sz w:val="21"/>
                      <w:color w:val="000000"/>
                    </w:rPr>
                    <w:t>TPU、PE高耐磨缓冲撞击材料；</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放置杠铃片均采用</w:t>
                  </w:r>
                  <w:r>
                    <w:rPr>
                      <w:rFonts w:ascii="仿宋_GB2312" w:hAnsi="仿宋_GB2312" w:cs="仿宋_GB2312" w:eastAsia="仿宋_GB2312"/>
                      <w:sz w:val="21"/>
                      <w:color w:val="000000"/>
                    </w:rPr>
                    <w:t xml:space="preserve">PP耐磨圆筒材质；                                    </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器材重量不小于</w:t>
                  </w:r>
                  <w:r>
                    <w:rPr>
                      <w:rFonts w:ascii="仿宋_GB2312" w:hAnsi="仿宋_GB2312" w:cs="仿宋_GB2312" w:eastAsia="仿宋_GB2312"/>
                      <w:sz w:val="21"/>
                      <w:color w:val="000000"/>
                    </w:rPr>
                    <w:t>83kg。</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提供具有</w:t>
                  </w:r>
                  <w:r>
                    <w:rPr>
                      <w:rFonts w:ascii="仿宋_GB2312" w:hAnsi="仿宋_GB2312" w:cs="仿宋_GB2312" w:eastAsia="仿宋_GB2312"/>
                      <w:sz w:val="21"/>
                      <w:color w:val="000000"/>
                    </w:rPr>
                    <w:t>CMA或CNAS标识的检测报告。</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电镀哑铃</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10副电镀哑铃，材质：整体钢制，表面：整体镀硬铬，规 格：2.5kg-25kg  间 距：2.5kg</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公斤</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275</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环保复合地胶垫</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产品材质：高弹性</w:t>
                  </w:r>
                  <w:r>
                    <w:rPr>
                      <w:rFonts w:ascii="仿宋_GB2312" w:hAnsi="仿宋_GB2312" w:cs="仿宋_GB2312" w:eastAsia="仿宋_GB2312"/>
                      <w:sz w:val="21"/>
                      <w:color w:val="000000"/>
                    </w:rPr>
                    <w:t>EPDM/SBR 聚合物 ，产品耐磨面层密度:≥1200kg/m³；产品规格：500mm*500mm/1000mm*1000mm厚度：≥20mm；减震耐冲击、硬度适中，弹性韧性符合健身房要求，无毒无刺鼻异味，绿色环保。</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平方</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产品参数：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★1、依据GB/T 533-2008标准，检测橡胶地垫耐磨层密度≥1200kg/m³；（需提供带“CMA”或“CNAS”标志检测报告）</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★2、橡胶地垫经过耐酸性液体5%H2SO4浓硫酸测试GB/T 1690-2010标准检测时长≥240小时后外观无明显变化，且拉伸强度保持率≥80%、断裂伸长率保持率≥80%（需提供带“CMA”或“CNAS”标志检测报告）</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★3、依据GB18583-2008检测橡胶地垫原材料-胶黏剂中有害物质限量检测游离甲醛、甲苯二异氰酸脂检测，结果显示未检出；总挥发性有机物≤24g/L;（需提供带“CMA”或“CNAS”标志检测报告）</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★4、依据HG/T 3747.1-2011标准检测橡胶地垫表面质量，无表面污染、杂质、缺口、裂纹；检测抗弯曲性能，结果无裂纹；橡胶地垫通过尺寸稳定性检测数值X(横)向≤0.095%，Y（纵）向为≤0.24%；（需提供带“CMA”或“CNAS”标志检测报告）</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以上加</w:t>
                  </w:r>
                  <w:r>
                    <w:rPr>
                      <w:rFonts w:ascii="仿宋_GB2312" w:hAnsi="仿宋_GB2312" w:cs="仿宋_GB2312" w:eastAsia="仿宋_GB2312"/>
                      <w:sz w:val="21"/>
                    </w:rPr>
                    <w:t>★为实质响应项，未满足按无效处理，所有检测报告复印件需加盖厂家公章；</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全框组合架</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主体框架采用不小于</w:t>
                  </w:r>
                  <w:r>
                    <w:rPr>
                      <w:rFonts w:ascii="仿宋_GB2312" w:hAnsi="仿宋_GB2312" w:cs="仿宋_GB2312" w:eastAsia="仿宋_GB2312"/>
                      <w:sz w:val="21"/>
                      <w:color w:val="000000"/>
                    </w:rPr>
                    <w:t>70*140*3mm厚度优质钢材；</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台</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最大负载不低于</w:t>
                  </w:r>
                  <w:r>
                    <w:rPr>
                      <w:rFonts w:ascii="仿宋_GB2312" w:hAnsi="仿宋_GB2312" w:cs="仿宋_GB2312" w:eastAsia="仿宋_GB2312"/>
                      <w:sz w:val="21"/>
                      <w:color w:val="000000"/>
                    </w:rPr>
                    <w:t>400kg；</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引体向上架把手握把部分采用滚花工艺；</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杠铃杆托架与杠铃杆挂架均可自由调节；</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配有安全保护档位；</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可完成负重深蹲、引体向上、硬拉等多种训练动作；</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所有螺栓均采用</w:t>
                  </w:r>
                  <w:r>
                    <w:rPr>
                      <w:rFonts w:ascii="仿宋_GB2312" w:hAnsi="仿宋_GB2312" w:cs="仿宋_GB2312" w:eastAsia="仿宋_GB2312"/>
                      <w:sz w:val="21"/>
                      <w:color w:val="000000"/>
                    </w:rPr>
                    <w:t>8.8级高强度螺栓；</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机身重量不小于</w:t>
                  </w:r>
                  <w:r>
                    <w:rPr>
                      <w:rFonts w:ascii="仿宋_GB2312" w:hAnsi="仿宋_GB2312" w:cs="仿宋_GB2312" w:eastAsia="仿宋_GB2312"/>
                      <w:sz w:val="21"/>
                      <w:color w:val="000000"/>
                    </w:rPr>
                    <w:t>370KG；</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提供具有</w:t>
                  </w:r>
                  <w:r>
                    <w:rPr>
                      <w:rFonts w:ascii="仿宋_GB2312" w:hAnsi="仿宋_GB2312" w:cs="仿宋_GB2312" w:eastAsia="仿宋_GB2312"/>
                      <w:sz w:val="21"/>
                      <w:color w:val="000000"/>
                    </w:rPr>
                    <w:t>CMA或CNAS标识的检测报告；</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提供漆板附着力</w:t>
                  </w:r>
                  <w:r>
                    <w:rPr>
                      <w:rFonts w:ascii="仿宋_GB2312" w:hAnsi="仿宋_GB2312" w:cs="仿宋_GB2312" w:eastAsia="仿宋_GB2312"/>
                      <w:sz w:val="21"/>
                      <w:color w:val="000000"/>
                    </w:rPr>
                    <w:t>0级检测报告，检测报告需带有CMA和CNAS标识；</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提供主框架</w:t>
                  </w:r>
                  <w:r>
                    <w:rPr>
                      <w:rFonts w:ascii="仿宋_GB2312" w:hAnsi="仿宋_GB2312" w:cs="仿宋_GB2312" w:eastAsia="仿宋_GB2312"/>
                      <w:sz w:val="21"/>
                      <w:color w:val="000000"/>
                    </w:rPr>
                    <w:t>500小时盐雾试验检测报告，检测报告需带有CMA和CNAS标识。</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可调哑铃练习椅</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主体框架采用不小于</w:t>
                  </w:r>
                  <w:r>
                    <w:rPr>
                      <w:rFonts w:ascii="仿宋_GB2312" w:hAnsi="仿宋_GB2312" w:cs="仿宋_GB2312" w:eastAsia="仿宋_GB2312"/>
                      <w:sz w:val="21"/>
                      <w:color w:val="000000"/>
                    </w:rPr>
                    <w:t>100*50*3mm钢管；</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台</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浸泡式前处理工艺，静电粉末喷涂；</w:t>
                  </w:r>
                  <w:r>
                    <w:rPr>
                      <w:rFonts w:ascii="仿宋_GB2312" w:hAnsi="仿宋_GB2312" w:cs="仿宋_GB2312" w:eastAsia="仿宋_GB2312"/>
                      <w:sz w:val="21"/>
                      <w:color w:val="000000"/>
                    </w:rPr>
                    <w:t xml:space="preserve">   </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调节滑动部分采用电镀调节管，靠垫角度调节档数不小于</w:t>
                  </w:r>
                  <w:r>
                    <w:rPr>
                      <w:rFonts w:ascii="仿宋_GB2312" w:hAnsi="仿宋_GB2312" w:cs="仿宋_GB2312" w:eastAsia="仿宋_GB2312"/>
                      <w:sz w:val="21"/>
                      <w:color w:val="000000"/>
                    </w:rPr>
                    <w:t>8，座垫角度调节档数不小于5；</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底部附小拖轮，方便移动；</w:t>
                  </w:r>
                  <w:r>
                    <w:rPr>
                      <w:rFonts w:ascii="仿宋_GB2312" w:hAnsi="仿宋_GB2312" w:cs="仿宋_GB2312" w:eastAsia="仿宋_GB2312"/>
                      <w:sz w:val="21"/>
                      <w:color w:val="000000"/>
                    </w:rPr>
                    <w:t xml:space="preserve">                            </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提供具有</w:t>
                  </w:r>
                  <w:r>
                    <w:rPr>
                      <w:rFonts w:ascii="仿宋_GB2312" w:hAnsi="仿宋_GB2312" w:cs="仿宋_GB2312" w:eastAsia="仿宋_GB2312"/>
                      <w:sz w:val="21"/>
                      <w:color w:val="000000"/>
                    </w:rPr>
                    <w:t>CMA或CNAS标识的检测报告；</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提供漆板附着力</w:t>
                  </w:r>
                  <w:r>
                    <w:rPr>
                      <w:rFonts w:ascii="仿宋_GB2312" w:hAnsi="仿宋_GB2312" w:cs="仿宋_GB2312" w:eastAsia="仿宋_GB2312"/>
                      <w:sz w:val="21"/>
                      <w:color w:val="000000"/>
                    </w:rPr>
                    <w:t>0级检测报告，检测报告需带有CMA和CNAS标识；</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提供主框架</w:t>
                  </w:r>
                  <w:r>
                    <w:rPr>
                      <w:rFonts w:ascii="仿宋_GB2312" w:hAnsi="仿宋_GB2312" w:cs="仿宋_GB2312" w:eastAsia="仿宋_GB2312"/>
                      <w:sz w:val="21"/>
                      <w:color w:val="000000"/>
                    </w:rPr>
                    <w:t>500小时盐雾试验检测报告，检测报告需带有CMA和CNAS标识；</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加</w:t>
                  </w:r>
                  <w:r>
                    <w:rPr>
                      <w:rFonts w:ascii="仿宋_GB2312" w:hAnsi="仿宋_GB2312" w:cs="仿宋_GB2312" w:eastAsia="仿宋_GB2312"/>
                      <w:sz w:val="21"/>
                    </w:rPr>
                    <w:t>★项需提供第三方出具的佐证材料原件或复印件并加盖原厂公章</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风阻划雪器</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阻力类型：风阻；档位数量：</w:t>
                  </w:r>
                  <w:r>
                    <w:rPr>
                      <w:rFonts w:ascii="仿宋_GB2312" w:hAnsi="仿宋_GB2312" w:cs="仿宋_GB2312" w:eastAsia="仿宋_GB2312"/>
                      <w:sz w:val="21"/>
                      <w:color w:val="000000"/>
                    </w:rPr>
                    <w:t>10档（无级变速）；阻力系数：约80-220，电源规格：内置可充电锂电池，type-c接口充电；蓝牙适配手机APP，具备智能测试和个人数据留存功能；支持蓝牙OTA升级固件；参数显示：配速、桨频、功率、心率、拉力曲线、拉桨长度、拉桨时间、完赛预计等；最大承重：不小于135公斤；机身材料；铝合金；展开高度不低于</w:t>
                  </w:r>
                  <w:r>
                    <w:rPr>
                      <w:rFonts w:ascii="仿宋_GB2312" w:hAnsi="仿宋_GB2312" w:cs="仿宋_GB2312" w:eastAsia="仿宋_GB2312"/>
                      <w:sz w:val="21"/>
                    </w:rPr>
                    <w:t>2150MM</w:t>
                  </w:r>
                  <w:r>
                    <w:rPr>
                      <w:rFonts w:ascii="仿宋_GB2312" w:hAnsi="仿宋_GB2312" w:cs="仿宋_GB2312" w:eastAsia="仿宋_GB2312"/>
                      <w:sz w:val="21"/>
                      <w:color w:val="000000"/>
                    </w:rPr>
                    <w:t>，产品净重不低于</w:t>
                  </w:r>
                  <w:r>
                    <w:rPr>
                      <w:rFonts w:ascii="仿宋_GB2312" w:hAnsi="仿宋_GB2312" w:cs="仿宋_GB2312" w:eastAsia="仿宋_GB2312"/>
                      <w:sz w:val="21"/>
                      <w:color w:val="000000"/>
                    </w:rPr>
                    <w:t>52公斤。</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台</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镜子</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1.名称普通银镜+加钢制木纹边框.</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平方</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2.技术参数要求，银镜5mm米</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3.边框是钢制木纹边框厚度0.8mm米</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吧台</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高度</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台</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休闲吧台（高脚）：</w:t>
                  </w:r>
                  <w:r>
                    <w:rPr>
                      <w:rFonts w:ascii="仿宋_GB2312" w:hAnsi="仿宋_GB2312" w:cs="仿宋_GB2312" w:eastAsia="仿宋_GB2312"/>
                      <w:sz w:val="21"/>
                      <w:color w:val="000000"/>
                    </w:rPr>
                    <w:t>1000mm</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长度：</w:t>
                  </w:r>
                  <w:r>
                    <w:rPr>
                      <w:rFonts w:ascii="仿宋_GB2312" w:hAnsi="仿宋_GB2312" w:cs="仿宋_GB2312" w:eastAsia="仿宋_GB2312"/>
                      <w:sz w:val="21"/>
                      <w:color w:val="000000"/>
                    </w:rPr>
                    <w:t>1200–2000 mm</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深度：</w:t>
                  </w:r>
                  <w:r>
                    <w:rPr>
                      <w:rFonts w:ascii="仿宋_GB2312" w:hAnsi="仿宋_GB2312" w:cs="仿宋_GB2312" w:eastAsia="仿宋_GB2312"/>
                      <w:sz w:val="21"/>
                      <w:color w:val="000000"/>
                    </w:rPr>
                    <w:t>500-600mm</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台面材质</w:t>
                  </w:r>
                  <w:r>
                    <w:rPr>
                      <w:rFonts w:ascii="仿宋_GB2312" w:hAnsi="仿宋_GB2312" w:cs="仿宋_GB2312" w:eastAsia="仿宋_GB2312"/>
                      <w:sz w:val="21"/>
                      <w:color w:val="000000"/>
                    </w:rPr>
                    <w:t>:（耐用易清洁）</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石英石</w:t>
                  </w:r>
                  <w:r>
                    <w:rPr>
                      <w:rFonts w:ascii="仿宋_GB2312" w:hAnsi="仿宋_GB2312" w:cs="仿宋_GB2312" w:eastAsia="仿宋_GB2312"/>
                      <w:sz w:val="21"/>
                      <w:color w:val="000000"/>
                    </w:rPr>
                    <w:t>/岩板（防烫、防污、耐刮）</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厚度：</w:t>
                  </w:r>
                  <w:r>
                    <w:rPr>
                      <w:rFonts w:ascii="仿宋_GB2312" w:hAnsi="仿宋_GB2312" w:cs="仿宋_GB2312" w:eastAsia="仿宋_GB2312"/>
                      <w:sz w:val="21"/>
                      <w:color w:val="000000"/>
                    </w:rPr>
                    <w:t>25–30 mm</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布局：避开主通道，留</w:t>
                  </w:r>
                  <w:r>
                    <w:rPr>
                      <w:rFonts w:ascii="仿宋_GB2312" w:hAnsi="仿宋_GB2312" w:cs="仿宋_GB2312" w:eastAsia="仿宋_GB2312"/>
                      <w:sz w:val="21"/>
                      <w:color w:val="000000"/>
                    </w:rPr>
                    <w:t>≥900 mm通行宽度</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人脸识别闸机</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人脸识别参数</w:t>
                  </w:r>
                  <w:r>
                    <w:rPr>
                      <w:rFonts w:ascii="仿宋_GB2312" w:hAnsi="仿宋_GB2312" w:cs="仿宋_GB2312" w:eastAsia="仿宋_GB2312"/>
                      <w:sz w:val="21"/>
                      <w:color w:val="000000"/>
                    </w:rPr>
                    <w:t xml:space="preserve">      </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套</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1、宽动态低照度 CMOS，图像分辨率1920(H)*1080(V)</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2、选用专业安防6mm镜头</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3、高性能嵌入式处理器，集图像采集、人脸检测、人脸跟踪和人脸对比于一体；无需电脑及云端，脱机人像识别；支持全景图、局部特写图输出；</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4、识别速度≤300ms，识别率≥99%；</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5、支持10000人像库；</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6、丰富的输出接口；支持黑白名单；支持临时名单管控；1个RJ45 10M/100M自适应以太网接口 ；1路韦根输出接口； 1路开关信号输出;</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7、可存储1万条通行记录</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8、防水级别IP65，可以用户全室外</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9、自带7寸高清IPS屏，防水耐高温</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摆闸参数</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L1200*W200*H980mm</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材料：</w:t>
                  </w:r>
                  <w:r>
                    <w:rPr>
                      <w:rFonts w:ascii="仿宋_GB2312" w:hAnsi="仿宋_GB2312" w:cs="仿宋_GB2312" w:eastAsia="仿宋_GB2312"/>
                      <w:sz w:val="21"/>
                      <w:color w:val="000000"/>
                    </w:rPr>
                    <w:t xml:space="preserve">304不锈钢                                     </w:t>
                  </w:r>
                </w:p>
                <w:p>
                  <w:pPr>
                    <w:pStyle w:val="null3"/>
                    <w:jc w:val="left"/>
                  </w:pPr>
                  <w:r>
                    <w:rPr>
                      <w:rFonts w:ascii="仿宋_GB2312" w:hAnsi="仿宋_GB2312" w:cs="仿宋_GB2312" w:eastAsia="仿宋_GB2312"/>
                      <w:sz w:val="21"/>
                      <w:color w:val="000000"/>
                    </w:rPr>
                    <w:t>国标厚度：盖面</w:t>
                  </w:r>
                  <w:r>
                    <w:rPr>
                      <w:rFonts w:ascii="仿宋_GB2312" w:hAnsi="仿宋_GB2312" w:cs="仿宋_GB2312" w:eastAsia="仿宋_GB2312"/>
                      <w:sz w:val="21"/>
                      <w:color w:val="000000"/>
                    </w:rPr>
                    <w:t>1.1mm，机箱0.8mm</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通行人数：</w:t>
                  </w:r>
                  <w:r>
                    <w:rPr>
                      <w:rFonts w:ascii="仿宋_GB2312" w:hAnsi="仿宋_GB2312" w:cs="仿宋_GB2312" w:eastAsia="仿宋_GB2312"/>
                      <w:sz w:val="21"/>
                      <w:color w:val="000000"/>
                    </w:rPr>
                    <w:t xml:space="preserve">40人/分钟                                 </w:t>
                  </w:r>
                </w:p>
                <w:p>
                  <w:pPr>
                    <w:pStyle w:val="null3"/>
                    <w:jc w:val="left"/>
                  </w:pPr>
                  <w:r>
                    <w:rPr>
                      <w:rFonts w:ascii="仿宋_GB2312" w:hAnsi="仿宋_GB2312" w:cs="仿宋_GB2312" w:eastAsia="仿宋_GB2312"/>
                      <w:sz w:val="21"/>
                      <w:color w:val="000000"/>
                    </w:rPr>
                    <w:t>使用寿命：连续开合</w:t>
                  </w:r>
                  <w:r>
                    <w:rPr>
                      <w:rFonts w:ascii="仿宋_GB2312" w:hAnsi="仿宋_GB2312" w:cs="仿宋_GB2312" w:eastAsia="仿宋_GB2312"/>
                      <w:sz w:val="21"/>
                      <w:color w:val="000000"/>
                    </w:rPr>
                    <w:t xml:space="preserve">300万次以上                     </w:t>
                  </w:r>
                </w:p>
                <w:p>
                  <w:pPr>
                    <w:pStyle w:val="null3"/>
                    <w:jc w:val="left"/>
                  </w:pPr>
                  <w:r>
                    <w:rPr>
                      <w:rFonts w:ascii="仿宋_GB2312" w:hAnsi="仿宋_GB2312" w:cs="仿宋_GB2312" w:eastAsia="仿宋_GB2312"/>
                      <w:sz w:val="21"/>
                      <w:color w:val="000000"/>
                    </w:rPr>
                    <w:t>通行方向：双向读卡窗、方向指示、防夹功能、闸机自带语音、断电自动打开、上电自动复位</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红外：</w:t>
                  </w:r>
                  <w:r>
                    <w:rPr>
                      <w:rFonts w:ascii="仿宋_GB2312" w:hAnsi="仿宋_GB2312" w:cs="仿宋_GB2312" w:eastAsia="仿宋_GB2312"/>
                      <w:sz w:val="21"/>
                      <w:color w:val="000000"/>
                    </w:rPr>
                    <w:t xml:space="preserve">4对不锈钢大红外                                         单个通道宽度：750MM                                   </w:t>
                  </w:r>
                </w:p>
                <w:p>
                  <w:pPr>
                    <w:pStyle w:val="null3"/>
                    <w:jc w:val="left"/>
                  </w:pPr>
                  <w:r>
                    <w:rPr>
                      <w:rFonts w:ascii="仿宋_GB2312" w:hAnsi="仿宋_GB2312" w:cs="仿宋_GB2312" w:eastAsia="仿宋_GB2312"/>
                      <w:sz w:val="21"/>
                      <w:color w:val="000000"/>
                    </w:rPr>
                    <w:t>工作环境：室内</w:t>
                  </w:r>
                  <w:r>
                    <w:rPr>
                      <w:rFonts w:ascii="仿宋_GB2312" w:hAnsi="仿宋_GB2312" w:cs="仿宋_GB2312" w:eastAsia="仿宋_GB2312"/>
                      <w:sz w:val="21"/>
                      <w:color w:val="000000"/>
                    </w:rPr>
                    <w:t>/室外</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舞蹈室专用木地板</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rPr>
                    <w:t>面板</w:t>
                  </w:r>
                  <w:r>
                    <w:br/>
                  </w:r>
                  <w:r>
                    <w:rPr>
                      <w:rFonts w:ascii="仿宋_GB2312" w:hAnsi="仿宋_GB2312" w:cs="仿宋_GB2312" w:eastAsia="仿宋_GB2312"/>
                      <w:sz w:val="21"/>
                    </w:rPr>
                    <w:t>(1)枫桦木A级面板 22mmx(60-80)mmX1800mm</w:t>
                  </w:r>
                  <w:r>
                    <w:br/>
                  </w:r>
                  <w:r>
                    <w:rPr>
                      <w:rFonts w:ascii="仿宋_GB2312" w:hAnsi="仿宋_GB2312" w:cs="仿宋_GB2312" w:eastAsia="仿宋_GB2312"/>
                      <w:sz w:val="21"/>
                    </w:rPr>
                    <w:t>面层油漆采用运动木地板防滑</w:t>
                  </w:r>
                  <w:r>
                    <w:rPr>
                      <w:rFonts w:ascii="仿宋_GB2312" w:hAnsi="仿宋_GB2312" w:cs="仿宋_GB2312" w:eastAsia="仿宋_GB2312"/>
                      <w:sz w:val="21"/>
                    </w:rPr>
                    <w:t>UV漆不允许现场上漆:面板规格:厚度不小于22mm，面板宽度不小于50m面板,长度不小于1800mm;外观要求:纹理规则细腻、坚硬耐磨、富有弹性，平整刨光，不得有刨痕、翘曲与鼓包(包括漆面)、裂纹、死节、虫眼、腐朽、钝棱等缺陷。</w:t>
                  </w:r>
                </w:p>
                <w:p>
                  <w:pPr>
                    <w:pStyle w:val="null3"/>
                    <w:numPr>
                      <w:ilvl w:val="0"/>
                      <w:numId w:val="1"/>
                    </w:numPr>
                    <w:jc w:val="both"/>
                  </w:pPr>
                  <w:r>
                    <w:rPr>
                      <w:rFonts w:ascii="仿宋_GB2312" w:hAnsi="仿宋_GB2312" w:cs="仿宋_GB2312" w:eastAsia="仿宋_GB2312"/>
                      <w:sz w:val="21"/>
                    </w:rPr>
                    <w:t>①含水率≥6.5%:②漆膜附着力级1级;③漆膜硬度:4H，④)静曲强度≥50MPa:⑤甲醛释放量mg/L≤1.5:弾性模量(MPa)≥6000:⑥燃烧性能检测符合B口级:⑦临界热辐射通量 CHF：≥4.5KW/m，符合检测标准:GB/T 11785-2005；⑧20s内焰尖高度Fs:≤50mm；符合检测标准:GB/T 8624-2012。</w:t>
                  </w:r>
                  <w:r>
                    <w:br/>
                  </w:r>
                  <w:r>
                    <w:rPr>
                      <w:rFonts w:ascii="仿宋_GB2312" w:hAnsi="仿宋_GB2312" w:cs="仿宋_GB2312" w:eastAsia="仿宋_GB2312"/>
                      <w:sz w:val="21"/>
                    </w:rPr>
                    <w:t>2．龙骨</w:t>
                  </w:r>
                  <w:r>
                    <w:br/>
                  </w:r>
                  <w:r>
                    <w:rPr>
                      <w:rFonts w:ascii="仿宋_GB2312" w:hAnsi="仿宋_GB2312" w:cs="仿宋_GB2312" w:eastAsia="仿宋_GB2312"/>
                      <w:sz w:val="21"/>
                    </w:rPr>
                    <w:t>（</w:t>
                  </w:r>
                  <w:r>
                    <w:rPr>
                      <w:rFonts w:ascii="仿宋_GB2312" w:hAnsi="仿宋_GB2312" w:cs="仿宋_GB2312" w:eastAsia="仿宋_GB2312"/>
                      <w:sz w:val="21"/>
                    </w:rPr>
                    <w:t xml:space="preserve">1）龙骨尺寸：20（±2）mm*70（±2）mm </w:t>
                  </w:r>
                  <w:r>
                    <w:br/>
                  </w:r>
                  <w:r>
                    <w:rPr>
                      <w:rFonts w:ascii="仿宋_GB2312" w:hAnsi="仿宋_GB2312" w:cs="仿宋_GB2312" w:eastAsia="仿宋_GB2312"/>
                      <w:sz w:val="21"/>
                    </w:rPr>
                    <w:t>龙骨铺设方式：板式龙骨，间距</w:t>
                  </w:r>
                  <w:r>
                    <w:rPr>
                      <w:rFonts w:ascii="仿宋_GB2312" w:hAnsi="仿宋_GB2312" w:cs="仿宋_GB2312" w:eastAsia="仿宋_GB2312"/>
                      <w:sz w:val="21"/>
                    </w:rPr>
                    <w:t>300mm，</w:t>
                  </w:r>
                  <w:r>
                    <w:br/>
                  </w:r>
                  <w:r>
                    <w:rPr>
                      <w:rFonts w:ascii="仿宋_GB2312" w:hAnsi="仿宋_GB2312" w:cs="仿宋_GB2312" w:eastAsia="仿宋_GB2312"/>
                      <w:sz w:val="21"/>
                    </w:rPr>
                    <w:t>运动木地板专业龙骨做防腐、防火处理龙骨，与地面不固定悬浮安装。</w:t>
                  </w:r>
                  <w:r>
                    <w:br/>
                  </w:r>
                  <w:r>
                    <w:rPr>
                      <w:rFonts w:ascii="仿宋_GB2312" w:hAnsi="仿宋_GB2312" w:cs="仿宋_GB2312" w:eastAsia="仿宋_GB2312"/>
                      <w:sz w:val="21"/>
                    </w:rPr>
                    <w:t>龙骨材质：</w:t>
                  </w:r>
                  <w:r>
                    <w:rPr>
                      <w:rFonts w:ascii="仿宋_GB2312" w:hAnsi="仿宋_GB2312" w:cs="仿宋_GB2312" w:eastAsia="仿宋_GB2312"/>
                      <w:sz w:val="21"/>
                    </w:rPr>
                    <w:t>须为硬度较高木质紧密的针叶木材。落叶松木龙骨经过防腐防虫处理。</w:t>
                  </w:r>
                  <w:r>
                    <w:br/>
                  </w:r>
                  <w:r>
                    <w:rPr>
                      <w:rFonts w:ascii="仿宋_GB2312" w:hAnsi="仿宋_GB2312" w:cs="仿宋_GB2312" w:eastAsia="仿宋_GB2312"/>
                      <w:sz w:val="21"/>
                    </w:rPr>
                    <w:t>3.橡胶垫块</w:t>
                  </w:r>
                  <w:r>
                    <w:br/>
                  </w:r>
                  <w:r>
                    <w:rPr>
                      <w:rFonts w:ascii="仿宋_GB2312" w:hAnsi="仿宋_GB2312" w:cs="仿宋_GB2312" w:eastAsia="仿宋_GB2312"/>
                      <w:sz w:val="21"/>
                    </w:rPr>
                    <w:t>（</w:t>
                  </w:r>
                  <w:r>
                    <w:rPr>
                      <w:rFonts w:ascii="仿宋_GB2312" w:hAnsi="仿宋_GB2312" w:cs="仿宋_GB2312" w:eastAsia="仿宋_GB2312"/>
                      <w:sz w:val="21"/>
                    </w:rPr>
                    <w:t>1）减震垫规格为：18mm*50mm*50mm；须为运动地板专用弹性橡胶垫，为不易老化的橡胶材质，固定在龙骨上；</w:t>
                  </w:r>
                  <w:r>
                    <w:br/>
                  </w:r>
                  <w:r>
                    <w:rPr>
                      <w:rFonts w:ascii="仿宋_GB2312" w:hAnsi="仿宋_GB2312" w:cs="仿宋_GB2312" w:eastAsia="仿宋_GB2312"/>
                      <w:sz w:val="21"/>
                    </w:rPr>
                    <w:t>（</w:t>
                  </w:r>
                  <w:r>
                    <w:rPr>
                      <w:rFonts w:ascii="仿宋_GB2312" w:hAnsi="仿宋_GB2312" w:cs="仿宋_GB2312" w:eastAsia="仿宋_GB2312"/>
                      <w:sz w:val="21"/>
                    </w:rPr>
                    <w:t>2）①抗拉强度≥0.35:②断裂伸长率&gt;50。</w:t>
                  </w:r>
                  <w:r>
                    <w:br/>
                  </w:r>
                  <w:r>
                    <w:rPr>
                      <w:rFonts w:ascii="仿宋_GB2312" w:hAnsi="仿宋_GB2312" w:cs="仿宋_GB2312" w:eastAsia="仿宋_GB2312"/>
                      <w:sz w:val="21"/>
                    </w:rPr>
                    <w:t>4.油漆</w:t>
                  </w:r>
                  <w:r>
                    <w:br/>
                  </w:r>
                  <w:r>
                    <w:rPr>
                      <w:rFonts w:ascii="仿宋_GB2312" w:hAnsi="仿宋_GB2312" w:cs="仿宋_GB2312" w:eastAsia="仿宋_GB2312"/>
                      <w:sz w:val="21"/>
                    </w:rPr>
                    <w:t>油漆必须采用专业运动地板</w:t>
                  </w:r>
                  <w:r>
                    <w:rPr>
                      <w:rFonts w:ascii="仿宋_GB2312" w:hAnsi="仿宋_GB2312" w:cs="仿宋_GB2312" w:eastAsia="仿宋_GB2312"/>
                      <w:sz w:val="21"/>
                    </w:rPr>
                    <w:t>UV漆不含苯及游离甲醛，甲苯、乙苯、二甲苯总和VOC≤213g/L;游离甲醛≤5mg/kg;不接受现场油漆，</w:t>
                  </w:r>
                  <w:r>
                    <w:br/>
                  </w:r>
                  <w:r>
                    <w:rPr>
                      <w:rFonts w:ascii="仿宋_GB2312" w:hAnsi="仿宋_GB2312" w:cs="仿宋_GB2312" w:eastAsia="仿宋_GB2312"/>
                      <w:sz w:val="21"/>
                    </w:rPr>
                    <w:t>5.静音垫层</w:t>
                  </w:r>
                  <w:r>
                    <w:br/>
                  </w:r>
                  <w:r>
                    <w:rPr>
                      <w:rFonts w:ascii="仿宋_GB2312" w:hAnsi="仿宋_GB2312" w:cs="仿宋_GB2312" w:eastAsia="仿宋_GB2312"/>
                      <w:sz w:val="21"/>
                    </w:rPr>
                    <w:t>在面板与龙骨之间必须添加无纺布或吸音棉</w:t>
                  </w:r>
                  <w:r>
                    <w:br/>
                  </w:r>
                  <w:r>
                    <w:rPr>
                      <w:rFonts w:ascii="仿宋_GB2312" w:hAnsi="仿宋_GB2312" w:cs="仿宋_GB2312" w:eastAsia="仿宋_GB2312"/>
                      <w:sz w:val="21"/>
                    </w:rPr>
                    <w:t>6.防潮垫：</w:t>
                  </w:r>
                  <w:r>
                    <w:br/>
                  </w:r>
                  <w:r>
                    <w:rPr>
                      <w:rFonts w:ascii="仿宋_GB2312" w:hAnsi="仿宋_GB2312" w:cs="仿宋_GB2312" w:eastAsia="仿宋_GB2312"/>
                      <w:sz w:val="21"/>
                    </w:rPr>
                    <w:t>运动木地板底层需要铺设</w:t>
                  </w:r>
                  <w:r>
                    <w:rPr>
                      <w:rFonts w:ascii="仿宋_GB2312" w:hAnsi="仿宋_GB2312" w:cs="仿宋_GB2312" w:eastAsia="仿宋_GB2312"/>
                      <w:sz w:val="21"/>
                    </w:rPr>
                    <w:t>CPE薄膜，防潮防腐。</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木地板整体运动性能指标要求</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球反弹率</w:t>
                  </w:r>
                  <w:r>
                    <w:rPr>
                      <w:rFonts w:ascii="仿宋_GB2312" w:hAnsi="仿宋_GB2312" w:cs="仿宋_GB2312" w:eastAsia="仿宋_GB2312"/>
                      <w:sz w:val="21"/>
                    </w:rPr>
                    <w:t>≥90%；</w:t>
                  </w:r>
                </w:p>
                <w:p>
                  <w:pPr>
                    <w:pStyle w:val="null3"/>
                    <w:jc w:val="both"/>
                  </w:pPr>
                  <w:r>
                    <w:rPr>
                      <w:rFonts w:ascii="仿宋_GB2312" w:hAnsi="仿宋_GB2312" w:cs="仿宋_GB2312" w:eastAsia="仿宋_GB2312"/>
                      <w:sz w:val="21"/>
                    </w:rPr>
                    <w:t>冲击吸收率</w:t>
                  </w:r>
                  <w:r>
                    <w:rPr>
                      <w:rFonts w:ascii="仿宋_GB2312" w:hAnsi="仿宋_GB2312" w:cs="仿宋_GB2312" w:eastAsia="仿宋_GB2312"/>
                      <w:sz w:val="21"/>
                    </w:rPr>
                    <w:t>≥53%；</w:t>
                  </w:r>
                </w:p>
                <w:p>
                  <w:pPr>
                    <w:pStyle w:val="null3"/>
                    <w:jc w:val="both"/>
                  </w:pPr>
                  <w:r>
                    <w:rPr>
                      <w:rFonts w:ascii="仿宋_GB2312" w:hAnsi="仿宋_GB2312" w:cs="仿宋_GB2312" w:eastAsia="仿宋_GB2312"/>
                      <w:sz w:val="21"/>
                    </w:rPr>
                    <w:t>标准垂直变形</w:t>
                  </w:r>
                  <w:r>
                    <w:rPr>
                      <w:rFonts w:ascii="仿宋_GB2312" w:hAnsi="仿宋_GB2312" w:cs="仿宋_GB2312" w:eastAsia="仿宋_GB2312"/>
                      <w:sz w:val="21"/>
                    </w:rPr>
                    <w:t>/mm≥2.3；</w:t>
                  </w:r>
                </w:p>
                <w:p>
                  <w:pPr>
                    <w:pStyle w:val="null3"/>
                    <w:jc w:val="both"/>
                  </w:pPr>
                  <w:r>
                    <w:rPr>
                      <w:rFonts w:ascii="仿宋_GB2312" w:hAnsi="仿宋_GB2312" w:cs="仿宋_GB2312" w:eastAsia="仿宋_GB2312"/>
                      <w:sz w:val="21"/>
                    </w:rPr>
                    <w:t>抗滚动荷载性能：不起毛刺，没有裂纹、断裂、劈裂、漆膜损坏</w:t>
                  </w:r>
                  <w:r>
                    <w:rPr>
                      <w:rFonts w:ascii="仿宋_GB2312" w:hAnsi="仿宋_GB2312" w:cs="仿宋_GB2312" w:eastAsia="仿宋_GB2312"/>
                      <w:sz w:val="21"/>
                    </w:rPr>
                    <w:t>等现象。</w:t>
                  </w:r>
                </w:p>
                <w:p>
                  <w:pPr>
                    <w:pStyle w:val="null3"/>
                    <w:jc w:val="both"/>
                  </w:pPr>
                  <w:r>
                    <w:rPr>
                      <w:rFonts w:ascii="仿宋_GB2312" w:hAnsi="仿宋_GB2312" w:cs="仿宋_GB2312" w:eastAsia="仿宋_GB2312"/>
                      <w:sz w:val="21"/>
                    </w:rPr>
                    <w:t>滑动摩擦系数：</w:t>
                  </w:r>
                  <w:r>
                    <w:rPr>
                      <w:rFonts w:ascii="仿宋_GB2312" w:hAnsi="仿宋_GB2312" w:cs="仿宋_GB2312" w:eastAsia="仿宋_GB2312"/>
                      <w:sz w:val="21"/>
                    </w:rPr>
                    <w:t>0.4-0.6。</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8.取得且处于有效期内的IS09001或GB/T19001或GJB9001质量管理体系认证证书。</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9.取得且处于有效期内的ISO14001或GB/T24001环境管理体系的认证证书</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10.取得且处于有效期内的ISO45001或GB/T45001职业健康安全管理体系的认证证书</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360</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平米</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啦啦操专用地毯</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225"/>
                    <w:jc w:val="left"/>
                  </w:pPr>
                  <w:r>
                    <w:rPr>
                      <w:rFonts w:ascii="仿宋_GB2312" w:hAnsi="仿宋_GB2312" w:cs="仿宋_GB2312" w:eastAsia="仿宋_GB2312"/>
                      <w:sz w:val="21"/>
                    </w:rPr>
                    <w:t>1.六层结构，新型切割，采用勾带方式对接。</w:t>
                  </w:r>
                  <w:r>
                    <w:br/>
                  </w:r>
                  <w:r>
                    <w:rPr>
                      <w:rFonts w:ascii="仿宋_GB2312" w:hAnsi="仿宋_GB2312" w:cs="仿宋_GB2312" w:eastAsia="仿宋_GB2312"/>
                      <w:sz w:val="21"/>
                    </w:rPr>
                    <w:t>2.使用材料主要为四种:环保软毯硬板层、XPE/IXPE、TPE发泡材料、PE压花薄膜耐磨材料采用无胶热粘合计术合成。</w:t>
                  </w:r>
                  <w:r>
                    <w:br/>
                  </w:r>
                  <w:r>
                    <w:rPr>
                      <w:rFonts w:ascii="仿宋_GB2312" w:hAnsi="仿宋_GB2312" w:cs="仿宋_GB2312" w:eastAsia="仿宋_GB2312"/>
                      <w:sz w:val="21"/>
                    </w:rPr>
                    <w:t>3、该地垫采用六层缓冲设计 (1)地垫第一层为环保软毯硬板层，其特性为无毒，无放射性，防滑，防灰，防水， 不掉毛，不起球，易清洁。 (2)地垫第二、三层由高强度回弹XPE压缩发泡材料热合而成，保障运动员落地时的稳定支撑。 (3)地垫第四层为TPE发泡材质，其特性柔软，压缩强度小，压缩永久变形小，作用是吸收并分散上方传递的能量，在运动员落地时给予很大的保护，避免伤害。 (4)第五层为高发泡XPE/IXPE,回弹性好。第六层为复合蓝色PE压花薄膜耐磨层，优点是隔水，耐刮擦能力强，更加环保。有效增加地热的使用寿命。</w:t>
                  </w:r>
                  <w:r>
                    <w:br/>
                  </w:r>
                  <w:r>
                    <w:rPr>
                      <w:rFonts w:ascii="仿宋_GB2312" w:hAnsi="仿宋_GB2312" w:cs="仿宋_GB2312" w:eastAsia="仿宋_GB2312"/>
                      <w:sz w:val="21"/>
                    </w:rPr>
                    <w:t>4.厚度为3公分</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180</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平米</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贴墙镜子</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5mm高清银镜</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80</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把杆</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优质实木，</w:t>
                  </w:r>
                  <w:r>
                    <w:rPr>
                      <w:rFonts w:ascii="仿宋_GB2312" w:hAnsi="仿宋_GB2312" w:cs="仿宋_GB2312" w:eastAsia="仿宋_GB2312"/>
                      <w:sz w:val="21"/>
                    </w:rPr>
                    <w:t>ABS大底座</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40</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储物矮柜</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实木颗粒板，</w:t>
                  </w:r>
                  <w:r>
                    <w:rPr>
                      <w:rFonts w:ascii="仿宋_GB2312" w:hAnsi="仿宋_GB2312" w:cs="仿宋_GB2312" w:eastAsia="仿宋_GB2312"/>
                      <w:sz w:val="21"/>
                    </w:rPr>
                    <w:t>E0环保标准</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25</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蓝牙音响设备</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尺寸：</w:t>
                  </w:r>
                  <w:r>
                    <w:rPr>
                      <w:rFonts w:ascii="仿宋_GB2312" w:hAnsi="仿宋_GB2312" w:cs="仿宋_GB2312" w:eastAsia="仿宋_GB2312"/>
                      <w:sz w:val="21"/>
                    </w:rPr>
                    <w:t>585*267*345mm</w:t>
                  </w:r>
                  <w:r>
                    <w:br/>
                  </w:r>
                  <w:r>
                    <w:rPr>
                      <w:rFonts w:ascii="仿宋_GB2312" w:hAnsi="仿宋_GB2312" w:cs="仿宋_GB2312" w:eastAsia="仿宋_GB2312"/>
                      <w:sz w:val="21"/>
                    </w:rPr>
                    <w:t>峰值功率</w:t>
                  </w:r>
                  <w:r>
                    <w:rPr>
                      <w:rFonts w:ascii="仿宋_GB2312" w:hAnsi="仿宋_GB2312" w:cs="仿宋_GB2312" w:eastAsia="仿宋_GB2312"/>
                      <w:sz w:val="21"/>
                    </w:rPr>
                    <w:t>2000w</w:t>
                  </w:r>
                  <w:r>
                    <w:br/>
                  </w:r>
                  <w:r>
                    <w:rPr>
                      <w:rFonts w:ascii="仿宋_GB2312" w:hAnsi="仿宋_GB2312" w:cs="仿宋_GB2312" w:eastAsia="仿宋_GB2312"/>
                      <w:sz w:val="21"/>
                    </w:rPr>
                    <w:t>无线话筒</w:t>
                  </w:r>
                  <w:r>
                    <w:rPr>
                      <w:rFonts w:ascii="仿宋_GB2312" w:hAnsi="仿宋_GB2312" w:cs="仿宋_GB2312" w:eastAsia="仿宋_GB2312"/>
                      <w:sz w:val="21"/>
                    </w:rPr>
                    <w:t>*2</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合同签订后，20日内备货并送至采购人指定地点</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西安文理学院指定地点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进度款，合同签订后，乙方供货调试安装后，甲方验收完，达到付款条件起30个工作日内，支付合同总金额的100.0%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（1）为确保产品为全新，质量和功能稳定性，签订合同后,要求提供厂家出具的技术参数确认表,售后服务保障原件,供货证明原件，否则采购方将不予验收通过。 （2）成交供应商将设备运达采购人指定的地点后，采购人根据合同要求，在合同双方代表等相关负责人同时在场的情况下，进行外观验收，确认品牌型号和数量；设备全部安装调试完毕后，由成交供应商向采购人提交纸质版项目验收申请书，经采购人项目代表报有关领导确认后，由采购人组织验收。验收合格后，填写项目验收单。 （3）验收依据：竞争性谈判文件、竞争性谈判响应文件、澄清表（函）；本合同及附件文本；合同签订时国家及行业现行的标准和技术规范。 （4）成交供应商应向采购人提交项目实施过程中的所有资料，以便采购人日后管理和维护。</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1.质保期为验收合格后不少于3年。成交供应商承诺的质保时间超过竞争性谈判文件要求的，按其承诺时间质保。 2.成交供应商承诺的质保期起始时间为验收合格之日。 3.在安装期间，成交供应商有必要对使用人员进行技术培训，以确保采购人能够有效处理相关问题。 4.成交供应商须提供该货物的技术培训、技术支持和维修巡检服务，服务内容包括负责安装调试完成后质保期内免费进行现场培训、理论培训、操作培训等。 5.成交供应商须对售后服务需求提供在工作日内1小时响应，2小时内通过远程、电话等方式解决问题，如无法解决，24小时内到达现场实施维修。72小时仍未排除故障、恢复正常运转的，由成交供应商提供同类型备品、备件等。</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1.按《中华人民共和国政府采购法》、《中华人民共和国民法典》中的相关条款执行。 2.未按合同或谈判文件要求提供产品或供应的产品质量不能满足采购人技术要求，采购人有权终止合同，甚至对供应商违约行为进行追究。 3.供应商的响应文件为签订正式书面合同书不可分割的部分，供应商应履行相应的责任。</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1、成交供应商须在结果公告发布之日起5个工作日内，提交响应文件一正贰副至西安市高新区锦业一路52号宝德云谷国际-B座14层1406-6室（陕西中诚天和项目管理有限公司）。 2、供应商对其所销售的货物应当享有知识产权或经权利人合法授权，保证没有侵犯任何第三人的知识产权等权利。因违反前述约定对第三人构成侵权的，应当由供应商向第三人承担法律责任。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供应商应具有独立承担民事责任的能力的企业法人、事业法人、其他组织或自然人，出具合法有效的营业执照等相关证明文件，自然人参与的提供其身份证明（加盖公章）； （2）财务状况报告：提供经审计的2024年度或2025年度财务报告或谈判前六个月内其本公司银行账户出具的资信证明或政府采购专业担保机构出具的谈判担保函（事业单位可不提供）（加盖公章）； （3）税收缴纳证明：供应商提供截止至谈判时间前六个月任一月份的缴费凭据；依法免税的应提供相关文件证明（加盖公章）； （4）社会保障资金缴纳证明：供应商提供截止至谈判时间前六个月任一月份的缴费凭据或社保机构开具的社会保险参保缴费情况证明；依法不需要缴纳社会保障资金的应提供相关文件证明（加盖公章）； （5）供应商提供具有履行本合同所必需的设备和专业技术能力的承诺函（加盖公章）； （6）供应商提供参加政府采购活动前三年内在经营活动中没有重大违法记录的承诺函（加盖公章）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提供经审计的2024年度或2025年度财务报告或谈判前六个月内其本公司银行账户出具的资信证明或政府采购专业担保机构出具的谈判担保函（事业单位可不提供）（加盖公章）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法定代表人身份证明/法定代表人授权书</w:t>
            </w:r>
          </w:p>
        </w:tc>
        <w:tc>
          <w:tcPr>
            <w:tcW w:type="dxa" w:w="3322"/>
          </w:tcPr>
          <w:p>
            <w:pPr>
              <w:pStyle w:val="null3"/>
            </w:pPr>
            <w:r>
              <w:rPr>
                <w:rFonts w:ascii="仿宋_GB2312" w:hAnsi="仿宋_GB2312" w:cs="仿宋_GB2312" w:eastAsia="仿宋_GB2312"/>
              </w:rPr>
              <w:t>法定代表人直接参加谈判的，须出具法定代表人身份证明及法人身份证；法定代表人授权代表参加谈判的，须出具法定代表人授权书及法人和授权代表身份证</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符合《财政部关于在政府采购活动中查询及使用信用记录有关问题的通知》（财库【2016】125号）文件中信用查询的要求</w:t>
            </w:r>
          </w:p>
        </w:tc>
        <w:tc>
          <w:tcPr>
            <w:tcW w:type="dxa" w:w="3322"/>
          </w:tcPr>
          <w:p>
            <w:pPr>
              <w:pStyle w:val="null3"/>
            </w:pPr>
            <w:r>
              <w:rPr>
                <w:rFonts w:ascii="仿宋_GB2312" w:hAnsi="仿宋_GB2312" w:cs="仿宋_GB2312" w:eastAsia="仿宋_GB2312"/>
              </w:rPr>
              <w:t>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谈判响应文件组成</w:t>
            </w:r>
          </w:p>
        </w:tc>
        <w:tc>
          <w:tcPr>
            <w:tcW w:type="dxa" w:w="3322"/>
          </w:tcPr>
          <w:p>
            <w:pPr>
              <w:pStyle w:val="null3"/>
            </w:pPr>
            <w:r>
              <w:rPr>
                <w:rFonts w:ascii="仿宋_GB2312" w:hAnsi="仿宋_GB2312" w:cs="仿宋_GB2312" w:eastAsia="仿宋_GB2312"/>
              </w:rPr>
              <w:t>未出现实质性内容的缺漏项</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关于符合本国产品标准的声明函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完全响应谈判文件要求的各项技术、服务实质性条款。</w:t>
            </w:r>
          </w:p>
        </w:tc>
        <w:tc>
          <w:tcPr>
            <w:tcW w:type="dxa" w:w="1661"/>
          </w:tcPr>
          <w:p>
            <w:pPr>
              <w:pStyle w:val="null3"/>
            </w:pPr>
            <w:r>
              <w:rPr>
                <w:rFonts w:ascii="仿宋_GB2312" w:hAnsi="仿宋_GB2312" w:cs="仿宋_GB2312" w:eastAsia="仿宋_GB2312"/>
              </w:rPr>
              <w:t>响应文件封面 产品技术参数表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谈判响应文件签署、盖章</w:t>
            </w:r>
          </w:p>
        </w:tc>
        <w:tc>
          <w:tcPr>
            <w:tcW w:type="dxa" w:w="3322"/>
          </w:tcPr>
          <w:p>
            <w:pPr>
              <w:pStyle w:val="null3"/>
            </w:pPr>
            <w:r>
              <w:rPr>
                <w:rFonts w:ascii="仿宋_GB2312" w:hAnsi="仿宋_GB2312" w:cs="仿宋_GB2312" w:eastAsia="仿宋_GB2312"/>
              </w:rPr>
              <w:t>签署、盖章合法、有效</w:t>
            </w:r>
          </w:p>
        </w:tc>
        <w:tc>
          <w:tcPr>
            <w:tcW w:type="dxa" w:w="1661"/>
          </w:tcPr>
          <w:p>
            <w:pPr>
              <w:pStyle w:val="null3"/>
            </w:pPr>
            <w:r>
              <w:rPr>
                <w:rFonts w:ascii="仿宋_GB2312" w:hAnsi="仿宋_GB2312" w:cs="仿宋_GB2312" w:eastAsia="仿宋_GB2312"/>
              </w:rPr>
              <w:t>响应文件封面 中小企业声明函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其他未达到谈判文件要求的情况</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关于符合本国产品标准的声明函 报价表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（1）投标（响应）报价低于全部通过符合性审查供应商投标（响应）报价平均值65%的，即投标（响应）报价&lt;全部通过符合性审查供应商投标（响应）报价平均值×65%。</w:t>
              <w:br/>
              <w:t>（2）投标（响应）报价低于通过符合性审查且报价次低供应商投标（响应）报价65%的，即投标（响应）报价&lt;通过符合性审查且报价次低供应商投标（响应）报价×65%。</w:t>
              <w:br/>
              <w:t>（3）投标（响应）报价低于最高限价65%的，即投标（响应）报价&lt;最高限价×65%。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30分钟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