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版本号：ZX2026-03-42.1B220260729001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航空地面设备智能维修产教融合实训基地建设项目(三次)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ZX2026-03-42.1B2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航空地面设备智能维修产教融合实训基地建设项目(三次)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ZX2026-03-42.1B2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航空地面设备智能维修产教融合实训基地建设项目(三次)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本项目拟建设航空地面设备智能维修产教融合实训基地，具体内容及要求详见招标文件第三章。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采购包1：891,141.00元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采购包1保证金金额：10,342.30元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按照合同文本约定。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本项目拟建设航空地面设备智能维修产教融合实训基地。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891,141.00</w:t>
      </w:r>
    </w:p>
    <w:p>
      <w:pPr>
        <w:pStyle w:val="null3"/>
      </w:pPr>
      <w:r>
        <w:rPr>
          <w:rFonts w:ascii="仿宋_GB2312" w:hAnsi="仿宋_GB2312" w:cs="仿宋_GB2312" w:eastAsia="仿宋_GB2312"/>
        </w:rPr>
        <w:t>采购包最高限价（元）: 891,141.00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柴油发动机测试平台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891,141.00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标的名称：柴油发动机测试平台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柴油发动机测试平台</w:t>
                  </w:r>
                </w:p>
                <w:p>
                  <w:pPr>
                    <w:pStyle w:val="null3"/>
                  </w:pPr>
                  <w:r>
                    <w:rPr>
                      <w:rFonts w:ascii="仿宋_GB2312" w:hAnsi="仿宋_GB2312" w:cs="仿宋_GB2312" w:eastAsia="仿宋_GB2312"/>
                    </w:rPr>
                    <w:t>（定制）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拟建设一套柴油发动机测试平台，由电涡流测功机、自动化测试及控制系统、台架辅助等部分组成。支持日常发动机结构与性能测试教学，并具备长期开展可靠性及耐久性试验的能力。具备对柴油发动机进行动力性能试验与经济性能试验的全部技术要求。</w:t>
            </w:r>
          </w:p>
          <w:p>
            <w:pPr>
              <w:pStyle w:val="null3"/>
            </w:pPr>
            <w:r>
              <w:rPr>
                <w:rFonts w:ascii="仿宋_GB2312" w:hAnsi="仿宋_GB2312" w:cs="仿宋_GB2312" w:eastAsia="仿宋_GB2312"/>
              </w:rPr>
              <w:t>二、工作条件要求</w:t>
            </w:r>
          </w:p>
          <w:p>
            <w:pPr>
              <w:pStyle w:val="null3"/>
            </w:pPr>
            <w:r>
              <w:rPr>
                <w:rFonts w:ascii="仿宋_GB2312" w:hAnsi="仿宋_GB2312" w:cs="仿宋_GB2312" w:eastAsia="仿宋_GB2312"/>
              </w:rPr>
              <w:t>1.建设区域：试验楼1#台架。</w:t>
            </w:r>
          </w:p>
          <w:p>
            <w:pPr>
              <w:pStyle w:val="null3"/>
            </w:pPr>
            <w:r>
              <w:rPr>
                <w:rFonts w:ascii="仿宋_GB2312" w:hAnsi="仿宋_GB2312" w:cs="仿宋_GB2312" w:eastAsia="仿宋_GB2312"/>
              </w:rPr>
              <w:t>2.电源电压：三相五线制（TN-S系统）380V±10%；频率50Hz±2%。</w:t>
            </w:r>
          </w:p>
          <w:p>
            <w:pPr>
              <w:pStyle w:val="null3"/>
            </w:pPr>
            <w:r>
              <w:rPr>
                <w:rFonts w:ascii="仿宋_GB2312" w:hAnsi="仿宋_GB2312" w:cs="仿宋_GB2312" w:eastAsia="仿宋_GB2312"/>
              </w:rPr>
              <w:t>3.压缩空气压力：0.4-0.6Mpa。</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1.柴油机电涡流测功器试验台</w:t>
            </w:r>
          </w:p>
          <w:p>
            <w:pPr>
              <w:pStyle w:val="null3"/>
            </w:pPr>
            <w:r>
              <w:rPr>
                <w:rFonts w:ascii="仿宋_GB2312" w:hAnsi="仿宋_GB2312" w:cs="仿宋_GB2312" w:eastAsia="仿宋_GB2312"/>
              </w:rPr>
              <w:t>1.1电涡流测功器</w:t>
            </w:r>
          </w:p>
          <w:p>
            <w:pPr>
              <w:pStyle w:val="null3"/>
            </w:pPr>
            <w:r>
              <w:rPr>
                <w:rFonts w:ascii="仿宋_GB2312" w:hAnsi="仿宋_GB2312" w:cs="仿宋_GB2312" w:eastAsia="仿宋_GB2312"/>
              </w:rPr>
              <w:t>▲1.1.1最大吸收功率：≥450kW，最大吸收扭矩：≥2200Nm，最高转速：≥4000 r/min。</w:t>
            </w:r>
          </w:p>
          <w:p>
            <w:pPr>
              <w:pStyle w:val="null3"/>
            </w:pPr>
            <w:r>
              <w:rPr>
                <w:rFonts w:ascii="仿宋_GB2312" w:hAnsi="仿宋_GB2312" w:cs="仿宋_GB2312" w:eastAsia="仿宋_GB2312"/>
              </w:rPr>
              <w:t>1.1.2具有扭矩校正装置、测功器轴承具有超温保护（轴承温度超阈值时自动报警并联动停机或减载），测功器满足现场使用环境温度0-45℃。</w:t>
            </w:r>
          </w:p>
          <w:p>
            <w:pPr>
              <w:pStyle w:val="null3"/>
            </w:pPr>
            <w:r>
              <w:rPr>
                <w:rFonts w:ascii="仿宋_GB2312" w:hAnsi="仿宋_GB2312" w:cs="仿宋_GB2312" w:eastAsia="仿宋_GB2312"/>
              </w:rPr>
              <w:t>1.1.3扭矩响应：测功器扭矩控制应满足发动机性能试验要求，其中稳态控制精度±0.5%F.S，动态响应时间（扭矩阶跃变化90%范围）≤2s，超调量≤5%。</w:t>
            </w:r>
          </w:p>
          <w:p>
            <w:pPr>
              <w:pStyle w:val="null3"/>
            </w:pPr>
            <w:r>
              <w:rPr>
                <w:rFonts w:ascii="仿宋_GB2312" w:hAnsi="仿宋_GB2312" w:cs="仿宋_GB2312" w:eastAsia="仿宋_GB2312"/>
              </w:rPr>
              <w:t>▲1.2典型发动机参数</w:t>
            </w:r>
          </w:p>
          <w:p>
            <w:pPr>
              <w:pStyle w:val="null3"/>
            </w:pPr>
            <w:r>
              <w:rPr>
                <w:rFonts w:ascii="仿宋_GB2312" w:hAnsi="仿宋_GB2312" w:cs="仿宋_GB2312" w:eastAsia="仿宋_GB2312"/>
              </w:rPr>
              <w:t>典型被测的发动机技术参数如下：</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排量/L</w:t>
                  </w:r>
                </w:p>
              </w:tc>
              <w:tc>
                <w:tcPr>
                  <w:tcW w:type="dxa" w:w="638"/>
                </w:tcPr>
                <w:p>
                  <w:pPr>
                    <w:pStyle w:val="null3"/>
                  </w:pPr>
                  <w:r>
                    <w:rPr>
                      <w:rFonts w:ascii="仿宋_GB2312" w:hAnsi="仿宋_GB2312" w:cs="仿宋_GB2312" w:eastAsia="仿宋_GB2312"/>
                    </w:rPr>
                    <w:t>最大扭矩/最大扭矩转速N.m/rpm</w:t>
                  </w:r>
                </w:p>
              </w:tc>
              <w:tc>
                <w:tcPr>
                  <w:tcW w:type="dxa" w:w="638"/>
                </w:tcPr>
                <w:p>
                  <w:pPr>
                    <w:pStyle w:val="null3"/>
                  </w:pPr>
                  <w:r>
                    <w:rPr>
                      <w:rFonts w:ascii="仿宋_GB2312" w:hAnsi="仿宋_GB2312" w:cs="仿宋_GB2312" w:eastAsia="仿宋_GB2312"/>
                    </w:rPr>
                    <w:t>最高转速rpm</w:t>
                  </w:r>
                </w:p>
              </w:tc>
              <w:tc>
                <w:tcPr>
                  <w:tcW w:type="dxa" w:w="638"/>
                </w:tcPr>
                <w:p>
                  <w:pPr>
                    <w:pStyle w:val="null3"/>
                  </w:pPr>
                  <w:r>
                    <w:rPr>
                      <w:rFonts w:ascii="仿宋_GB2312" w:hAnsi="仿宋_GB2312" w:cs="仿宋_GB2312" w:eastAsia="仿宋_GB2312"/>
                    </w:rPr>
                    <w:t>额定功率/额定功率转速kW/rpm</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1100/1000-1600</w:t>
                  </w:r>
                </w:p>
              </w:tc>
              <w:tc>
                <w:tcPr>
                  <w:tcW w:type="dxa" w:w="638"/>
                </w:tcPr>
                <w:p>
                  <w:pPr>
                    <w:pStyle w:val="null3"/>
                  </w:pPr>
                  <w:r>
                    <w:rPr>
                      <w:rFonts w:ascii="仿宋_GB2312" w:hAnsi="仿宋_GB2312" w:cs="仿宋_GB2312" w:eastAsia="仿宋_GB2312"/>
                    </w:rPr>
                    <w:t>4000</w:t>
                  </w:r>
                </w:p>
              </w:tc>
              <w:tc>
                <w:tcPr>
                  <w:tcW w:type="dxa" w:w="638"/>
                </w:tcPr>
                <w:p>
                  <w:pPr>
                    <w:pStyle w:val="null3"/>
                  </w:pPr>
                  <w:r>
                    <w:rPr>
                      <w:rFonts w:ascii="仿宋_GB2312" w:hAnsi="仿宋_GB2312" w:cs="仿宋_GB2312" w:eastAsia="仿宋_GB2312"/>
                    </w:rPr>
                    <w:t>170/2200</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1760/1000-1600</w:t>
                  </w:r>
                </w:p>
              </w:tc>
              <w:tc>
                <w:tcPr>
                  <w:tcW w:type="dxa" w:w="638"/>
                </w:tcPr>
                <w:p>
                  <w:pPr>
                    <w:pStyle w:val="null3"/>
                  </w:pPr>
                  <w:r>
                    <w:rPr>
                      <w:rFonts w:ascii="仿宋_GB2312" w:hAnsi="仿宋_GB2312" w:cs="仿宋_GB2312" w:eastAsia="仿宋_GB2312"/>
                    </w:rPr>
                    <w:t>3000</w:t>
                  </w:r>
                </w:p>
              </w:tc>
              <w:tc>
                <w:tcPr>
                  <w:tcW w:type="dxa" w:w="638"/>
                </w:tcPr>
                <w:p>
                  <w:pPr>
                    <w:pStyle w:val="null3"/>
                  </w:pPr>
                  <w:r>
                    <w:rPr>
                      <w:rFonts w:ascii="仿宋_GB2312" w:hAnsi="仿宋_GB2312" w:cs="仿宋_GB2312" w:eastAsia="仿宋_GB2312"/>
                    </w:rPr>
                    <w:t>266/2100</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1970/1000-1600</w:t>
                  </w:r>
                </w:p>
              </w:tc>
              <w:tc>
                <w:tcPr>
                  <w:tcW w:type="dxa" w:w="638"/>
                </w:tcPr>
                <w:p>
                  <w:pPr>
                    <w:pStyle w:val="null3"/>
                  </w:pPr>
                  <w:r>
                    <w:rPr>
                      <w:rFonts w:ascii="仿宋_GB2312" w:hAnsi="仿宋_GB2312" w:cs="仿宋_GB2312" w:eastAsia="仿宋_GB2312"/>
                    </w:rPr>
                    <w:t>3000</w:t>
                  </w:r>
                </w:p>
              </w:tc>
              <w:tc>
                <w:tcPr>
                  <w:tcW w:type="dxa" w:w="638"/>
                </w:tcPr>
                <w:p>
                  <w:pPr>
                    <w:pStyle w:val="null3"/>
                  </w:pPr>
                  <w:r>
                    <w:rPr>
                      <w:rFonts w:ascii="仿宋_GB2312" w:hAnsi="仿宋_GB2312" w:cs="仿宋_GB2312" w:eastAsia="仿宋_GB2312"/>
                    </w:rPr>
                    <w:t>353/2100</w:t>
                  </w:r>
                </w:p>
              </w:tc>
            </w:tr>
          </w:tbl>
          <w:p>
            <w:pPr>
              <w:pStyle w:val="null3"/>
            </w:pPr>
            <w:r>
              <w:rPr>
                <w:rFonts w:ascii="仿宋_GB2312" w:hAnsi="仿宋_GB2312" w:cs="仿宋_GB2312" w:eastAsia="仿宋_GB2312"/>
              </w:rPr>
              <w:t>1.3静校装置：能在现场对扭矩测量系统进行机械方式标定，标定系统时应保证扭矩拉力传感器安全，精度不低于满量程的3%。配置的静校装置，至少包括校正臂、砝码盘和标准砝码。砝码≥10块，每块20kg。</w:t>
            </w:r>
          </w:p>
          <w:p>
            <w:pPr>
              <w:pStyle w:val="null3"/>
            </w:pPr>
            <w:r>
              <w:rPr>
                <w:rFonts w:ascii="仿宋_GB2312" w:hAnsi="仿宋_GB2312" w:cs="仿宋_GB2312" w:eastAsia="仿宋_GB2312"/>
              </w:rPr>
              <w:t>2.台架自动化测控系统</w:t>
            </w:r>
          </w:p>
          <w:p>
            <w:pPr>
              <w:pStyle w:val="null3"/>
            </w:pPr>
            <w:r>
              <w:rPr>
                <w:rFonts w:ascii="仿宋_GB2312" w:hAnsi="仿宋_GB2312" w:cs="仿宋_GB2312" w:eastAsia="仿宋_GB2312"/>
              </w:rPr>
              <w:t>配备测控系统软件，须支持对发动机和测功器的有效控制，并实现试验数据的采集与输出。该测控系统软件应具备对被试动力设备及测功器的远程控制功能，支持各项数据的采集、记录及报表输出，并可利用所记录的数据绘制各种特性曲线。其主要功能包括但不限于：(1)建立显示参数和数据库参数；(2)调整显示参数的显示位置；(3)调整显示参数显示框的大小；(4)分别可以调整显示框里的名称、值、单位的显示大小；(5)调整显示字符的字体、字号、字体颜色、背景颜色；(6)设置数据来源的设备名称以及采集序号；(7)设置数据的小数点位数；(8)设置数据的采集方式（分测量值，填入值，计算值）；人为公式定义；(9)设置报警和保护参数等。</w:t>
            </w:r>
          </w:p>
          <w:p>
            <w:pPr>
              <w:pStyle w:val="null3"/>
            </w:pPr>
            <w:r>
              <w:rPr>
                <w:rFonts w:ascii="仿宋_GB2312" w:hAnsi="仿宋_GB2312" w:cs="仿宋_GB2312" w:eastAsia="仿宋_GB2312"/>
              </w:rPr>
              <w:t>3.控制单元</w:t>
            </w:r>
          </w:p>
          <w:p>
            <w:pPr>
              <w:pStyle w:val="null3"/>
            </w:pPr>
            <w:r>
              <w:rPr>
                <w:rFonts w:ascii="仿宋_GB2312" w:hAnsi="仿宋_GB2312" w:cs="仿宋_GB2312" w:eastAsia="仿宋_GB2312"/>
              </w:rPr>
              <w:t>3.1系统采用发动机油门控制回路和测功器控制回路双闭环数字PID控制，系统设置控制面板，在不同控制方式相互切换时，应实现无扰动切换；随机切换时，响应速度快、运行稳定。</w:t>
            </w:r>
          </w:p>
          <w:p>
            <w:pPr>
              <w:pStyle w:val="null3"/>
            </w:pPr>
            <w:r>
              <w:rPr>
                <w:rFonts w:ascii="仿宋_GB2312" w:hAnsi="仿宋_GB2312" w:cs="仿宋_GB2312" w:eastAsia="仿宋_GB2312"/>
              </w:rPr>
              <w:t>3.2系统须能同时显示转速、扭矩的设定命令值与实际测量值。试验过程中应支持随时进行控制参数的在线变换；操作应简便，通过预设功能键即可选择台架运转、停车、加载等状态进行操作。</w:t>
            </w:r>
          </w:p>
          <w:p>
            <w:pPr>
              <w:pStyle w:val="null3"/>
            </w:pPr>
            <w:r>
              <w:rPr>
                <w:rFonts w:ascii="仿宋_GB2312" w:hAnsi="仿宋_GB2312" w:cs="仿宋_GB2312" w:eastAsia="仿宋_GB2312"/>
              </w:rPr>
              <w:t>3.3控制单元为模块化设计，配备液晶显示器和功能按钮；支持同时显示转速、扭矩和油门位置的设定命令值和实际测量值；试验过程中支持随时进行控制参数的变换；</w:t>
            </w:r>
          </w:p>
          <w:p>
            <w:pPr>
              <w:pStyle w:val="null3"/>
            </w:pPr>
            <w:r>
              <w:rPr>
                <w:rFonts w:ascii="仿宋_GB2312" w:hAnsi="仿宋_GB2312" w:cs="仿宋_GB2312" w:eastAsia="仿宋_GB2312"/>
              </w:rPr>
              <w:t>3.4控制方式切换使用按键方式，扭矩、转速调节使用旋钮方式，旋钮需选用增量式编码器。显示屏上应设置光栅模拟指示，实时显示旋钮的设定值。</w:t>
            </w:r>
          </w:p>
          <w:p>
            <w:pPr>
              <w:pStyle w:val="null3"/>
            </w:pPr>
            <w:r>
              <w:rPr>
                <w:rFonts w:ascii="仿宋_GB2312" w:hAnsi="仿宋_GB2312" w:cs="仿宋_GB2312" w:eastAsia="仿宋_GB2312"/>
              </w:rPr>
              <w:t>3.5控制方式切换：支持手动及外部信号两种方式进行上述控制方式的无扰动、随机动态切换。须可实现测功机控制器与油门控制器的以下五种组合控制方式：</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组合控制方式</w:t>
                  </w:r>
                </w:p>
              </w:tc>
              <w:tc>
                <w:tcPr>
                  <w:tcW w:type="dxa" w:w="851"/>
                </w:tcPr>
                <w:p>
                  <w:pPr>
                    <w:pStyle w:val="null3"/>
                  </w:pPr>
                  <w:r>
                    <w:rPr>
                      <w:rFonts w:ascii="仿宋_GB2312" w:hAnsi="仿宋_GB2312" w:cs="仿宋_GB2312" w:eastAsia="仿宋_GB2312"/>
                    </w:rPr>
                    <w:t>测功机控制方式</w:t>
                  </w:r>
                </w:p>
              </w:tc>
              <w:tc>
                <w:tcPr>
                  <w:tcW w:type="dxa" w:w="851"/>
                </w:tcPr>
                <w:p>
                  <w:pPr>
                    <w:pStyle w:val="null3"/>
                  </w:pPr>
                  <w:r>
                    <w:rPr>
                      <w:rFonts w:ascii="仿宋_GB2312" w:hAnsi="仿宋_GB2312" w:cs="仿宋_GB2312" w:eastAsia="仿宋_GB2312"/>
                    </w:rPr>
                    <w:t>发动机油门控制方式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0</w:t>
                  </w:r>
                </w:p>
              </w:tc>
              <w:tc>
                <w:tcPr>
                  <w:tcW w:type="dxa" w:w="851"/>
                </w:tcPr>
                <w:p>
                  <w:pPr>
                    <w:pStyle w:val="null3"/>
                  </w:pPr>
                  <w:r>
                    <w:rPr>
                      <w:rFonts w:ascii="仿宋_GB2312" w:hAnsi="仿宋_GB2312" w:cs="仿宋_GB2312" w:eastAsia="仿宋_GB2312"/>
                    </w:rPr>
                    <w:t>0（怠速工况）</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N（恒转速）</w:t>
                  </w:r>
                </w:p>
              </w:tc>
              <w:tc>
                <w:tcPr>
                  <w:tcW w:type="dxa" w:w="851"/>
                </w:tcPr>
                <w:p>
                  <w:pPr>
                    <w:pStyle w:val="null3"/>
                  </w:pPr>
                  <w:r>
                    <w:rPr>
                      <w:rFonts w:ascii="仿宋_GB2312" w:hAnsi="仿宋_GB2312" w:cs="仿宋_GB2312" w:eastAsia="仿宋_GB2312"/>
                    </w:rPr>
                    <w:t>a（恒油门位置）</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N（恒转速）</w:t>
                  </w:r>
                </w:p>
              </w:tc>
              <w:tc>
                <w:tcPr>
                  <w:tcW w:type="dxa" w:w="851"/>
                </w:tcPr>
                <w:p>
                  <w:pPr>
                    <w:pStyle w:val="null3"/>
                  </w:pPr>
                  <w:r>
                    <w:rPr>
                      <w:rFonts w:ascii="仿宋_GB2312" w:hAnsi="仿宋_GB2312" w:cs="仿宋_GB2312" w:eastAsia="仿宋_GB2312"/>
                    </w:rPr>
                    <w:t>M（恒扭矩）</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M（恒扭矩）</w:t>
                  </w:r>
                </w:p>
              </w:tc>
              <w:tc>
                <w:tcPr>
                  <w:tcW w:type="dxa" w:w="851"/>
                </w:tcPr>
                <w:p>
                  <w:pPr>
                    <w:pStyle w:val="null3"/>
                  </w:pPr>
                  <w:r>
                    <w:rPr>
                      <w:rFonts w:ascii="仿宋_GB2312" w:hAnsi="仿宋_GB2312" w:cs="仿宋_GB2312" w:eastAsia="仿宋_GB2312"/>
                    </w:rPr>
                    <w:t>N（恒转速）</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M（恒扭矩）</w:t>
                  </w:r>
                </w:p>
              </w:tc>
              <w:tc>
                <w:tcPr>
                  <w:tcW w:type="dxa" w:w="851"/>
                </w:tcPr>
                <w:p>
                  <w:pPr>
                    <w:pStyle w:val="null3"/>
                  </w:pPr>
                  <w:r>
                    <w:rPr>
                      <w:rFonts w:ascii="仿宋_GB2312" w:hAnsi="仿宋_GB2312" w:cs="仿宋_GB2312" w:eastAsia="仿宋_GB2312"/>
                    </w:rPr>
                    <w:t>a（恒油门位置）</w:t>
                  </w:r>
                </w:p>
              </w:tc>
            </w:tr>
          </w:tbl>
          <w:p>
            <w:pPr>
              <w:pStyle w:val="null3"/>
            </w:pPr>
            <w:r>
              <w:rPr>
                <w:rFonts w:ascii="仿宋_GB2312" w:hAnsi="仿宋_GB2312" w:cs="仿宋_GB2312" w:eastAsia="仿宋_GB2312"/>
              </w:rPr>
              <w:t>4.工控机</w:t>
            </w:r>
          </w:p>
          <w:p>
            <w:pPr>
              <w:pStyle w:val="null3"/>
            </w:pPr>
            <w:r>
              <w:rPr>
                <w:rFonts w:ascii="仿宋_GB2312" w:hAnsi="仿宋_GB2312" w:cs="仿宋_GB2312" w:eastAsia="仿宋_GB2312"/>
              </w:rPr>
              <w:t>4.1 CPU：八核3.6G以上</w:t>
            </w:r>
          </w:p>
          <w:p>
            <w:pPr>
              <w:pStyle w:val="null3"/>
            </w:pPr>
            <w:r>
              <w:rPr>
                <w:rFonts w:ascii="仿宋_GB2312" w:hAnsi="仿宋_GB2312" w:cs="仿宋_GB2312" w:eastAsia="仿宋_GB2312"/>
              </w:rPr>
              <w:t>4.2 硬盘：≥1TB</w:t>
            </w:r>
          </w:p>
          <w:p>
            <w:pPr>
              <w:pStyle w:val="null3"/>
            </w:pPr>
            <w:r>
              <w:rPr>
                <w:rFonts w:ascii="仿宋_GB2312" w:hAnsi="仿宋_GB2312" w:cs="仿宋_GB2312" w:eastAsia="仿宋_GB2312"/>
              </w:rPr>
              <w:t>4.3 RAM:≥8GB</w:t>
            </w:r>
          </w:p>
          <w:p>
            <w:pPr>
              <w:pStyle w:val="null3"/>
            </w:pPr>
            <w:r>
              <w:rPr>
                <w:rFonts w:ascii="仿宋_GB2312" w:hAnsi="仿宋_GB2312" w:cs="仿宋_GB2312" w:eastAsia="仿宋_GB2312"/>
              </w:rPr>
              <w:t>4.4串口数量不小于4个</w:t>
            </w:r>
          </w:p>
          <w:p>
            <w:pPr>
              <w:pStyle w:val="null3"/>
            </w:pPr>
            <w:r>
              <w:rPr>
                <w:rFonts w:ascii="仿宋_GB2312" w:hAnsi="仿宋_GB2312" w:cs="仿宋_GB2312" w:eastAsia="仿宋_GB2312"/>
              </w:rPr>
              <w:t>4.5配备鼠标和键盘</w:t>
            </w:r>
          </w:p>
          <w:p>
            <w:pPr>
              <w:pStyle w:val="null3"/>
            </w:pPr>
            <w:r>
              <w:rPr>
                <w:rFonts w:ascii="仿宋_GB2312" w:hAnsi="仿宋_GB2312" w:cs="仿宋_GB2312" w:eastAsia="仿宋_GB2312"/>
              </w:rPr>
              <w:t>4.6双网卡：100MB/10MB以便与排放和实验室网络同时连接</w:t>
            </w:r>
          </w:p>
          <w:p>
            <w:pPr>
              <w:pStyle w:val="null3"/>
            </w:pPr>
            <w:r>
              <w:rPr>
                <w:rFonts w:ascii="仿宋_GB2312" w:hAnsi="仿宋_GB2312" w:cs="仿宋_GB2312" w:eastAsia="仿宋_GB2312"/>
              </w:rPr>
              <w:t>4.7显示卡：≥4G/支持双显</w:t>
            </w:r>
          </w:p>
          <w:p>
            <w:pPr>
              <w:pStyle w:val="null3"/>
            </w:pPr>
            <w:r>
              <w:rPr>
                <w:rFonts w:ascii="仿宋_GB2312" w:hAnsi="仿宋_GB2312" w:cs="仿宋_GB2312" w:eastAsia="仿宋_GB2312"/>
              </w:rPr>
              <w:t>4.8显示器：≥40英寸4K大屏显示器。</w:t>
            </w:r>
          </w:p>
          <w:p>
            <w:pPr>
              <w:pStyle w:val="null3"/>
            </w:pPr>
            <w:r>
              <w:rPr>
                <w:rFonts w:ascii="仿宋_GB2312" w:hAnsi="仿宋_GB2312" w:cs="仿宋_GB2312" w:eastAsia="仿宋_GB2312"/>
              </w:rPr>
              <w:t>5.测量系统供电单元UPS电源</w:t>
            </w:r>
          </w:p>
          <w:p>
            <w:pPr>
              <w:pStyle w:val="null3"/>
            </w:pPr>
            <w:r>
              <w:rPr>
                <w:rFonts w:ascii="仿宋_GB2312" w:hAnsi="仿宋_GB2312" w:cs="仿宋_GB2312" w:eastAsia="仿宋_GB2312"/>
              </w:rPr>
              <w:t>5.1UPS电源输入电压220VAC±10%，频率50Hz</w:t>
            </w:r>
          </w:p>
          <w:p>
            <w:pPr>
              <w:pStyle w:val="null3"/>
            </w:pPr>
            <w:r>
              <w:rPr>
                <w:rFonts w:ascii="仿宋_GB2312" w:hAnsi="仿宋_GB2312" w:cs="仿宋_GB2312" w:eastAsia="仿宋_GB2312"/>
              </w:rPr>
              <w:t>5.2输出电压：220VAC±2%，容量1KVA。UPS采用模块化结构，可安装于控制柜内。</w:t>
            </w:r>
          </w:p>
          <w:p>
            <w:pPr>
              <w:pStyle w:val="null3"/>
            </w:pPr>
            <w:r>
              <w:rPr>
                <w:rFonts w:ascii="仿宋_GB2312" w:hAnsi="仿宋_GB2312" w:cs="仿宋_GB2312" w:eastAsia="仿宋_GB2312"/>
              </w:rPr>
              <w:t>6.配备工业以太网交换机，支持将测控系统各设备组网通信，端口数量满足系统需求（建议不少于4口）</w:t>
            </w:r>
          </w:p>
          <w:p>
            <w:pPr>
              <w:pStyle w:val="null3"/>
            </w:pPr>
            <w:r>
              <w:rPr>
                <w:rFonts w:ascii="仿宋_GB2312" w:hAnsi="仿宋_GB2312" w:cs="仿宋_GB2312" w:eastAsia="仿宋_GB2312"/>
              </w:rPr>
              <w:t>7.配备立式控制柜，控制柜内安装工控机、操作开关、指示灯及仪表、控制系统电源（UPS）、用户的ECU等。控制柜上配备声光报警灯1套。</w:t>
            </w:r>
          </w:p>
          <w:p>
            <w:pPr>
              <w:pStyle w:val="null3"/>
            </w:pPr>
            <w:r>
              <w:rPr>
                <w:rFonts w:ascii="仿宋_GB2312" w:hAnsi="仿宋_GB2312" w:cs="仿宋_GB2312" w:eastAsia="仿宋_GB2312"/>
              </w:rPr>
              <w:t>8.数据采集模块</w:t>
            </w:r>
          </w:p>
          <w:p>
            <w:pPr>
              <w:pStyle w:val="null3"/>
            </w:pPr>
            <w:r>
              <w:rPr>
                <w:rFonts w:ascii="仿宋_GB2312" w:hAnsi="仿宋_GB2312" w:cs="仿宋_GB2312" w:eastAsia="仿宋_GB2312"/>
              </w:rPr>
              <w:t>8.1温度、压力及湿度等所有参数测量单元须采用网络通讯模式，满足发动机稳态及瞬态试验的数据采集需求。</w:t>
            </w:r>
          </w:p>
          <w:p>
            <w:pPr>
              <w:pStyle w:val="null3"/>
            </w:pPr>
            <w:r>
              <w:rPr>
                <w:rFonts w:ascii="仿宋_GB2312" w:hAnsi="仿宋_GB2312" w:cs="仿宋_GB2312" w:eastAsia="仿宋_GB2312"/>
              </w:rPr>
              <w:t>8.2台架具有的数据采集测量通道能力：</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模块类型</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用途</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常温温度测量（B级精度）</w:t>
                  </w:r>
                </w:p>
              </w:tc>
              <w:tc>
                <w:tcPr>
                  <w:tcW w:type="dxa" w:w="638"/>
                </w:tcPr>
                <w:p>
                  <w:pPr>
                    <w:pStyle w:val="null3"/>
                  </w:pPr>
                  <w:r>
                    <w:rPr>
                      <w:rFonts w:ascii="仿宋_GB2312" w:hAnsi="仿宋_GB2312" w:cs="仿宋_GB2312" w:eastAsia="仿宋_GB2312"/>
                    </w:rPr>
                    <w:t>8路</w:t>
                  </w:r>
                </w:p>
              </w:tc>
              <w:tc>
                <w:tcPr>
                  <w:tcW w:type="dxa" w:w="638"/>
                </w:tcPr>
                <w:p>
                  <w:pPr>
                    <w:pStyle w:val="null3"/>
                  </w:pPr>
                  <w:r>
                    <w:rPr>
                      <w:rFonts w:ascii="仿宋_GB2312" w:hAnsi="仿宋_GB2312" w:cs="仿宋_GB2312" w:eastAsia="仿宋_GB2312"/>
                    </w:rPr>
                    <w:t>PT100热电阻的测量，0～400℃。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高温温度测量（B级精度）</w:t>
                  </w:r>
                </w:p>
              </w:tc>
              <w:tc>
                <w:tcPr>
                  <w:tcW w:type="dxa" w:w="638"/>
                </w:tcPr>
                <w:p>
                  <w:pPr>
                    <w:pStyle w:val="null3"/>
                  </w:pPr>
                  <w:r>
                    <w:rPr>
                      <w:rFonts w:ascii="仿宋_GB2312" w:hAnsi="仿宋_GB2312" w:cs="仿宋_GB2312" w:eastAsia="仿宋_GB2312"/>
                    </w:rPr>
                    <w:t>8路</w:t>
                  </w:r>
                </w:p>
              </w:tc>
              <w:tc>
                <w:tcPr>
                  <w:tcW w:type="dxa" w:w="638"/>
                </w:tcPr>
                <w:p>
                  <w:pPr>
                    <w:pStyle w:val="null3"/>
                  </w:pPr>
                  <w:r>
                    <w:rPr>
                      <w:rFonts w:ascii="仿宋_GB2312" w:hAnsi="仿宋_GB2312" w:cs="仿宋_GB2312" w:eastAsia="仿宋_GB2312"/>
                    </w:rPr>
                    <w:t>K分度热电偶的测量，0～1000℃。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模拟量模块（采集频率≥10Hz）</w:t>
                  </w:r>
                </w:p>
              </w:tc>
              <w:tc>
                <w:tcPr>
                  <w:tcW w:type="dxa" w:w="638"/>
                </w:tcPr>
                <w:p>
                  <w:pPr>
                    <w:pStyle w:val="null3"/>
                  </w:pPr>
                  <w:r>
                    <w:rPr>
                      <w:rFonts w:ascii="仿宋_GB2312" w:hAnsi="仿宋_GB2312" w:cs="仿宋_GB2312" w:eastAsia="仿宋_GB2312"/>
                    </w:rPr>
                    <w:t>16路</w:t>
                  </w:r>
                </w:p>
              </w:tc>
              <w:tc>
                <w:tcPr>
                  <w:tcW w:type="dxa" w:w="638"/>
                </w:tcPr>
                <w:p>
                  <w:pPr>
                    <w:pStyle w:val="null3"/>
                  </w:pPr>
                  <w:r>
                    <w:rPr>
                      <w:rFonts w:ascii="仿宋_GB2312" w:hAnsi="仿宋_GB2312" w:cs="仿宋_GB2312" w:eastAsia="仿宋_GB2312"/>
                    </w:rPr>
                    <w:t xml:space="preserve">电流、电压16位A/D模拟量测量（压力传感器）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开关量模块（采集频率≥10Hz）</w:t>
                  </w:r>
                </w:p>
              </w:tc>
              <w:tc>
                <w:tcPr>
                  <w:tcW w:type="dxa" w:w="638"/>
                </w:tcPr>
                <w:p>
                  <w:pPr>
                    <w:pStyle w:val="null3"/>
                  </w:pPr>
                  <w:r>
                    <w:rPr>
                      <w:rFonts w:ascii="仿宋_GB2312" w:hAnsi="仿宋_GB2312" w:cs="仿宋_GB2312" w:eastAsia="仿宋_GB2312"/>
                    </w:rPr>
                    <w:t>8路</w:t>
                  </w:r>
                </w:p>
              </w:tc>
              <w:tc>
                <w:tcPr>
                  <w:tcW w:type="dxa" w:w="638"/>
                </w:tcPr>
                <w:p>
                  <w:pPr>
                    <w:pStyle w:val="null3"/>
                  </w:pPr>
                  <w:r>
                    <w:rPr>
                      <w:rFonts w:ascii="仿宋_GB2312" w:hAnsi="仿宋_GB2312" w:cs="仿宋_GB2312" w:eastAsia="仿宋_GB2312"/>
                    </w:rPr>
                    <w:t>用于开关量的输入、输出控制。</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模拟量输出（采集频率≥10Hz）</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2路0～10V，2路4～20mA</w:t>
                  </w:r>
                </w:p>
              </w:tc>
            </w:tr>
          </w:tbl>
          <w:p>
            <w:pPr>
              <w:pStyle w:val="null3"/>
            </w:pPr>
            <w:r>
              <w:rPr>
                <w:rFonts w:ascii="仿宋_GB2312" w:hAnsi="仿宋_GB2312" w:cs="仿宋_GB2312" w:eastAsia="仿宋_GB2312"/>
              </w:rPr>
              <w:t>8.3台架具有的压力传感器量程有：</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类型</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量程</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0～10bar(0.25FS%)</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0～15bar(0.25FS%)</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0～5bar(0.25FS%)</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-1～5bar(0.25FS%)</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-1～8bar(0.25FS%)</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-0.25～0.2bar(0.25FS%)</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大气压力传感器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80～120Kpa(0.25FS%)</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大气温度传感器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-40～60℃.(±0.5℃)</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大气湿度传感器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0～100%(3%RH)</w:t>
                  </w:r>
                </w:p>
              </w:tc>
            </w:tr>
          </w:tbl>
          <w:p>
            <w:pPr>
              <w:pStyle w:val="null3"/>
            </w:pPr>
            <w:r>
              <w:rPr>
                <w:rFonts w:ascii="仿宋_GB2312" w:hAnsi="仿宋_GB2312" w:cs="仿宋_GB2312" w:eastAsia="仿宋_GB2312"/>
              </w:rPr>
              <w:t>8.4台架具有的温度传感器有：</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类型</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量程</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PT100温度传感器</w:t>
                  </w:r>
                </w:p>
              </w:tc>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-10～200℃(±0.5℃)</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K温传感器</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0～1000℃(±1℃)</w:t>
                  </w:r>
                </w:p>
              </w:tc>
            </w:tr>
          </w:tbl>
          <w:p>
            <w:pPr>
              <w:pStyle w:val="null3"/>
            </w:pPr>
            <w:r>
              <w:rPr>
                <w:rFonts w:ascii="仿宋_GB2312" w:hAnsi="仿宋_GB2312" w:cs="仿宋_GB2312" w:eastAsia="仿宋_GB2312"/>
              </w:rPr>
              <w:t>9.称重式油耗仪</w:t>
            </w:r>
          </w:p>
          <w:p>
            <w:pPr>
              <w:pStyle w:val="null3"/>
            </w:pPr>
            <w:r>
              <w:rPr>
                <w:rFonts w:ascii="仿宋_GB2312" w:hAnsi="仿宋_GB2312" w:cs="仿宋_GB2312" w:eastAsia="仿宋_GB2312"/>
              </w:rPr>
              <w:t>油耗仪采用称重式测量原理，具备自动补油和自动测量功能，安全可靠。须满足450kW的柴油发动机的试验需求，柴油流量测量范围0～200kg/h，测量精度不低于±1%。</w:t>
            </w:r>
          </w:p>
          <w:p>
            <w:pPr>
              <w:pStyle w:val="null3"/>
            </w:pPr>
            <w:r>
              <w:rPr>
                <w:rFonts w:ascii="仿宋_GB2312" w:hAnsi="仿宋_GB2312" w:cs="仿宋_GB2312" w:eastAsia="仿宋_GB2312"/>
              </w:rPr>
              <w:t>10.电子油门</w:t>
            </w:r>
          </w:p>
          <w:p>
            <w:pPr>
              <w:pStyle w:val="null3"/>
            </w:pPr>
            <w:r>
              <w:rPr>
                <w:rFonts w:ascii="仿宋_GB2312" w:hAnsi="仿宋_GB2312" w:cs="仿宋_GB2312" w:eastAsia="仿宋_GB2312"/>
              </w:rPr>
              <w:t>配备采用电信号控制带有ECU系统柴油机油门开度的“虚拟”油门控制装置的电子油门。控制信号由测控系统输出两路模拟量电压信号（如0-5V及0-2.5V），输出电压可设置。信号由测控系统设定，支持通过系统操作界面手动控制或由程序自动控制。</w:t>
            </w:r>
          </w:p>
          <w:p>
            <w:pPr>
              <w:pStyle w:val="null3"/>
            </w:pPr>
            <w:r>
              <w:rPr>
                <w:rFonts w:ascii="仿宋_GB2312" w:hAnsi="仿宋_GB2312" w:cs="仿宋_GB2312" w:eastAsia="仿宋_GB2312"/>
              </w:rPr>
              <w:t>11.传动轴与防护罩</w:t>
            </w:r>
          </w:p>
          <w:p>
            <w:pPr>
              <w:pStyle w:val="null3"/>
            </w:pPr>
            <w:r>
              <w:rPr>
                <w:rFonts w:ascii="仿宋_GB2312" w:hAnsi="仿宋_GB2312" w:cs="仿宋_GB2312" w:eastAsia="仿宋_GB2312"/>
              </w:rPr>
              <w:t>11.1传动装置位于测功器与发动机之间，为具有一定挠性的传动部件，由联轴器、高弹联轴器、工业传动轴等组成。</w:t>
            </w:r>
          </w:p>
          <w:p>
            <w:pPr>
              <w:pStyle w:val="null3"/>
            </w:pPr>
            <w:r>
              <w:rPr>
                <w:rFonts w:ascii="仿宋_GB2312" w:hAnsi="仿宋_GB2312" w:cs="仿宋_GB2312" w:eastAsia="仿宋_GB2312"/>
              </w:rPr>
              <w:t>▲11.2传动轴及高弹联轴器要求：①联轴器额定扭矩≥3000N.m；②最高转速≥4000r/min。</w:t>
            </w:r>
          </w:p>
          <w:p>
            <w:pPr>
              <w:pStyle w:val="null3"/>
            </w:pPr>
            <w:r>
              <w:rPr>
                <w:rFonts w:ascii="仿宋_GB2312" w:hAnsi="仿宋_GB2312" w:cs="仿宋_GB2312" w:eastAsia="仿宋_GB2312"/>
              </w:rPr>
              <w:t>11.3防护罩要求</w:t>
            </w:r>
          </w:p>
          <w:p>
            <w:pPr>
              <w:pStyle w:val="null3"/>
            </w:pPr>
            <w:r>
              <w:rPr>
                <w:rFonts w:ascii="仿宋_GB2312" w:hAnsi="仿宋_GB2312" w:cs="仿宋_GB2312" w:eastAsia="仿宋_GB2312"/>
              </w:rPr>
              <w:t>11.3.1防护罩主体采用≥5mm厚钢板制作，设计为可打开结构。</w:t>
            </w:r>
          </w:p>
          <w:p>
            <w:pPr>
              <w:pStyle w:val="null3"/>
            </w:pPr>
            <w:r>
              <w:rPr>
                <w:rFonts w:ascii="仿宋_GB2312" w:hAnsi="仿宋_GB2312" w:cs="仿宋_GB2312" w:eastAsia="仿宋_GB2312"/>
              </w:rPr>
              <w:t>11.3.2具备防护罩打开状态下，发动机应无法启动；传动轴发生故障时，系统须能及时向主机发出报警的功能。</w:t>
            </w:r>
          </w:p>
          <w:p>
            <w:pPr>
              <w:pStyle w:val="null3"/>
            </w:pPr>
            <w:r>
              <w:rPr>
                <w:rFonts w:ascii="仿宋_GB2312" w:hAnsi="仿宋_GB2312" w:cs="仿宋_GB2312" w:eastAsia="仿宋_GB2312"/>
              </w:rPr>
              <w:t>12.发动机温度控制测试系统</w:t>
            </w:r>
          </w:p>
          <w:p>
            <w:pPr>
              <w:pStyle w:val="null3"/>
            </w:pPr>
            <w:r>
              <w:rPr>
                <w:rFonts w:ascii="仿宋_GB2312" w:hAnsi="仿宋_GB2312" w:cs="仿宋_GB2312" w:eastAsia="仿宋_GB2312"/>
              </w:rPr>
              <w:t>12.1配备发动机冷却液温控装置（冷却功率≥450kW，管径DN65），装置主体框架使用铝型材框架，结构合理。</w:t>
            </w:r>
          </w:p>
          <w:p>
            <w:pPr>
              <w:pStyle w:val="null3"/>
            </w:pPr>
            <w:r>
              <w:rPr>
                <w:rFonts w:ascii="仿宋_GB2312" w:hAnsi="仿宋_GB2312" w:cs="仿宋_GB2312" w:eastAsia="仿宋_GB2312"/>
              </w:rPr>
              <w:t>12.2冷却液恒温结构包括板式换热器、膨胀水箱、控制阀、液位传感器等核心部件。</w:t>
            </w:r>
          </w:p>
          <w:p>
            <w:pPr>
              <w:pStyle w:val="null3"/>
            </w:pPr>
            <w:r>
              <w:rPr>
                <w:rFonts w:ascii="仿宋_GB2312" w:hAnsi="仿宋_GB2312" w:cs="仿宋_GB2312" w:eastAsia="仿宋_GB2312"/>
              </w:rPr>
              <w:t>12.3温度控制范围70-120℃，控制精度±2℃。</w:t>
            </w:r>
          </w:p>
          <w:p>
            <w:pPr>
              <w:pStyle w:val="null3"/>
            </w:pPr>
            <w:r>
              <w:rPr>
                <w:rFonts w:ascii="仿宋_GB2312" w:hAnsi="仿宋_GB2312" w:cs="仿宋_GB2312" w:eastAsia="仿宋_GB2312"/>
              </w:rPr>
              <w:t>12.4冷却功率：≥450kW</w:t>
            </w:r>
          </w:p>
          <w:p>
            <w:pPr>
              <w:pStyle w:val="null3"/>
            </w:pPr>
            <w:r>
              <w:rPr>
                <w:rFonts w:ascii="仿宋_GB2312" w:hAnsi="仿宋_GB2312" w:cs="仿宋_GB2312" w:eastAsia="仿宋_GB2312"/>
              </w:rPr>
              <w:t>12.5发动机循环冷却介质采用50%乙二醇水溶液，须具备防冻、防腐蚀及热传导性能，满足发动机全工况冷却需求。</w:t>
            </w:r>
          </w:p>
          <w:p>
            <w:pPr>
              <w:pStyle w:val="null3"/>
            </w:pPr>
            <w:r>
              <w:rPr>
                <w:rFonts w:ascii="仿宋_GB2312" w:hAnsi="仿宋_GB2312" w:cs="仿宋_GB2312" w:eastAsia="仿宋_GB2312"/>
              </w:rPr>
              <w:t>12.6发动机运转时，一旦出现冷却液缺失应及时输出报警。</w:t>
            </w:r>
          </w:p>
          <w:p>
            <w:pPr>
              <w:pStyle w:val="null3"/>
            </w:pPr>
            <w:r>
              <w:rPr>
                <w:rFonts w:ascii="仿宋_GB2312" w:hAnsi="仿宋_GB2312" w:cs="仿宋_GB2312" w:eastAsia="仿宋_GB2312"/>
              </w:rPr>
              <w:t>13.中冷温控装置</w:t>
            </w:r>
          </w:p>
          <w:p>
            <w:pPr>
              <w:pStyle w:val="null3"/>
            </w:pPr>
            <w:r>
              <w:rPr>
                <w:rFonts w:ascii="仿宋_GB2312" w:hAnsi="仿宋_GB2312" w:cs="仿宋_GB2312" w:eastAsia="仿宋_GB2312"/>
              </w:rPr>
              <w:t>13.1配备中冷温控装置1套（水空换热、换热面积≥20m²，满足发动机中冷进气温度控制要求）。中冷器温度控制系统采用水空中冷方式实现，装置由中冷器、冷却水系统、中冷器进出口连接管道、温度传感器及控制单元组成。进气中冷器须满足被测柴油发动机的使用要求。主要参数如下所示：</w:t>
            </w:r>
          </w:p>
          <w:p>
            <w:pPr>
              <w:pStyle w:val="null3"/>
            </w:pPr>
            <w:r>
              <w:rPr>
                <w:rFonts w:ascii="仿宋_GB2312" w:hAnsi="仿宋_GB2312" w:cs="仿宋_GB2312" w:eastAsia="仿宋_GB2312"/>
              </w:rPr>
              <w:t>13.2增压空气流量：50～2400m³/h；</w:t>
            </w:r>
          </w:p>
          <w:p>
            <w:pPr>
              <w:pStyle w:val="null3"/>
            </w:pPr>
            <w:r>
              <w:rPr>
                <w:rFonts w:ascii="仿宋_GB2312" w:hAnsi="仿宋_GB2312" w:cs="仿宋_GB2312" w:eastAsia="仿宋_GB2312"/>
              </w:rPr>
              <w:t>13.3温度测量范围：0-150℃；</w:t>
            </w:r>
          </w:p>
          <w:p>
            <w:pPr>
              <w:pStyle w:val="null3"/>
            </w:pPr>
            <w:r>
              <w:rPr>
                <w:rFonts w:ascii="仿宋_GB2312" w:hAnsi="仿宋_GB2312" w:cs="仿宋_GB2312" w:eastAsia="仿宋_GB2312"/>
              </w:rPr>
              <w:t>13.4温度设置范围：发动机全速全负荷要求情况下要求维持在35～55℃范围内；</w:t>
            </w:r>
          </w:p>
          <w:p>
            <w:pPr>
              <w:pStyle w:val="null3"/>
            </w:pPr>
            <w:r>
              <w:rPr>
                <w:rFonts w:ascii="仿宋_GB2312" w:hAnsi="仿宋_GB2312" w:cs="仿宋_GB2312" w:eastAsia="仿宋_GB2312"/>
              </w:rPr>
              <w:t>13.5温度稳态控制精度：±2℃；</w:t>
            </w:r>
          </w:p>
          <w:p>
            <w:pPr>
              <w:pStyle w:val="null3"/>
            </w:pPr>
            <w:r>
              <w:rPr>
                <w:rFonts w:ascii="仿宋_GB2312" w:hAnsi="仿宋_GB2312" w:cs="仿宋_GB2312" w:eastAsia="仿宋_GB2312"/>
              </w:rPr>
              <w:t>13.6测量精度：±1℃；</w:t>
            </w:r>
          </w:p>
          <w:p>
            <w:pPr>
              <w:pStyle w:val="null3"/>
            </w:pPr>
            <w:r>
              <w:rPr>
                <w:rFonts w:ascii="仿宋_GB2312" w:hAnsi="仿宋_GB2312" w:cs="仿宋_GB2312" w:eastAsia="仿宋_GB2312"/>
              </w:rPr>
              <w:t>▲13.7硬件配置</w:t>
            </w:r>
          </w:p>
          <w:p>
            <w:pPr>
              <w:pStyle w:val="null3"/>
            </w:pPr>
            <w:r>
              <w:rPr>
                <w:rFonts w:ascii="仿宋_GB2312" w:hAnsi="仿宋_GB2312" w:cs="仿宋_GB2312" w:eastAsia="仿宋_GB2312"/>
              </w:rPr>
              <w:t>①中冷器：选用国产板翅式水空热交换器，其换热量及空气侧压降等性能参数须满足发动机全工况运行要求。</w:t>
            </w:r>
          </w:p>
          <w:p>
            <w:pPr>
              <w:pStyle w:val="null3"/>
            </w:pPr>
            <w:r>
              <w:rPr>
                <w:rFonts w:ascii="仿宋_GB2312" w:hAnsi="仿宋_GB2312" w:cs="仿宋_GB2312" w:eastAsia="仿宋_GB2312"/>
              </w:rPr>
              <w:t>②温控阀：温控阀并联安装在中冷气路进出口，支持通过调节控制阀开度的方式，实现温控目的。</w:t>
            </w:r>
          </w:p>
          <w:p>
            <w:pPr>
              <w:pStyle w:val="null3"/>
            </w:pPr>
            <w:r>
              <w:rPr>
                <w:rFonts w:ascii="仿宋_GB2312" w:hAnsi="仿宋_GB2312" w:cs="仿宋_GB2312" w:eastAsia="仿宋_GB2312"/>
              </w:rPr>
              <w:t>③压降控制阀：采用手动蝶阀形式，公称压力、连接尺寸及流量特性须与系统管路匹配，用于调节系统背压。</w:t>
            </w:r>
          </w:p>
          <w:p>
            <w:pPr>
              <w:pStyle w:val="null3"/>
            </w:pPr>
            <w:r>
              <w:rPr>
                <w:rFonts w:ascii="仿宋_GB2312" w:hAnsi="仿宋_GB2312" w:cs="仿宋_GB2312" w:eastAsia="仿宋_GB2312"/>
              </w:rPr>
              <w:t>14.发动机安装支架</w:t>
            </w:r>
          </w:p>
          <w:p>
            <w:pPr>
              <w:pStyle w:val="null3"/>
            </w:pPr>
            <w:r>
              <w:rPr>
                <w:rFonts w:ascii="仿宋_GB2312" w:hAnsi="仿宋_GB2312" w:cs="仿宋_GB2312" w:eastAsia="仿宋_GB2312"/>
              </w:rPr>
              <w:t>14.1用于固定被测发动机并实现减振功能。</w:t>
            </w:r>
          </w:p>
          <w:p>
            <w:pPr>
              <w:pStyle w:val="null3"/>
            </w:pPr>
            <w:r>
              <w:rPr>
                <w:rFonts w:ascii="仿宋_GB2312" w:hAnsi="仿宋_GB2312" w:cs="仿宋_GB2312" w:eastAsia="仿宋_GB2312"/>
              </w:rPr>
              <w:t>14.2发动机安装支架配备T形槽底座（≥2件）、可调支腿及上支腿，支持T形槽底座沿台架大底板轴向作前后移动，支持可调支腿沿底座横向T形槽作左右移动，并支持上支腿根据不同发动机支撑方式固定安装于可调支腿上。其技术参数如下：</w:t>
            </w:r>
          </w:p>
          <w:p>
            <w:pPr>
              <w:pStyle w:val="null3"/>
            </w:pPr>
            <w:r>
              <w:rPr>
                <w:rFonts w:ascii="仿宋_GB2312" w:hAnsi="仿宋_GB2312" w:cs="仿宋_GB2312" w:eastAsia="仿宋_GB2312"/>
              </w:rPr>
              <w:t>①最大承载力：≥500kg；②宽度调整范围：250～1000mm；③高度调整范围：300～500mm。</w:t>
            </w:r>
          </w:p>
          <w:p>
            <w:pPr>
              <w:pStyle w:val="null3"/>
            </w:pPr>
            <w:r>
              <w:rPr>
                <w:rFonts w:ascii="仿宋_GB2312" w:hAnsi="仿宋_GB2312" w:cs="仿宋_GB2312" w:eastAsia="仿宋_GB2312"/>
              </w:rPr>
              <w:t>15.台架大底板</w:t>
            </w:r>
          </w:p>
          <w:p>
            <w:pPr>
              <w:pStyle w:val="null3"/>
            </w:pPr>
            <w:r>
              <w:rPr>
                <w:rFonts w:ascii="仿宋_GB2312" w:hAnsi="仿宋_GB2312" w:cs="仿宋_GB2312" w:eastAsia="仿宋_GB2312"/>
              </w:rPr>
              <w:t>台架大底板采用铸铁材质，其上表面为精加工平面，并设有T型槽。底板通过空气弹簧减振器安装于地沟内，其顶面与室内地面标高一致。具体设计参数如下：</w:t>
            </w:r>
          </w:p>
          <w:p>
            <w:pPr>
              <w:pStyle w:val="null3"/>
            </w:pPr>
            <w:r>
              <w:rPr>
                <w:rFonts w:ascii="仿宋_GB2312" w:hAnsi="仿宋_GB2312" w:cs="仿宋_GB2312" w:eastAsia="仿宋_GB2312"/>
              </w:rPr>
              <w:t>15.1大底板参考尺寸：≥4000mm×1600mm×300mm；</w:t>
            </w:r>
          </w:p>
          <w:p>
            <w:pPr>
              <w:pStyle w:val="null3"/>
            </w:pPr>
            <w:r>
              <w:rPr>
                <w:rFonts w:ascii="仿宋_GB2312" w:hAnsi="仿宋_GB2312" w:cs="仿宋_GB2312" w:eastAsia="仿宋_GB2312"/>
              </w:rPr>
              <w:t>15.2铸铁平板材质：不低于HT200；</w:t>
            </w:r>
          </w:p>
          <w:p>
            <w:pPr>
              <w:pStyle w:val="null3"/>
            </w:pPr>
            <w:r>
              <w:rPr>
                <w:rFonts w:ascii="仿宋_GB2312" w:hAnsi="仿宋_GB2312" w:cs="仿宋_GB2312" w:eastAsia="仿宋_GB2312"/>
              </w:rPr>
              <w:t>15.3表面硬度：不小于HB170；</w:t>
            </w:r>
          </w:p>
          <w:p>
            <w:pPr>
              <w:pStyle w:val="null3"/>
            </w:pPr>
            <w:r>
              <w:rPr>
                <w:rFonts w:ascii="仿宋_GB2312" w:hAnsi="仿宋_GB2312" w:cs="仿宋_GB2312" w:eastAsia="仿宋_GB2312"/>
              </w:rPr>
              <w:t>15.4精度等级：不低于2级；</w:t>
            </w:r>
          </w:p>
          <w:p>
            <w:pPr>
              <w:pStyle w:val="null3"/>
            </w:pPr>
            <w:r>
              <w:rPr>
                <w:rFonts w:ascii="仿宋_GB2312" w:hAnsi="仿宋_GB2312" w:cs="仿宋_GB2312" w:eastAsia="仿宋_GB2312"/>
              </w:rPr>
              <w:t>15.5表面进行防锈处理。</w:t>
            </w:r>
          </w:p>
          <w:p>
            <w:pPr>
              <w:pStyle w:val="null3"/>
            </w:pPr>
            <w:r>
              <w:rPr>
                <w:rFonts w:ascii="仿宋_GB2312" w:hAnsi="仿宋_GB2312" w:cs="仿宋_GB2312" w:eastAsia="仿宋_GB2312"/>
              </w:rPr>
              <w:t>▲16.减震系统:配备空气弹簧减震器，固有频率小于4Hz。</w:t>
            </w:r>
          </w:p>
          <w:p>
            <w:pPr>
              <w:pStyle w:val="null3"/>
            </w:pPr>
            <w:r>
              <w:rPr>
                <w:rFonts w:ascii="仿宋_GB2312" w:hAnsi="仿宋_GB2312" w:cs="仿宋_GB2312" w:eastAsia="仿宋_GB2312"/>
              </w:rPr>
              <w:t>17.五气分析仪</w:t>
            </w:r>
          </w:p>
          <w:p>
            <w:pPr>
              <w:pStyle w:val="null3"/>
            </w:pPr>
            <w:r>
              <w:rPr>
                <w:rFonts w:ascii="仿宋_GB2312" w:hAnsi="仿宋_GB2312" w:cs="仿宋_GB2312" w:eastAsia="仿宋_GB2312"/>
              </w:rPr>
              <w:t>配备五气分析仪，支持同时测定排气中的 HC、CO、CO₂、O₂、NO 五组分浓度值，测量范围和精度如下：</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测量范围</w:t>
                  </w:r>
                </w:p>
              </w:tc>
              <w:tc>
                <w:tcPr>
                  <w:tcW w:type="dxa" w:w="511"/>
                </w:tcPr>
                <w:p>
                  <w:pPr>
                    <w:pStyle w:val="null3"/>
                  </w:pPr>
                  <w:r>
                    <w:rPr>
                      <w:rFonts w:ascii="仿宋_GB2312" w:hAnsi="仿宋_GB2312" w:cs="仿宋_GB2312" w:eastAsia="仿宋_GB2312"/>
                    </w:rPr>
                    <w:t>分辨率</w:t>
                  </w:r>
                </w:p>
              </w:tc>
              <w:tc>
                <w:tcPr>
                  <w:tcW w:type="dxa" w:w="1022"/>
                  <w:gridSpan w:val="2"/>
                </w:tcPr>
                <w:p>
                  <w:pPr>
                    <w:pStyle w:val="null3"/>
                  </w:pPr>
                  <w:r>
                    <w:rPr>
                      <w:rFonts w:ascii="仿宋_GB2312" w:hAnsi="仿宋_GB2312" w:cs="仿宋_GB2312" w:eastAsia="仿宋_GB2312"/>
                    </w:rPr>
                    <w:t>测量精度</w:t>
                  </w:r>
                </w:p>
              </w:tc>
            </w:tr>
            <w:tr>
              <w:tc>
                <w:tcPr>
                  <w:tcW w:type="dxa" w:w="511"/>
                </w:tcPr>
                <w:p>
                  <w:pPr>
                    <w:pStyle w:val="null3"/>
                  </w:pPr>
                  <w:r>
                    <w:rPr>
                      <w:rFonts w:ascii="仿宋_GB2312" w:hAnsi="仿宋_GB2312" w:cs="仿宋_GB2312" w:eastAsia="仿宋_GB2312"/>
                    </w:rPr>
                    <w:t>HC</w:t>
                  </w:r>
                </w:p>
              </w:tc>
              <w:tc>
                <w:tcPr>
                  <w:tcW w:type="dxa" w:w="511"/>
                </w:tcPr>
                <w:p>
                  <w:pPr>
                    <w:pStyle w:val="null3"/>
                  </w:pPr>
                  <w:r>
                    <w:rPr>
                      <w:rFonts w:ascii="仿宋_GB2312" w:hAnsi="仿宋_GB2312" w:cs="仿宋_GB2312" w:eastAsia="仿宋_GB2312"/>
                    </w:rPr>
                    <w:t>0~10000*10</w:t>
                  </w:r>
                  <w:r>
                    <w:rPr>
                      <w:rFonts w:ascii="仿宋_GB2312" w:hAnsi="仿宋_GB2312" w:cs="仿宋_GB2312" w:eastAsia="仿宋_GB2312"/>
                      <w:vertAlign w:val="superscript"/>
                    </w:rPr>
                    <w:t>-6</w:t>
                  </w:r>
                  <w:r>
                    <w:rPr>
                      <w:rFonts w:ascii="仿宋_GB2312" w:hAnsi="仿宋_GB2312" w:cs="仿宋_GB2312" w:eastAsia="仿宋_GB2312"/>
                    </w:rPr>
                    <w:t>(ppm)vol</w:t>
                  </w:r>
                </w:p>
              </w:tc>
              <w:tc>
                <w:tcPr>
                  <w:tcW w:type="dxa" w:w="511"/>
                </w:tcPr>
                <w:p>
                  <w:pPr>
                    <w:pStyle w:val="null3"/>
                  </w:pPr>
                  <w:r>
                    <w:rPr>
                      <w:rFonts w:ascii="仿宋_GB2312" w:hAnsi="仿宋_GB2312" w:cs="仿宋_GB2312" w:eastAsia="仿宋_GB2312"/>
                    </w:rPr>
                    <w:t>1*10</w:t>
                  </w:r>
                  <w:r>
                    <w:rPr>
                      <w:rFonts w:ascii="仿宋_GB2312" w:hAnsi="仿宋_GB2312" w:cs="仿宋_GB2312" w:eastAsia="仿宋_GB2312"/>
                      <w:vertAlign w:val="superscript"/>
                    </w:rPr>
                    <w:t>-6</w:t>
                  </w:r>
                </w:p>
              </w:tc>
              <w:tc>
                <w:tcPr>
                  <w:tcW w:type="dxa" w:w="511"/>
                </w:tcPr>
                <w:p>
                  <w:pPr>
                    <w:pStyle w:val="null3"/>
                  </w:pPr>
                  <w:r>
                    <w:rPr>
                      <w:rFonts w:ascii="仿宋_GB2312" w:hAnsi="仿宋_GB2312" w:cs="仿宋_GB2312" w:eastAsia="仿宋_GB2312"/>
                    </w:rPr>
                    <w:t>HC</w:t>
                  </w:r>
                </w:p>
              </w:tc>
              <w:tc>
                <w:tcPr>
                  <w:tcW w:type="dxa" w:w="511"/>
                </w:tcPr>
                <w:p>
                  <w:pPr>
                    <w:pStyle w:val="null3"/>
                  </w:pPr>
                  <w:r>
                    <w:rPr>
                      <w:rFonts w:ascii="仿宋_GB2312" w:hAnsi="仿宋_GB2312" w:cs="仿宋_GB2312" w:eastAsia="仿宋_GB2312"/>
                    </w:rPr>
                    <w:t>±10*10</w:t>
                  </w:r>
                  <w:r>
                    <w:rPr>
                      <w:rFonts w:ascii="仿宋_GB2312" w:hAnsi="仿宋_GB2312" w:cs="仿宋_GB2312" w:eastAsia="仿宋_GB2312"/>
                      <w:vertAlign w:val="superscript"/>
                    </w:rPr>
                    <w:t>-6</w:t>
                  </w:r>
                  <w:r>
                    <w:rPr>
                      <w:rFonts w:ascii="仿宋_GB2312" w:hAnsi="仿宋_GB2312" w:cs="仿宋_GB2312" w:eastAsia="仿宋_GB2312"/>
                    </w:rPr>
                    <w:t>或±5%</w:t>
                  </w:r>
                </w:p>
              </w:tc>
            </w:tr>
            <w:tr>
              <w:tc>
                <w:tcPr>
                  <w:tcW w:type="dxa" w:w="511"/>
                </w:tcPr>
                <w:p>
                  <w:pPr>
                    <w:pStyle w:val="null3"/>
                  </w:pPr>
                  <w:r>
                    <w:rPr>
                      <w:rFonts w:ascii="仿宋_GB2312" w:hAnsi="仿宋_GB2312" w:cs="仿宋_GB2312" w:eastAsia="仿宋_GB2312"/>
                    </w:rPr>
                    <w:t>CO</w:t>
                  </w:r>
                </w:p>
              </w:tc>
              <w:tc>
                <w:tcPr>
                  <w:tcW w:type="dxa" w:w="511"/>
                </w:tcPr>
                <w:p>
                  <w:pPr>
                    <w:pStyle w:val="null3"/>
                  </w:pPr>
                  <w:r>
                    <w:rPr>
                      <w:rFonts w:ascii="仿宋_GB2312" w:hAnsi="仿宋_GB2312" w:cs="仿宋_GB2312" w:eastAsia="仿宋_GB2312"/>
                    </w:rPr>
                    <w:t>0~14*10</w:t>
                  </w:r>
                  <w:r>
                    <w:rPr>
                      <w:rFonts w:ascii="仿宋_GB2312" w:hAnsi="仿宋_GB2312" w:cs="仿宋_GB2312" w:eastAsia="仿宋_GB2312"/>
                      <w:vertAlign w:val="superscript"/>
                    </w:rPr>
                    <w:t>-2</w:t>
                  </w:r>
                  <w:r>
                    <w:rPr>
                      <w:rFonts w:ascii="仿宋_GB2312" w:hAnsi="仿宋_GB2312" w:cs="仿宋_GB2312" w:eastAsia="仿宋_GB2312"/>
                    </w:rPr>
                    <w:t>(%)vol</w:t>
                  </w:r>
                </w:p>
              </w:tc>
              <w:tc>
                <w:tcPr>
                  <w:tcW w:type="dxa" w:w="511"/>
                </w:tcPr>
                <w:p>
                  <w:pPr>
                    <w:pStyle w:val="null3"/>
                  </w:pPr>
                  <w:r>
                    <w:rPr>
                      <w:rFonts w:ascii="仿宋_GB2312" w:hAnsi="仿宋_GB2312" w:cs="仿宋_GB2312" w:eastAsia="仿宋_GB2312"/>
                    </w:rPr>
                    <w:t>0.001%</w:t>
                  </w:r>
                </w:p>
              </w:tc>
              <w:tc>
                <w:tcPr>
                  <w:tcW w:type="dxa" w:w="511"/>
                </w:tcPr>
                <w:p>
                  <w:pPr>
                    <w:pStyle w:val="null3"/>
                  </w:pPr>
                  <w:r>
                    <w:rPr>
                      <w:rFonts w:ascii="仿宋_GB2312" w:hAnsi="仿宋_GB2312" w:cs="仿宋_GB2312" w:eastAsia="仿宋_GB2312"/>
                    </w:rPr>
                    <w:t>CO</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CO2</w:t>
                  </w:r>
                </w:p>
              </w:tc>
              <w:tc>
                <w:tcPr>
                  <w:tcW w:type="dxa" w:w="511"/>
                </w:tcPr>
                <w:p>
                  <w:pPr>
                    <w:pStyle w:val="null3"/>
                  </w:pPr>
                  <w:r>
                    <w:rPr>
                      <w:rFonts w:ascii="仿宋_GB2312" w:hAnsi="仿宋_GB2312" w:cs="仿宋_GB2312" w:eastAsia="仿宋_GB2312"/>
                    </w:rPr>
                    <w:t>0~18*10</w:t>
                  </w:r>
                  <w:r>
                    <w:rPr>
                      <w:rFonts w:ascii="仿宋_GB2312" w:hAnsi="仿宋_GB2312" w:cs="仿宋_GB2312" w:eastAsia="仿宋_GB2312"/>
                      <w:vertAlign w:val="superscript"/>
                    </w:rPr>
                    <w:t>-2</w:t>
                  </w:r>
                  <w:r>
                    <w:rPr>
                      <w:rFonts w:ascii="仿宋_GB2312" w:hAnsi="仿宋_GB2312" w:cs="仿宋_GB2312" w:eastAsia="仿宋_GB2312"/>
                    </w:rPr>
                    <w:t>(%)vol</w:t>
                  </w:r>
                </w:p>
              </w:tc>
              <w:tc>
                <w:tcPr>
                  <w:tcW w:type="dxa" w:w="511"/>
                </w:tcPr>
                <w:p>
                  <w:pPr>
                    <w:pStyle w:val="null3"/>
                  </w:pPr>
                  <w:r>
                    <w:rPr>
                      <w:rFonts w:ascii="仿宋_GB2312" w:hAnsi="仿宋_GB2312" w:cs="仿宋_GB2312" w:eastAsia="仿宋_GB2312"/>
                    </w:rPr>
                    <w:t>0.01%</w:t>
                  </w:r>
                </w:p>
              </w:tc>
              <w:tc>
                <w:tcPr>
                  <w:tcW w:type="dxa" w:w="511"/>
                </w:tcPr>
                <w:p>
                  <w:pPr>
                    <w:pStyle w:val="null3"/>
                  </w:pPr>
                  <w:r>
                    <w:rPr>
                      <w:rFonts w:ascii="仿宋_GB2312" w:hAnsi="仿宋_GB2312" w:cs="仿宋_GB2312" w:eastAsia="仿宋_GB2312"/>
                    </w:rPr>
                    <w:t>CO</w:t>
                  </w:r>
                  <w:r>
                    <w:rPr>
                      <w:rFonts w:ascii="仿宋_GB2312" w:hAnsi="仿宋_GB2312" w:cs="仿宋_GB2312" w:eastAsia="仿宋_GB2312"/>
                      <w:vertAlign w:val="subscript"/>
                    </w:rPr>
                    <w:t>2</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O2</w:t>
                  </w:r>
                </w:p>
              </w:tc>
              <w:tc>
                <w:tcPr>
                  <w:tcW w:type="dxa" w:w="511"/>
                </w:tcPr>
                <w:p>
                  <w:pPr>
                    <w:pStyle w:val="null3"/>
                  </w:pPr>
                  <w:r>
                    <w:rPr>
                      <w:rFonts w:ascii="仿宋_GB2312" w:hAnsi="仿宋_GB2312" w:cs="仿宋_GB2312" w:eastAsia="仿宋_GB2312"/>
                    </w:rPr>
                    <w:t>0~25*10</w:t>
                  </w:r>
                  <w:r>
                    <w:rPr>
                      <w:rFonts w:ascii="仿宋_GB2312" w:hAnsi="仿宋_GB2312" w:cs="仿宋_GB2312" w:eastAsia="仿宋_GB2312"/>
                      <w:vertAlign w:val="superscript"/>
                    </w:rPr>
                    <w:t>-2</w:t>
                  </w:r>
                  <w:r>
                    <w:rPr>
                      <w:rFonts w:ascii="仿宋_GB2312" w:hAnsi="仿宋_GB2312" w:cs="仿宋_GB2312" w:eastAsia="仿宋_GB2312"/>
                    </w:rPr>
                    <w:t>(%)vol</w:t>
                  </w:r>
                </w:p>
              </w:tc>
              <w:tc>
                <w:tcPr>
                  <w:tcW w:type="dxa" w:w="511"/>
                </w:tcPr>
                <w:p>
                  <w:pPr>
                    <w:pStyle w:val="null3"/>
                  </w:pPr>
                  <w:r>
                    <w:rPr>
                      <w:rFonts w:ascii="仿宋_GB2312" w:hAnsi="仿宋_GB2312" w:cs="仿宋_GB2312" w:eastAsia="仿宋_GB2312"/>
                    </w:rPr>
                    <w:t>0.02%</w:t>
                  </w:r>
                </w:p>
              </w:tc>
              <w:tc>
                <w:tcPr>
                  <w:tcW w:type="dxa" w:w="511"/>
                </w:tcPr>
                <w:p>
                  <w:pPr>
                    <w:pStyle w:val="null3"/>
                  </w:pPr>
                  <w:r>
                    <w:rPr>
                      <w:rFonts w:ascii="仿宋_GB2312" w:hAnsi="仿宋_GB2312" w:cs="仿宋_GB2312" w:eastAsia="仿宋_GB2312"/>
                    </w:rPr>
                    <w:t>O</w:t>
                  </w:r>
                  <w:r>
                    <w:rPr>
                      <w:rFonts w:ascii="仿宋_GB2312" w:hAnsi="仿宋_GB2312" w:cs="仿宋_GB2312" w:eastAsia="仿宋_GB2312"/>
                      <w:vertAlign w:val="subscript"/>
                    </w:rPr>
                    <w:t>2</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NO</w:t>
                  </w:r>
                </w:p>
              </w:tc>
              <w:tc>
                <w:tcPr>
                  <w:tcW w:type="dxa" w:w="511"/>
                </w:tcPr>
                <w:p>
                  <w:pPr>
                    <w:pStyle w:val="null3"/>
                  </w:pPr>
                  <w:r>
                    <w:rPr>
                      <w:rFonts w:ascii="仿宋_GB2312" w:hAnsi="仿宋_GB2312" w:cs="仿宋_GB2312" w:eastAsia="仿宋_GB2312"/>
                    </w:rPr>
                    <w:t>0~5000*10</w:t>
                  </w:r>
                  <w:r>
                    <w:rPr>
                      <w:rFonts w:ascii="仿宋_GB2312" w:hAnsi="仿宋_GB2312" w:cs="仿宋_GB2312" w:eastAsia="仿宋_GB2312"/>
                      <w:vertAlign w:val="superscript"/>
                    </w:rPr>
                    <w:t>-6</w:t>
                  </w:r>
                  <w:r>
                    <w:rPr>
                      <w:rFonts w:ascii="仿宋_GB2312" w:hAnsi="仿宋_GB2312" w:cs="仿宋_GB2312" w:eastAsia="仿宋_GB2312"/>
                    </w:rPr>
                    <w:t>(ppm)vol</w:t>
                  </w:r>
                </w:p>
              </w:tc>
              <w:tc>
                <w:tcPr>
                  <w:tcW w:type="dxa" w:w="511"/>
                </w:tcPr>
                <w:p>
                  <w:pPr>
                    <w:pStyle w:val="null3"/>
                  </w:pPr>
                  <w:r>
                    <w:rPr>
                      <w:rFonts w:ascii="仿宋_GB2312" w:hAnsi="仿宋_GB2312" w:cs="仿宋_GB2312" w:eastAsia="仿宋_GB2312"/>
                    </w:rPr>
                    <w:t>1*10</w:t>
                  </w:r>
                  <w:r>
                    <w:rPr>
                      <w:rFonts w:ascii="仿宋_GB2312" w:hAnsi="仿宋_GB2312" w:cs="仿宋_GB2312" w:eastAsia="仿宋_GB2312"/>
                      <w:vertAlign w:val="superscript"/>
                    </w:rPr>
                    <w:t>-6</w:t>
                  </w:r>
                </w:p>
              </w:tc>
              <w:tc>
                <w:tcPr>
                  <w:tcW w:type="dxa" w:w="511"/>
                </w:tcPr>
                <w:p>
                  <w:pPr>
                    <w:pStyle w:val="null3"/>
                  </w:pPr>
                  <w:r>
                    <w:rPr>
                      <w:rFonts w:ascii="仿宋_GB2312" w:hAnsi="仿宋_GB2312" w:cs="仿宋_GB2312" w:eastAsia="仿宋_GB2312"/>
                    </w:rPr>
                    <w:t>NO</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AFR</w:t>
                  </w:r>
                </w:p>
              </w:tc>
              <w:tc>
                <w:tcPr>
                  <w:tcW w:type="dxa" w:w="511"/>
                </w:tcPr>
                <w:p>
                  <w:pPr>
                    <w:pStyle w:val="null3"/>
                  </w:pPr>
                  <w:r>
                    <w:rPr>
                      <w:rFonts w:ascii="仿宋_GB2312" w:hAnsi="仿宋_GB2312" w:cs="仿宋_GB2312" w:eastAsia="仿宋_GB2312"/>
                    </w:rPr>
                    <w:t>5.0~30</w:t>
                  </w:r>
                </w:p>
              </w:tc>
              <w:tc>
                <w:tcPr>
                  <w:tcW w:type="dxa" w:w="511"/>
                </w:tcPr>
                <w:p>
                  <w:pPr>
                    <w:pStyle w:val="null3"/>
                  </w:pPr>
                  <w:r>
                    <w:rPr>
                      <w:rFonts w:ascii="仿宋_GB2312" w:hAnsi="仿宋_GB2312" w:cs="仿宋_GB2312" w:eastAsia="仿宋_GB2312"/>
                    </w:rPr>
                    <w:t>0.1</w:t>
                  </w:r>
                </w:p>
              </w:tc>
              <w:tc>
                <w:tcPr>
                  <w:tcW w:type="dxa" w:w="1022"/>
                  <w:gridSpan w:val="2"/>
                </w:tcPr>
                <w:p>
                  <w:pPr>
                    <w:pStyle w:val="null3"/>
                  </w:pPr>
                  <w:r>
                    <w:rPr>
                      <w:rFonts w:ascii="仿宋_GB2312" w:hAnsi="仿宋_GB2312" w:cs="仿宋_GB2312" w:eastAsia="仿宋_GB2312"/>
                    </w:rPr>
                    <w:t>响应时间≤10s</w:t>
                  </w:r>
                </w:p>
              </w:tc>
            </w:tr>
            <w:tr>
              <w:tc>
                <w:tcPr>
                  <w:tcW w:type="dxa" w:w="511"/>
                </w:tcPr>
                <w:p>
                  <w:pPr>
                    <w:pStyle w:val="null3"/>
                  </w:pPr>
                  <w:r>
                    <w:rPr>
                      <w:rFonts w:ascii="仿宋_GB2312" w:hAnsi="仿宋_GB2312" w:cs="仿宋_GB2312" w:eastAsia="仿宋_GB2312"/>
                    </w:rPr>
                    <w:t>λ</w:t>
                  </w:r>
                </w:p>
              </w:tc>
              <w:tc>
                <w:tcPr>
                  <w:tcW w:type="dxa" w:w="511"/>
                </w:tcPr>
                <w:p>
                  <w:pPr>
                    <w:pStyle w:val="null3"/>
                  </w:pPr>
                  <w:r>
                    <w:rPr>
                      <w:rFonts w:ascii="仿宋_GB2312" w:hAnsi="仿宋_GB2312" w:cs="仿宋_GB2312" w:eastAsia="仿宋_GB2312"/>
                    </w:rPr>
                    <w:t>0.5~25</w:t>
                  </w:r>
                </w:p>
              </w:tc>
              <w:tc>
                <w:tcPr>
                  <w:tcW w:type="dxa" w:w="511"/>
                </w:tcPr>
                <w:p>
                  <w:pPr>
                    <w:pStyle w:val="null3"/>
                  </w:pPr>
                  <w:r>
                    <w:rPr>
                      <w:rFonts w:ascii="仿宋_GB2312" w:hAnsi="仿宋_GB2312" w:cs="仿宋_GB2312" w:eastAsia="仿宋_GB2312"/>
                    </w:rPr>
                    <w:t>0.001</w:t>
                  </w:r>
                </w:p>
              </w:tc>
              <w:tc>
                <w:tcPr>
                  <w:tcW w:type="dxa" w:w="1022"/>
                  <w:gridSpan w:val="2"/>
                </w:tcPr>
                <w:p>
                  <w:pPr>
                    <w:pStyle w:val="null3"/>
                  </w:pPr>
                  <w:r>
                    <w:rPr>
                      <w:rFonts w:ascii="仿宋_GB2312" w:hAnsi="仿宋_GB2312" w:cs="仿宋_GB2312" w:eastAsia="仿宋_GB2312"/>
                    </w:rPr>
                    <w:t>电源：AC100~220V</w:t>
                  </w:r>
                </w:p>
              </w:tc>
            </w:tr>
            <w:tr>
              <w:tc>
                <w:tcPr>
                  <w:tcW w:type="dxa" w:w="511"/>
                </w:tcPr>
                <w:p>
                  <w:pPr>
                    <w:pStyle w:val="null3"/>
                  </w:pPr>
                  <w:r>
                    <w:rPr>
                      <w:rFonts w:ascii="仿宋_GB2312" w:hAnsi="仿宋_GB2312" w:cs="仿宋_GB2312" w:eastAsia="仿宋_GB2312"/>
                    </w:rPr>
                    <w:t>油温</w:t>
                  </w:r>
                </w:p>
              </w:tc>
              <w:tc>
                <w:tcPr>
                  <w:tcW w:type="dxa" w:w="511"/>
                </w:tcPr>
                <w:p>
                  <w:pPr>
                    <w:pStyle w:val="null3"/>
                  </w:pPr>
                  <w:r>
                    <w:rPr>
                      <w:rFonts w:ascii="仿宋_GB2312" w:hAnsi="仿宋_GB2312" w:cs="仿宋_GB2312" w:eastAsia="仿宋_GB2312"/>
                    </w:rPr>
                    <w:t>0~200℃</w:t>
                  </w:r>
                </w:p>
              </w:tc>
              <w:tc>
                <w:tcPr>
                  <w:tcW w:type="dxa" w:w="511"/>
                </w:tcPr>
                <w:p>
                  <w:pPr>
                    <w:pStyle w:val="null3"/>
                  </w:pPr>
                  <w:r>
                    <w:rPr>
                      <w:rFonts w:ascii="仿宋_GB2312" w:hAnsi="仿宋_GB2312" w:cs="仿宋_GB2312" w:eastAsia="仿宋_GB2312"/>
                    </w:rPr>
                    <w:t>0.1℃</w:t>
                  </w:r>
                </w:p>
              </w:tc>
              <w:tc>
                <w:tcPr>
                  <w:tcW w:type="dxa" w:w="1022"/>
                  <w:gridSpan w:val="2"/>
                </w:tcPr>
                <w:p>
                  <w:pPr>
                    <w:pStyle w:val="null3"/>
                  </w:pPr>
                  <w:r>
                    <w:rPr>
                      <w:rFonts w:ascii="仿宋_GB2312" w:hAnsi="仿宋_GB2312" w:cs="仿宋_GB2312" w:eastAsia="仿宋_GB2312"/>
                    </w:rPr>
                    <w:t>输出：至少具备RS232接口</w:t>
                  </w:r>
                </w:p>
              </w:tc>
            </w:tr>
          </w:tbl>
          <w:p>
            <w:pPr>
              <w:pStyle w:val="null3"/>
            </w:pPr>
            <w:r>
              <w:rPr>
                <w:rFonts w:ascii="仿宋_GB2312" w:hAnsi="仿宋_GB2312" w:cs="仿宋_GB2312" w:eastAsia="仿宋_GB2312"/>
              </w:rPr>
              <w:t>18.烟度计</w:t>
            </w:r>
          </w:p>
          <w:p>
            <w:pPr>
              <w:pStyle w:val="null3"/>
            </w:pPr>
            <w:r>
              <w:rPr>
                <w:rFonts w:ascii="仿宋_GB2312" w:hAnsi="仿宋_GB2312" w:cs="仿宋_GB2312" w:eastAsia="仿宋_GB2312"/>
              </w:rPr>
              <w:t>配备烟度计，支持对排气可见污染物进行连续采样测试，并直接得到测量结果。主要技术参数：</w:t>
            </w:r>
          </w:p>
          <w:p>
            <w:pPr>
              <w:pStyle w:val="null3"/>
            </w:pPr>
            <w:r>
              <w:rPr>
                <w:rFonts w:ascii="仿宋_GB2312" w:hAnsi="仿宋_GB2312" w:cs="仿宋_GB2312" w:eastAsia="仿宋_GB2312"/>
              </w:rPr>
              <w:t>18.1测量范围：不透光度N:0～99.9%;光吸收系数K:0～16m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pPr>
            <w:r>
              <w:rPr>
                <w:rFonts w:ascii="仿宋_GB2312" w:hAnsi="仿宋_GB2312" w:cs="仿宋_GB2312" w:eastAsia="仿宋_GB2312"/>
              </w:rPr>
              <w:t>18.2分辨率:不透光度N：同等或优于0.1%;光吸收系数K：同等或优于0.01m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pPr>
            <w:r>
              <w:rPr>
                <w:rFonts w:ascii="仿宋_GB2312" w:hAnsi="仿宋_GB2312" w:cs="仿宋_GB2312" w:eastAsia="仿宋_GB2312"/>
              </w:rPr>
              <w:t>18.3准确性：±1%</w:t>
            </w:r>
          </w:p>
          <w:p>
            <w:pPr>
              <w:pStyle w:val="null3"/>
            </w:pPr>
            <w:r>
              <w:rPr>
                <w:rFonts w:ascii="仿宋_GB2312" w:hAnsi="仿宋_GB2312" w:cs="仿宋_GB2312" w:eastAsia="仿宋_GB2312"/>
              </w:rPr>
              <w:t>18.4稳定性：±1%/h</w:t>
            </w:r>
          </w:p>
          <w:p>
            <w:pPr>
              <w:pStyle w:val="null3"/>
            </w:pPr>
            <w:r>
              <w:rPr>
                <w:rFonts w:ascii="仿宋_GB2312" w:hAnsi="仿宋_GB2312" w:cs="仿宋_GB2312" w:eastAsia="仿宋_GB2312"/>
              </w:rPr>
              <w:t>18.5输出：至少具备RS232接口（或USB/以太网等接口），支持数据实时传输。</w:t>
            </w:r>
          </w:p>
          <w:p>
            <w:pPr>
              <w:pStyle w:val="null3"/>
            </w:pPr>
            <w:r>
              <w:rPr>
                <w:rFonts w:ascii="仿宋_GB2312" w:hAnsi="仿宋_GB2312" w:cs="仿宋_GB2312" w:eastAsia="仿宋_GB2312"/>
              </w:rPr>
              <w:t>18.6电源电压：AC220V±10% 50Hz±1%</w:t>
            </w:r>
          </w:p>
          <w:p>
            <w:pPr>
              <w:pStyle w:val="null3"/>
            </w:pPr>
            <w:r>
              <w:rPr>
                <w:rFonts w:ascii="仿宋_GB2312" w:hAnsi="仿宋_GB2312" w:cs="仿宋_GB2312" w:eastAsia="仿宋_GB2312"/>
              </w:rPr>
              <w:t>四、资料的提供</w:t>
            </w:r>
          </w:p>
          <w:p>
            <w:pPr>
              <w:pStyle w:val="null3"/>
            </w:pPr>
            <w:r>
              <w:rPr>
                <w:rFonts w:ascii="仿宋_GB2312" w:hAnsi="仿宋_GB2312" w:cs="仿宋_GB2312" w:eastAsia="仿宋_GB2312"/>
              </w:rPr>
              <w:t>卖方须随设备提供以下技术资料（纸质版及电子版各≥2套，电子版存储于U盘）：</w:t>
            </w:r>
          </w:p>
          <w:p>
            <w:pPr>
              <w:pStyle w:val="null3"/>
            </w:pPr>
            <w:r>
              <w:rPr>
                <w:rFonts w:ascii="仿宋_GB2312" w:hAnsi="仿宋_GB2312" w:cs="仿宋_GB2312" w:eastAsia="仿宋_GB2312"/>
              </w:rPr>
              <w:t>1.主机及配套件清单：含设备及所有附件、备件、专用工具的名称、型号、规格、数量等；</w:t>
            </w:r>
          </w:p>
          <w:p>
            <w:pPr>
              <w:pStyle w:val="null3"/>
            </w:pPr>
            <w:r>
              <w:rPr>
                <w:rFonts w:ascii="仿宋_GB2312" w:hAnsi="仿宋_GB2312" w:cs="仿宋_GB2312" w:eastAsia="仿宋_GB2312"/>
              </w:rPr>
              <w:t>2.安装及使用手册：含电路图、机械结构图、液压或气动原理图、操作手册、维护保养手册等；</w:t>
            </w:r>
          </w:p>
          <w:p>
            <w:pPr>
              <w:pStyle w:val="null3"/>
            </w:pPr>
            <w:r>
              <w:rPr>
                <w:rFonts w:ascii="仿宋_GB2312" w:hAnsi="仿宋_GB2312" w:cs="仿宋_GB2312" w:eastAsia="仿宋_GB2312"/>
              </w:rPr>
              <w:t>3.检验及合格证明：含出厂检验报告（主要技术参数及性能数据）、设备及主要配套件合格证、测量仪器校准证书等；</w:t>
            </w:r>
          </w:p>
          <w:p>
            <w:pPr>
              <w:pStyle w:val="null3"/>
            </w:pPr>
            <w:r>
              <w:rPr>
                <w:rFonts w:ascii="仿宋_GB2312" w:hAnsi="仿宋_GB2312" w:cs="仿宋_GB2312" w:eastAsia="仿宋_GB2312"/>
              </w:rPr>
              <w:t>4.软件及技术文档：测控系统软件安装包、操作手册、数据通信协议说明（如有）；</w:t>
            </w:r>
          </w:p>
          <w:p>
            <w:pPr>
              <w:pStyle w:val="null3"/>
            </w:pPr>
            <w:r>
              <w:rPr>
                <w:rFonts w:ascii="仿宋_GB2312" w:hAnsi="仿宋_GB2312" w:cs="仿宋_GB2312" w:eastAsia="仿宋_GB2312"/>
              </w:rPr>
              <w:t>5.推荐备件清单：易损件及备件清单（含型号、数量、更换周期、供应商信息）；</w:t>
            </w:r>
          </w:p>
          <w:p>
            <w:pPr>
              <w:pStyle w:val="null3"/>
            </w:pPr>
            <w:r>
              <w:rPr>
                <w:rFonts w:ascii="仿宋_GB2312" w:hAnsi="仿宋_GB2312" w:cs="仿宋_GB2312" w:eastAsia="仿宋_GB2312"/>
              </w:rPr>
              <w:t>6.其他：卖方认为有必要提供的其他技术文件。</w:t>
            </w:r>
          </w:p>
          <w:p>
            <w:pPr>
              <w:pStyle w:val="null3"/>
            </w:pPr>
            <w:r>
              <w:rPr>
                <w:rFonts w:ascii="仿宋_GB2312" w:hAnsi="仿宋_GB2312" w:cs="仿宋_GB2312" w:eastAsia="仿宋_GB2312"/>
              </w:rPr>
              <w:t>五、技术培训</w:t>
            </w:r>
          </w:p>
          <w:p>
            <w:pPr>
              <w:pStyle w:val="null3"/>
            </w:pPr>
            <w:r>
              <w:rPr>
                <w:rFonts w:ascii="仿宋_GB2312" w:hAnsi="仿宋_GB2312" w:cs="仿宋_GB2312" w:eastAsia="仿宋_GB2312"/>
              </w:rPr>
              <w:t>1.供应商须提供不少于30学时的现场实操培训，培训人数不少于5人（由买方指定），培训内容包括但不限于：</w:t>
            </w:r>
          </w:p>
          <w:p>
            <w:pPr>
              <w:pStyle w:val="null3"/>
            </w:pPr>
            <w:r>
              <w:rPr>
                <w:rFonts w:ascii="仿宋_GB2312" w:hAnsi="仿宋_GB2312" w:cs="仿宋_GB2312" w:eastAsia="仿宋_GB2312"/>
              </w:rPr>
              <w:t>(1)设备安装与系统配置；</w:t>
            </w:r>
          </w:p>
          <w:p>
            <w:pPr>
              <w:pStyle w:val="null3"/>
            </w:pPr>
            <w:r>
              <w:rPr>
                <w:rFonts w:ascii="仿宋_GB2312" w:hAnsi="仿宋_GB2312" w:cs="仿宋_GB2312" w:eastAsia="仿宋_GB2312"/>
              </w:rPr>
              <w:t>(2)应用功能操作及设备运行操作；</w:t>
            </w:r>
          </w:p>
          <w:p>
            <w:pPr>
              <w:pStyle w:val="null3"/>
            </w:pPr>
            <w:r>
              <w:rPr>
                <w:rFonts w:ascii="仿宋_GB2312" w:hAnsi="仿宋_GB2312" w:cs="仿宋_GB2312" w:eastAsia="仿宋_GB2312"/>
              </w:rPr>
              <w:t>(3)日常维护与维修保养；</w:t>
            </w:r>
          </w:p>
          <w:p>
            <w:pPr>
              <w:pStyle w:val="null3"/>
            </w:pPr>
            <w:r>
              <w:rPr>
                <w:rFonts w:ascii="仿宋_GB2312" w:hAnsi="仿宋_GB2312" w:cs="仿宋_GB2312" w:eastAsia="仿宋_GB2312"/>
              </w:rPr>
              <w:t>(4)仪器校准与标定操作；</w:t>
            </w:r>
          </w:p>
          <w:p>
            <w:pPr>
              <w:pStyle w:val="null3"/>
            </w:pPr>
            <w:r>
              <w:rPr>
                <w:rFonts w:ascii="仿宋_GB2312" w:hAnsi="仿宋_GB2312" w:cs="仿宋_GB2312" w:eastAsia="仿宋_GB2312"/>
              </w:rPr>
              <w:t>(5)安全操作规程；</w:t>
            </w:r>
          </w:p>
          <w:p>
            <w:pPr>
              <w:pStyle w:val="null3"/>
            </w:pPr>
            <w:r>
              <w:rPr>
                <w:rFonts w:ascii="仿宋_GB2312" w:hAnsi="仿宋_GB2312" w:cs="仿宋_GB2312" w:eastAsia="仿宋_GB2312"/>
              </w:rPr>
              <w:t>(6)常见故障诊断与应急处理。</w:t>
            </w:r>
          </w:p>
          <w:p>
            <w:pPr>
              <w:pStyle w:val="null3"/>
            </w:pPr>
            <w:r>
              <w:rPr>
                <w:rFonts w:ascii="仿宋_GB2312" w:hAnsi="仿宋_GB2312" w:cs="仿宋_GB2312" w:eastAsia="仿宋_GB2312"/>
              </w:rPr>
              <w:t>2.培训结束后，供应商须提供完整的培训资料（含操作手册、培训PPT、视频教程等），并确保参训人员能够独立操作设备。</w:t>
            </w:r>
          </w:p>
          <w:p>
            <w:pPr>
              <w:pStyle w:val="null3"/>
            </w:pPr>
            <w:r>
              <w:rPr>
                <w:rFonts w:ascii="仿宋_GB2312" w:hAnsi="仿宋_GB2312" w:cs="仿宋_GB2312" w:eastAsia="仿宋_GB2312"/>
              </w:rPr>
              <w:t>3.上述培训相关费用（含讲师费、差旅费、培训资料费等）均由供应商承担，已包含在投标总价中。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合同签订后90个日历日内完成项目交付。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涉及到的计量仪器应在交货时提供计量检测报告。自项目验收合格之日起两年内中标人负责设备的二次搬迁及安装调试工作。1.预验收：设备制造完成后，供应商负责通知买方在供应商处对设备进行预验收，预验收合格后方可发货。2.验收安排：①一次验收（到场验收）：设备运抵买方指定地点后，双方根据到场设备清单及设备外观进行验收，确认设备数量、型号及外观完好性。②临时场地测试：因买方场地建设进度影响，设备可能暂不具备安装调试条件。卖方须配合买方在临时场地（由买方提供或卖方协助搭建）开展一次验收测试，测试内容至少包括：(1)设备通电及启动功能；(2)关键性能指标（如测量精度、响应时间、控制稳定性等，具体见技术协议）(3)安全保护功能验证。③测试结果有效性：一次验收测试结果作为设备符合技术要求的依据。一次验收合格后，设备方可进入待安装状态。④责任说明：一次验收不免除卖方在最终验收中的责任。最终验收仍按终验收条款执行，因临时场地测试条件限制未能验证的项目，须在最终验收时补充测试。⑤费用承担：上述一次验收、临时场地测试及可能产生的搬运、调试等全部费用，均包括在投标总价中，买方无需另行支付。3.终验收①最终验收在设备安装调试完成且具备运行条件后45个工作日内完成。②依据技术协议及一次验收测试结果，对设备功能、精度等指标进行全面验收。③最终验收合格后，双方签署最终验收报告，设备正式交付。④因买方场地原因导致无法及时安装调试的，终验收时间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自项目最终验收合格之日起，硬件质保2年，软件终身提供原厂质保和升级服务(费用包含在本项目报价中，后续不额外收费)。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 3.5.2本包主要标的同核心产品。根据法律规定，中标公告须公布主要标的的名称、品牌、规格型号、数量、单价。 3.5.3其他补充说明：安装调试：①设备须在合同签订后3个月内到达买方指定地点。②设备运输，卸货，搬运，安装调试均由卖方提供；③产品需安装在用户所指定的场地内；④设备在用户现场的安装、调试和技术指导工作由供应商派技术熟练工程师进行安装，买方配合卖方在用户处的调试工作；⑤设备到货且具备安装调试条件后，卖方应在30天内完成所有安装调试工作。保修期及售后服务：①在质保期间，系统及设备发生任何非人为原因造成的故障和损坏，均由供货方负责免费修复，失效零件予以免费更换。②需供货方派员来用户方现场维修时，则用户方以传真、电子邮件或书面函件等方式通知供货方，供货方应在24小时内响应，5个工作日内派员抵达用户方免费实施修理。③在项目验收后在质保期内，供货方须提供不少于每年2次的设备巡检服务。 3.5.4本项目落实《国务院办公厅关于在政府采购中实施本国产品标准及相关政策的通知》-(国办发[2025]34号)政策: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根据投标人对3.3技术参数与性能指标的响应情况进行评审： ①标“▲”参数共5项，投标人满足参数要求的每项得3分，满分15分。 ②非“▲项参数”参数（以投标人的技术响应偏离表响应情况为准），得分=（投标人满足采购人要求的非“▲项参数”参数数量/非“▲项参数”参数总数量）×35分，满分35分。得分保留小数点后两位数，小数点后第三位四舍五入。 备注： 1.标注“▲”号参数须提供佐证材料，若技术指标明确佐证材料要求的，需按照技术指标要求提供佐证材料。未明确的，佐证材料可为检测报告或产品彩页或官网截图或加盖生产厂家公章的技术证明材料。 2.佐证材料与技术响应偏离表响应内容不一致的，以佐证材料为准。同一指标提供佐证材料内容不一致的，以最不利于投标人的情形进行评审。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投标人提供针对本项目的实施方案，包括但不限于①供货组织安排、物力调配及保障措施；②实施步骤、进度计划和保证措施；③安装调试方案；④验收方案等。 满足项目实施需求，无瑕疵，计4分； 每存在一处瑕疵扣0.5分； 存在8处及以上瑕疵或全部内容均未提供，不计分。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投标人针对本项目提供开发技术方案，方案应至少包括但不限于①技术路线；②各主要部件的组装结构设计考量；③平台安全保障方案等。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投标人针对本项目提供质量保证方案，方案应至少包括但不限于①产品性能；②软硬件适配方案；③产品运行保障承诺等。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①本地化服务能力说明、售后服务范围及保障措施；②各类问题响应时间、解决失效；③保修期外至全寿命周期内零配件及备品备件供应方案；④设备巡检服务计划等。 满足项目实施需求，无瑕疵，计4分； 每存在一处瑕疵扣0.5分； 存在8处及以上瑕疵或全部内容均未提供，不计分。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备注：1.投标文件中提供合同扫描件加盖公章。2.同类项目是指合同中包含与本项目设备核心功能相同或相近的设备。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详见附件：8质量保证方案.docx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