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版本号：SXHC2026-11220260623001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福莱特项目临时连通路工程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SXHC2026-112</w:t>
      </w:r>
      <w:r>
        <w:br/>
      </w:r>
      <w:r>
        <w:br/>
      </w:r>
      <w:r>
        <w:br/>
      </w:r>
    </w:p>
    <w:p>
      <w:pPr>
        <w:pStyle w:val="null3"/>
        <w:jc w:val="center"/>
        <w:outlineLvl w:val="2"/>
      </w:pPr>
      <w:r>
        <w:rPr>
          <w:rFonts w:ascii="仿宋_GB2312" w:hAnsi="仿宋_GB2312" w:cs="仿宋_GB2312" w:eastAsia="仿宋_GB2312"/>
          <w:sz w:val="28"/>
          <w:b/>
        </w:rPr>
        <w:t>西安高新技术产业开发区公共项目建设管理中心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福莱特项目临时连通路工程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福莱特项目临时连通路工程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完成本项目施工、材料设备供应、运输、安装、调试、验收、质保及相关服务。包括施工图范围内全部临时道路施工，含路基处理、路面铺设、土路肩施工、场地清理、临时设施及相关配套工作。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采购包1（福莱特项目临时连通路工程）：属于专门面向中小企业采购。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2、企业资质：供应商具备建设行政主管部门颁发的市政公用工程施工总承包三级及以上资质证书，及有效的安全生产许可证。</w:t>
      </w:r>
    </w:p>
    <w:p>
      <w:pPr>
        <w:pStyle w:val="null3"/>
      </w:pPr>
      <w:r>
        <w:rPr>
          <w:rFonts w:ascii="仿宋_GB2312" w:hAnsi="仿宋_GB2312" w:cs="仿宋_GB2312" w:eastAsia="仿宋_GB2312"/>
        </w:rPr>
        <w:t>3、拟派项目负责人资质和专业：证书等级：二级（含二级）以上建造师注册证 专业：市政公用工程专业 补充说明：具备有效的安全生产考核合格证书（B证） , 且在本单位注册，无在建项目（提供承诺书）。</w:t>
      </w:r>
    </w:p>
    <w:p>
      <w:pPr>
        <w:pStyle w:val="null3"/>
      </w:pPr>
      <w:r>
        <w:rPr>
          <w:rFonts w:ascii="仿宋_GB2312" w:hAnsi="仿宋_GB2312" w:cs="仿宋_GB2312" w:eastAsia="仿宋_GB2312"/>
        </w:rPr>
        <w:t>4、基本信息查询：供应商基本信息及项目负责人的基本信息在“全国建筑市场监管公共服务平台”可查询且无不良记录。</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13193357245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采购包1：667,105.83元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代理服务费参照《国家计委关于印发&lt;招标代理服务收费管理暂行办法&gt;的通知》（计价格〔2002〕1980号）和发改办价格〔2003〕857号以及发改价格〔2011〕534号文中规定的标准执行，按差额定率累进法收取费用，100万以下按1.0%收取，100万-500万按0.7%收取。代理服务费缴纳信息如下： 银行户名：陕西华采招标有限公司 开户行名称：招商银行陕西自贸试验区西安高新科技支行 行号：308791011305 账 号：129905942210666 联系人：韩工 联系电话：029-68255920-802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667,105.83</w:t>
      </w:r>
    </w:p>
    <w:p>
      <w:pPr>
        <w:pStyle w:val="null3"/>
      </w:pPr>
      <w:r>
        <w:rPr>
          <w:rFonts w:ascii="仿宋_GB2312" w:hAnsi="仿宋_GB2312" w:cs="仿宋_GB2312" w:eastAsia="仿宋_GB2312"/>
        </w:rPr>
        <w:t>采购包最高限价（元）: 667,105.83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福莱特项目临时连通路工程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667,105.83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标的名称：福莱特项目临时连通路工程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color w:val="000000"/>
              </w:rPr>
              <w:t>一、项目概况</w:t>
            </w:r>
          </w:p>
          <w:p>
            <w:pPr>
              <w:pStyle w:val="null3"/>
              <w:ind w:firstLine="400"/>
              <w:jc w:val="left"/>
            </w:pPr>
            <w:r>
              <w:rPr>
                <w:rFonts w:ascii="仿宋_GB2312" w:hAnsi="仿宋_GB2312" w:cs="仿宋_GB2312" w:eastAsia="仿宋_GB2312"/>
                <w:sz w:val="20"/>
                <w:color w:val="000000"/>
              </w:rPr>
              <w:t>（一）项目概况：</w:t>
            </w:r>
            <w:r>
              <w:rPr>
                <w:rFonts w:ascii="仿宋_GB2312" w:hAnsi="仿宋_GB2312" w:cs="仿宋_GB2312" w:eastAsia="仿宋_GB2312"/>
                <w:sz w:val="20"/>
                <w:color w:val="000000"/>
              </w:rPr>
              <w:t>福莱特项目临时连通路工程</w:t>
            </w:r>
          </w:p>
          <w:p>
            <w:pPr>
              <w:pStyle w:val="null3"/>
              <w:ind w:firstLine="400"/>
              <w:jc w:val="left"/>
            </w:pPr>
            <w:r>
              <w:rPr>
                <w:rFonts w:ascii="仿宋_GB2312" w:hAnsi="仿宋_GB2312" w:cs="仿宋_GB2312" w:eastAsia="仿宋_GB2312"/>
                <w:sz w:val="20"/>
              </w:rPr>
              <w:t>（二）</w:t>
            </w:r>
            <w:r>
              <w:rPr>
                <w:rFonts w:ascii="仿宋_GB2312" w:hAnsi="仿宋_GB2312" w:cs="仿宋_GB2312" w:eastAsia="仿宋_GB2312"/>
                <w:sz w:val="20"/>
              </w:rPr>
              <w:t>合同履行期限</w:t>
            </w:r>
            <w:r>
              <w:rPr>
                <w:rFonts w:ascii="仿宋_GB2312" w:hAnsi="仿宋_GB2312" w:cs="仿宋_GB2312" w:eastAsia="仿宋_GB2312"/>
                <w:sz w:val="20"/>
              </w:rPr>
              <w:t>：</w:t>
            </w:r>
            <w:r>
              <w:rPr>
                <w:rFonts w:ascii="仿宋_GB2312" w:hAnsi="仿宋_GB2312" w:cs="仿宋_GB2312" w:eastAsia="仿宋_GB2312"/>
                <w:sz w:val="20"/>
              </w:rPr>
              <w:t>合同签订之日起至项目竣工验收结束、各项资料移交完毕为止，其中施工工期：自合同签订之日起</w:t>
            </w:r>
            <w:r>
              <w:rPr>
                <w:rFonts w:ascii="仿宋_GB2312" w:hAnsi="仿宋_GB2312" w:cs="仿宋_GB2312" w:eastAsia="仿宋_GB2312"/>
                <w:sz w:val="20"/>
              </w:rPr>
              <w:t>30个日历天（具体以开工通知为准）。</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）项目建设地点：西安市高新区，西起丰二东路（鄠邑段），东至福莱特金属科技中心项目南出口。</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）质量标准：</w:t>
            </w:r>
            <w:r>
              <w:rPr>
                <w:rFonts w:ascii="仿宋_GB2312" w:hAnsi="仿宋_GB2312" w:cs="仿宋_GB2312" w:eastAsia="仿宋_GB2312"/>
                <w:sz w:val="20"/>
              </w:rPr>
              <w:t>符合国家、行业、地方规定的质量和安全标准要求。</w:t>
            </w:r>
          </w:p>
          <w:p>
            <w:pPr>
              <w:pStyle w:val="null3"/>
              <w:ind w:firstLine="400"/>
              <w:jc w:val="left"/>
            </w:pPr>
            <w:r>
              <w:rPr>
                <w:rFonts w:ascii="仿宋_GB2312" w:hAnsi="仿宋_GB2312" w:cs="仿宋_GB2312" w:eastAsia="仿宋_GB2312"/>
                <w:sz w:val="20"/>
              </w:rPr>
              <w:t>备注：凡涉及的相关规范，国家有最新标准的以最新标准为准。</w:t>
            </w:r>
          </w:p>
          <w:p>
            <w:pPr>
              <w:pStyle w:val="null3"/>
              <w:ind w:firstLine="402"/>
              <w:jc w:val="left"/>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）项目暂列金：</w:t>
            </w:r>
            <w:r>
              <w:rPr>
                <w:rFonts w:ascii="仿宋_GB2312" w:hAnsi="仿宋_GB2312" w:cs="仿宋_GB2312" w:eastAsia="仿宋_GB2312"/>
                <w:sz w:val="20"/>
              </w:rPr>
              <w:t>53</w:t>
            </w:r>
            <w:r>
              <w:rPr>
                <w:rFonts w:ascii="仿宋_GB2312" w:hAnsi="仿宋_GB2312" w:cs="仿宋_GB2312" w:eastAsia="仿宋_GB2312"/>
                <w:sz w:val="20"/>
              </w:rPr>
              <w:t>000.00元，为不可竞争费用。</w:t>
            </w:r>
          </w:p>
          <w:p>
            <w:pPr>
              <w:pStyle w:val="null3"/>
              <w:ind w:firstLine="402"/>
              <w:jc w:val="left"/>
            </w:pPr>
            <w:r>
              <w:rPr>
                <w:rFonts w:ascii="仿宋_GB2312" w:hAnsi="仿宋_GB2312" w:cs="仿宋_GB2312" w:eastAsia="仿宋_GB2312"/>
                <w:sz w:val="20"/>
                <w:b/>
              </w:rPr>
              <w:t>二、</w:t>
            </w:r>
            <w:r>
              <w:rPr>
                <w:rFonts w:ascii="仿宋_GB2312" w:hAnsi="仿宋_GB2312" w:cs="仿宋_GB2312" w:eastAsia="仿宋_GB2312"/>
                <w:sz w:val="20"/>
                <w:b/>
              </w:rPr>
              <w:t>采购内容</w:t>
            </w:r>
          </w:p>
          <w:p>
            <w:pPr>
              <w:pStyle w:val="null3"/>
              <w:ind w:firstLine="400"/>
              <w:jc w:val="left"/>
            </w:pPr>
            <w:r>
              <w:rPr>
                <w:rFonts w:ascii="仿宋_GB2312" w:hAnsi="仿宋_GB2312" w:cs="仿宋_GB2312" w:eastAsia="仿宋_GB2312"/>
              </w:rPr>
              <w:t>完成本项目施工、材料设备供应、运输、安装、调试、验收、质保及相关服务。包括施工图范围内全部临时道路施工，含路基处理、路面铺设、土路肩施工、场地清理、临时设施及相关配套工作。</w:t>
            </w:r>
          </w:p>
          <w:p>
            <w:pPr>
              <w:pStyle w:val="null3"/>
              <w:ind w:firstLine="400"/>
              <w:jc w:val="left"/>
            </w:pPr>
            <w:r>
              <w:rPr>
                <w:rFonts w:ascii="仿宋_GB2312" w:hAnsi="仿宋_GB2312" w:cs="仿宋_GB2312" w:eastAsia="仿宋_GB2312"/>
                <w:sz w:val="20"/>
                <w:b/>
              </w:rPr>
              <w:t>三、</w:t>
            </w:r>
            <w:r>
              <w:rPr>
                <w:rFonts w:ascii="仿宋_GB2312" w:hAnsi="仿宋_GB2312" w:cs="仿宋_GB2312" w:eastAsia="仿宋_GB2312"/>
                <w:sz w:val="20"/>
                <w:b/>
              </w:rPr>
              <w:t>工程量清单</w:t>
            </w:r>
            <w:r>
              <w:rPr>
                <w:rFonts w:ascii="仿宋_GB2312" w:hAnsi="仿宋_GB2312" w:cs="仿宋_GB2312" w:eastAsia="仿宋_GB2312"/>
                <w:sz w:val="20"/>
                <w:b/>
              </w:rPr>
              <w:t>及图纸（详见附件）</w:t>
            </w:r>
          </w:p>
          <w:p>
            <w:pPr>
              <w:pStyle w:val="null3"/>
              <w:ind w:firstLine="402"/>
              <w:jc w:val="left"/>
            </w:pP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施工要求</w:t>
            </w:r>
          </w:p>
          <w:p>
            <w:pPr>
              <w:pStyle w:val="null3"/>
              <w:ind w:firstLine="400"/>
              <w:jc w:val="left"/>
            </w:pPr>
            <w:r>
              <w:rPr>
                <w:rFonts w:ascii="仿宋_GB2312" w:hAnsi="仿宋_GB2312" w:cs="仿宋_GB2312" w:eastAsia="仿宋_GB2312"/>
              </w:rPr>
              <w:t>1、供应商须服从现场管理，配合建设单位、监理、属地监管，做好安全文明施工、扬尘治理、交通疏导等工作。</w:t>
            </w:r>
          </w:p>
          <w:p>
            <w:pPr>
              <w:pStyle w:val="null3"/>
              <w:ind w:firstLine="400"/>
              <w:jc w:val="left"/>
            </w:pPr>
            <w:r>
              <w:rPr>
                <w:rFonts w:ascii="仿宋_GB2312" w:hAnsi="仿宋_GB2312" w:cs="仿宋_GB2312" w:eastAsia="仿宋_GB2312"/>
              </w:rPr>
              <w:t>2、施工过程中产生的垃圾由成交供应商负责清运并承担相关费用。</w:t>
            </w:r>
          </w:p>
          <w:p>
            <w:pPr>
              <w:pStyle w:val="null3"/>
              <w:ind w:firstLine="400"/>
              <w:jc w:val="left"/>
            </w:pPr>
            <w:r>
              <w:rPr>
                <w:rFonts w:ascii="仿宋_GB2312" w:hAnsi="仿宋_GB2312" w:cs="仿宋_GB2312" w:eastAsia="仿宋_GB2312"/>
              </w:rPr>
              <w:t>3、施工用水用电由成交供应商自行解决并承担相关费用。</w:t>
            </w:r>
          </w:p>
          <w:p>
            <w:pPr>
              <w:pStyle w:val="null3"/>
              <w:ind w:firstLine="400"/>
              <w:jc w:val="left"/>
            </w:pPr>
            <w:r>
              <w:rPr>
                <w:rFonts w:ascii="仿宋_GB2312" w:hAnsi="仿宋_GB2312" w:cs="仿宋_GB2312" w:eastAsia="仿宋_GB2312"/>
              </w:rPr>
              <w:t>4、严格遵守安全生产相关规定，承担施工期间全部安全责任。</w:t>
            </w:r>
          </w:p>
          <w:p>
            <w:pPr>
              <w:pStyle w:val="null3"/>
              <w:ind w:firstLine="400"/>
              <w:jc w:val="left"/>
            </w:pPr>
            <w:r>
              <w:rPr>
                <w:rFonts w:ascii="仿宋_GB2312" w:hAnsi="仿宋_GB2312" w:cs="仿宋_GB2312" w:eastAsia="仿宋_GB2312"/>
                <w:sz w:val="21"/>
              </w:rPr>
              <w:t>5、因成交供应商原因造成的一切安全、环保、投诉、处罚等责任与费用，均由成交供应商承担。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达到国家、省市或相关行业规范“合格”标准要求。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其他补充事宜：1、本项目所属行业为：建筑业：营业收入80000万元以下或资产总额80000万元以下的为中小微型企业。其中，营业收入6000万元及以上，且资产总额 5000万元及以上的为中型企业；营业收入 300 万元及以上，且资产总额 300万元及以上的为小型企业；营业收入 300 万元以下或资产总额 300 万元以下的为微型企业。2、支付约定因系统格式问题，合同款项支付以拟签订合同文本体现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供应商具备建设行政主管部门颁发的市政公用工程施工总承包三级及以上资质证书，及有效的安全生产许可证。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w:t>
            </w:r>
          </w:p>
        </w:tc>
        <w:tc>
          <w:tcPr>
            <w:tcW w:type="dxa" w:w="3322"/>
          </w:tcPr>
          <w:p>
            <w:pPr>
              <w:pStyle w:val="null3"/>
            </w:pPr>
            <w:r>
              <w:rPr>
                <w:rFonts w:ascii="仿宋_GB2312" w:hAnsi="仿宋_GB2312" w:cs="仿宋_GB2312" w:eastAsia="仿宋_GB2312"/>
              </w:rPr>
              <w:t>证书等级：二级（含二级）以上建造师注册证 专业：市政公用工程专业 补充说明：具备有效的安全生产考核合格证书（B证） , 且在本单位注册，无在建项目（提供承诺书）。</w:t>
            </w:r>
          </w:p>
        </w:tc>
        <w:tc>
          <w:tcPr>
            <w:tcW w:type="dxa" w:w="1661"/>
          </w:tcPr>
          <w:p>
            <w:pPr>
              <w:pStyle w:val="null3"/>
            </w:pPr>
            <w:r>
              <w:rPr>
                <w:rFonts w:ascii="仿宋_GB2312" w:hAnsi="仿宋_GB2312" w:cs="仿宋_GB2312" w:eastAsia="仿宋_GB2312"/>
              </w:rPr>
              <w:t>拟派项目负责人资质和专业要求.docx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供应商基本信息及项目负责人的基本信息在“全国建筑市场监管公共服务平台”可查询且无不良记录。</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 ②施工方法；③重点、难点工程分析及解决措施；④影响正常施工外在因素分析及对应预案等。以上内容专门针对本项目，且符合本项目实际需 求的得12分，每缺一项扣3分，若上述内容存在瑕疵，每存在1处瑕疵扣1分，扣完为止。注：“瑕疵”指内容明显错误，或内容不完整或缺少关键点，或不适用本项目特性 、套用其他项目内容或内容不能满足本项目实际需求等相关情形。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项目团队组织机构</w:t>
            </w:r>
          </w:p>
        </w:tc>
        <w:tc>
          <w:tcPr>
            <w:tcW w:type="dxa" w:w="2492"/>
          </w:tcPr>
          <w:p>
            <w:pPr>
              <w:pStyle w:val="null3"/>
            </w:pPr>
            <w:r>
              <w:rPr>
                <w:rFonts w:ascii="仿宋_GB2312" w:hAnsi="仿宋_GB2312" w:cs="仿宋_GB2312" w:eastAsia="仿宋_GB2312"/>
              </w:rPr>
              <w:t>内容至少包括①团队组织人员配置明细；②团队人员管理制度；③各专业种类、岗位配置；④配置人员资格、职称及工作经验等。以上内容专门针对本项目 , 且符合本项目实际需求的得12分, 每缺一项扣3分，若上述内容存在瑕疵，每存在1处瑕疵扣1分，扣完为止。注：“瑕疵”指内容明显错误， 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内容至少包括①安全生产管理制度；②配置安全组织机构；③安全隐患排查、整改制度; ④应急救援机制等。以上内容专门针对本项目，且符合本项目实际需求的得8分，每缺一项扣2分 , 若上述内容存在瑕疵，每存在1处瑕疵扣1分，扣完为止。注：“瑕疵”指内容明显错误，或内容不完整或缺少关键点，或不适用本项目特性、套用其他项目内容或内容不能满足本项目实际需求等相关情形。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内容至少包括①文明施工及环境保护管理制度；②防尘降噪措施；③节能减排措施；④文明施工及环境保护施工监督检查机制等。以上内容专门针对本项目，且符合本项目实际需求的得8分，每缺一项扣2分，若上述内容存在瑕疵，每存在1处瑕疵扣1分，扣完为止。注：“瑕疵”指内容明显错误，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 ①进度安排计划（提供横道图或网络图）；②工期目标控制和保证措施； ③材料供应措施； ④成品、半成品保护监管措施等。以上内容专门针对本项目，且符合本项目实际需求的得8分，每缺一项扣2分，若上述内容存在瑕疵，每存在1处瑕疵扣1分，扣完为止。注：“瑕疵”指内容明显错误，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内容至少包括①施工机械配置计划及施工材料投入计划；②施工机械的维护保养和材料的贮存； ③施工机械、材料的监督和检查等。 以上内容专门针对本项目，且符合本项目实际需求的得6分，每缺一项扣2分，若上述内容存在瑕疵，每存在1处瑕疵扣1分，扣完为止。注：“瑕疵”指内容明显错误，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内容至少包括①劳动力组织管理制度；②劳动力配置及各工种人员搭配计划；③劳动力保证措施。以上内容专门针对本项目，且符合本项目实际需求的得6分，每缺一项扣2分，若上述内容存在瑕疵，每存在1处瑕疵扣1分，扣完为止。注：“瑕疵”指内容明显错误，或内容不完整或缺少关键点，或不适用本项目特性、套用其他项目内容或内容不能满足本项目实际需求等相关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供应商具有2023年05月01日至今 ( 以合同签订时间为准）的同类项目业绩。每提供一项得2分，满分10分。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详见附件：拟派项目负责人资质和专业要求.docx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