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版本号：JQ-ZFCG-20260420260506001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2025年富平县曹村镇陵前村柿子产业综合加工基地建设项目（二期）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JQ-ZFCG-202604</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2025年富平县曹村镇陵前村柿子产业综合加工基地建设项目（二期）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2025年富平县曹村镇陵前村柿子产业综合加工基地建设项目（二期）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硬化室外地面3575平方米，厚度18公分，做3:7灰土及垫层；新建钢构自行车棚119平方米、砖混结构库房26平方米、铁艺围墙280米；新增加工车间防尘地面2197.63平方米；新建混凝土土路缘石106米，室外给水、雨污排水管道等管道382米及配套管沟，水表井1座，检查井13座，雨水口15座，25立方米化粪池1座；完成室外电力电缆配套设施，采购柿子推车300个及其他配套设施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采购包1（2025年富平县曹村镇陵前村柿子产业综合加工基地建设项目 (二期)）：属于专门面向中小企业采购。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3、资质证书：需具有建设行政主管部门核发的建筑工程施工总承包三级及以上资质；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9、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13554600369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招标代理费、编制标底费不计入工程造价。由中标单位支付。若本次招标失败（非代理机构原因），招标代理费、编制标底费由采购人支付。具体金额详见采购结果公告，在领取中标通知书时向采购代理机构一次付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2,551,042.25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2025年富平县曹村镇陵前村柿子产业综合加工基地建设项目 (二期)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标的名称：2025年富平县曹村镇陵前村柿子产业综合加工基地建设项目 (二期)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项目内容：</w:t>
            </w:r>
            <w:r>
              <w:rPr>
                <w:rFonts w:ascii="仿宋_GB2312" w:hAnsi="仿宋_GB2312" w:cs="仿宋_GB2312" w:eastAsia="仿宋_GB2312"/>
                <w:sz w:val="21"/>
              </w:rPr>
              <w:t>主要建设内容为硬化室外地面</w:t>
            </w:r>
            <w:r>
              <w:rPr>
                <w:rFonts w:ascii="仿宋_GB2312" w:hAnsi="仿宋_GB2312" w:cs="仿宋_GB2312" w:eastAsia="仿宋_GB2312"/>
                <w:sz w:val="21"/>
              </w:rPr>
              <w:t>3575平方米，厚度18公分，做3:7灰土及垫层；新建钢构自行车棚119平方米、砖混结构库房26平方米、铁艺围墙280米；新增加工车间防尘地面2197.63平方米；新建混凝土土路缘石106米，室外给水、雨污排水管道等管道382米及配套管沟，水表井1座，检查井13座，雨水口15座，25立方米化粪池1座；完成室外电力电缆配套设施，采购柿子推车300个及其他配套设施等。（</w:t>
            </w:r>
            <w:r>
              <w:rPr>
                <w:rFonts w:ascii="仿宋_GB2312" w:hAnsi="仿宋_GB2312" w:cs="仿宋_GB2312" w:eastAsia="仿宋_GB2312"/>
                <w:sz w:val="21"/>
              </w:rPr>
              <w:t>详见工程量清单）</w:t>
            </w:r>
          </w:p>
          <w:p>
            <w:pPr>
              <w:pStyle w:val="null3"/>
            </w:pPr>
            <w:r>
              <w:rPr>
                <w:rFonts w:ascii="仿宋_GB2312" w:hAnsi="仿宋_GB2312" w:cs="仿宋_GB2312" w:eastAsia="仿宋_GB2312"/>
                <w:sz w:val="21"/>
              </w:rPr>
              <w:t>工</w:t>
            </w:r>
            <w:r>
              <w:rPr>
                <w:rFonts w:ascii="仿宋_GB2312" w:hAnsi="仿宋_GB2312" w:cs="仿宋_GB2312" w:eastAsia="仿宋_GB2312"/>
                <w:sz w:val="21"/>
              </w:rPr>
              <w:t xml:space="preserve">  </w:t>
            </w:r>
            <w:r>
              <w:rPr>
                <w:rFonts w:ascii="仿宋_GB2312" w:hAnsi="仿宋_GB2312" w:cs="仿宋_GB2312" w:eastAsia="仿宋_GB2312"/>
                <w:sz w:val="21"/>
              </w:rPr>
              <w:t>期：</w:t>
            </w:r>
            <w:r>
              <w:rPr>
                <w:rFonts w:ascii="仿宋_GB2312" w:hAnsi="仿宋_GB2312" w:cs="仿宋_GB2312" w:eastAsia="仿宋_GB2312"/>
                <w:sz w:val="21"/>
              </w:rPr>
              <w:t>90 日历天</w:t>
            </w:r>
            <w:r>
              <w:rPr>
                <w:rFonts w:ascii="仿宋_GB2312" w:hAnsi="仿宋_GB2312" w:cs="仿宋_GB2312" w:eastAsia="仿宋_GB2312"/>
                <w:sz w:val="21"/>
              </w:rPr>
              <w:t>（具体起止日期以合同签订时间为准）</w:t>
            </w:r>
          </w:p>
          <w:p>
            <w:pPr>
              <w:pStyle w:val="null3"/>
            </w:pPr>
            <w:r>
              <w:rPr>
                <w:rFonts w:ascii="仿宋_GB2312" w:hAnsi="仿宋_GB2312" w:cs="仿宋_GB2312" w:eastAsia="仿宋_GB2312"/>
                <w:sz w:val="21"/>
              </w:rPr>
              <w:t>合同履约地点：甲方指定地点</w:t>
            </w:r>
          </w:p>
          <w:p>
            <w:pPr>
              <w:pStyle w:val="null3"/>
            </w:pPr>
            <w:r>
              <w:rPr>
                <w:rFonts w:ascii="仿宋_GB2312" w:hAnsi="仿宋_GB2312" w:cs="仿宋_GB2312" w:eastAsia="仿宋_GB2312"/>
                <w:sz w:val="21"/>
              </w:rPr>
              <w:t>工程质量：合格</w:t>
            </w:r>
          </w:p>
          <w:p>
            <w:pPr>
              <w:pStyle w:val="null3"/>
            </w:pPr>
            <w:r>
              <w:rPr>
                <w:rFonts w:ascii="仿宋_GB2312" w:hAnsi="仿宋_GB2312" w:cs="仿宋_GB2312" w:eastAsia="仿宋_GB2312"/>
                <w:sz w:val="21"/>
              </w:rPr>
              <w:t>付款方式：</w:t>
            </w:r>
            <w:r>
              <w:rPr>
                <w:rFonts w:ascii="仿宋_GB2312" w:hAnsi="仿宋_GB2312" w:cs="仿宋_GB2312" w:eastAsia="仿宋_GB2312"/>
                <w:sz w:val="21"/>
              </w:rPr>
              <w:t>合同签订后，支付合同总价</w:t>
            </w:r>
            <w:r>
              <w:rPr>
                <w:rFonts w:ascii="仿宋_GB2312" w:hAnsi="仿宋_GB2312" w:cs="仿宋_GB2312" w:eastAsia="仿宋_GB2312"/>
                <w:sz w:val="21"/>
              </w:rPr>
              <w:t>30%作为预付款；工程竣工验收合格后，付至合同总价款的70%；待工程决算审计报告经双方签字盖章确认后，付至审定金额的97%；剩余3%作为质量保证金，于缺陷责任期满后一次性付清。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需具有建设行政主管部门核发的建筑工程施工总承包三级及以上资质；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 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 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 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 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 方案粗略 、逻辑混乱 、描 述过于简单 、与项 目特点不匹配 、 凭空编造 、逻辑 漏洞 、 出现常识性错误 、套用其他项 目方案 、存在 不可能实现的夸大情形 、存在不适用项 目实际情况 的情形） 每项扣 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①评标基准价的确定：经对各供应商资格审查合格后，将有效投标价格最低的作为评标基准价，此项得满分；投标报价大于最高限价的，为无效报价，应作为无效标处理； ②根据下列公式计算出各供应商的投标报价与评标基准价的差异率。 其他供应商报价得分=(评标基准价／投标报价)×30%×100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