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版本号：DQA-2026067-US20260814001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2026年数字资源采购</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DQA-2026067-US</w:t>
      </w:r>
      <w:r>
        <w:br/>
      </w:r>
      <w:r>
        <w:br/>
      </w:r>
      <w:r>
        <w:br/>
      </w:r>
    </w:p>
    <w:p>
      <w:pPr>
        <w:pStyle w:val="null3"/>
        <w:jc w:val="center"/>
        <w:outlineLvl w:val="5"/>
      </w:pPr>
      <w:r>
        <w:rPr>
          <w:rFonts w:ascii="仿宋_GB2312" w:hAnsi="仿宋_GB2312" w:cs="仿宋_GB2312" w:eastAsia="仿宋_GB2312"/>
          <w:sz w:val="15"/>
          <w:b/>
        </w:rPr>
        <w:t>西安航空学院</w:t>
      </w:r>
    </w:p>
    <w:p>
      <w:pPr>
        <w:pStyle w:val="null3"/>
        <w:jc w:val="center"/>
        <w:outlineLvl w:val="5"/>
      </w:pPr>
      <w:r>
        <w:rPr>
          <w:rFonts w:ascii="仿宋_GB2312" w:hAnsi="仿宋_GB2312" w:cs="仿宋_GB2312" w:eastAsia="仿宋_GB2312"/>
          <w:sz w:val="15"/>
          <w:b/>
        </w:rPr>
        <w:t>陕西德勤招标有限公司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西安航空学院</w:t>
      </w:r>
      <w:r>
        <w:rPr>
          <w:rFonts w:ascii="仿宋_GB2312" w:hAnsi="仿宋_GB2312" w:cs="仿宋_GB2312" w:eastAsia="仿宋_GB2312"/>
        </w:rPr>
        <w:t>委托，拟对</w:t>
      </w:r>
      <w:r>
        <w:rPr>
          <w:rFonts w:ascii="仿宋_GB2312" w:hAnsi="仿宋_GB2312" w:cs="仿宋_GB2312" w:eastAsia="仿宋_GB2312"/>
        </w:rPr>
        <w:t>2026年数字资源采购</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DQA-2026067-US</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2026年数字资源采购</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第1包：超星系列数据库订购； 第2包: CNKI数据库订购； 第3包：新知发现系统订购； 第4包：爱思维尔SD数据库订购；</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1、营业执照等主体资格证明文件：提供有效存续的企业营业执照（副本）/事业单位法人证书/专业服务机构执业许可证/民办非企业单位登记证书等主体资格证明文件，自然人提供身份证明。</w:t>
      </w:r>
    </w:p>
    <w:p>
      <w:pPr>
        <w:pStyle w:val="null3"/>
      </w:pPr>
      <w:r>
        <w:rPr>
          <w:rFonts w:ascii="仿宋_GB2312" w:hAnsi="仿宋_GB2312" w:cs="仿宋_GB2312" w:eastAsia="仿宋_GB2312"/>
        </w:rPr>
        <w:t>2、财务状况报告：提供2024年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法定代表人授权委托书：法定代表人参加协商的，须提供本人身份证复印件(附在响应文件中)；法定代表人授权他人参加协商的，须提供法定代表人授权委托书，同时需提供被授权人开标前3个月内任意1个月的社保缴纳证明（依法不需要缴纳社保的被授权人应提供相关证明）。法人的分支机构参与协商时，除提供《法定代表人授权委托书》外，还须同时提供总公司给分支机构出具的授权书。响应文件中凡是需要法定代表人盖章之处，非法人单位的负责人均参照执行。</w:t>
      </w:r>
    </w:p>
    <w:p>
      <w:pPr>
        <w:pStyle w:val="null3"/>
      </w:pPr>
      <w:r>
        <w:rPr>
          <w:rFonts w:ascii="仿宋_GB2312" w:hAnsi="仿宋_GB2312" w:cs="仿宋_GB2312" w:eastAsia="仿宋_GB2312"/>
        </w:rPr>
        <w:t>9、本项目不接受联合体响应，不允许分包：供应商应提供《非联合体不分包响应声明》，视为独立响应，不分包。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1、营业执照等主体资格证明文件：提供有效存续的企业营业执照（副本）/事业单位法人证书/专业服务机构执业许可证/民办非企业单位登记证书等主体资格证明文件，自然人提供身份证明。</w:t>
      </w:r>
    </w:p>
    <w:p>
      <w:pPr>
        <w:pStyle w:val="null3"/>
      </w:pPr>
      <w:r>
        <w:rPr>
          <w:rFonts w:ascii="仿宋_GB2312" w:hAnsi="仿宋_GB2312" w:cs="仿宋_GB2312" w:eastAsia="仿宋_GB2312"/>
        </w:rPr>
        <w:t>2、财务状况报告：提供2024年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法定代表人授权委托书：法定代表人参加协商的，须提供本人身份证复印件(附在响应文件中)；法定代表人授权他人参加协商的，须提供法定代表人授权委托书，同时需提供被授权人开标前3个月内任意1个月的社保缴纳证明（依法不需要缴纳社保的被授权人应提供相关证明）。法人的分支机构参与协商时，除提供《法定代表人授权委托书》外，还须同时提供总公司给分支机构出具的授权书。响应文件中凡是需要法定代表人盖章之处，非法人单位的负责人均参照执行。</w:t>
      </w:r>
    </w:p>
    <w:p>
      <w:pPr>
        <w:pStyle w:val="null3"/>
      </w:pPr>
      <w:r>
        <w:rPr>
          <w:rFonts w:ascii="仿宋_GB2312" w:hAnsi="仿宋_GB2312" w:cs="仿宋_GB2312" w:eastAsia="仿宋_GB2312"/>
        </w:rPr>
        <w:t>9、本项目不接受联合体响应，不允许分包：供应商应提供《非联合体不分包响应声明》，视为独立响应，不分包。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1、营业执照等主体资格证明文件：提供有效存续的企业营业执照（副本）/事业单位法人证书/专业服务机构执业许可证/民办非企业单位登记证书等主体资格证明文件，自然人提供身份证明。</w:t>
      </w:r>
    </w:p>
    <w:p>
      <w:pPr>
        <w:pStyle w:val="null3"/>
      </w:pPr>
      <w:r>
        <w:rPr>
          <w:rFonts w:ascii="仿宋_GB2312" w:hAnsi="仿宋_GB2312" w:cs="仿宋_GB2312" w:eastAsia="仿宋_GB2312"/>
        </w:rPr>
        <w:t>2、财务状况报告：提供2024年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法定代表人授权委托书：法定代表人参加协商的，须提供本人身份证复印件(附在响应文件中)；法定代表人授权他人参加协商的，须提供法定代表人授权委托书，同时需提供被授权人开标前3个月内任意1个月的社保缴纳证明（依法不需要缴纳社保的被授权人应提供相关证明）。法人的分支机构参与协商时，除提供《法定代表人授权委托书》外，还须同时提供总公司给分支机构出具的授权书。响应文件中凡是需要法定代表人盖章之处，非法人单位的负责人均参照执行。</w:t>
      </w:r>
    </w:p>
    <w:p>
      <w:pPr>
        <w:pStyle w:val="null3"/>
      </w:pPr>
      <w:r>
        <w:rPr>
          <w:rFonts w:ascii="仿宋_GB2312" w:hAnsi="仿宋_GB2312" w:cs="仿宋_GB2312" w:eastAsia="仿宋_GB2312"/>
        </w:rPr>
        <w:t>9、本项目不接受联合体响应，不允许分包：供应商应提供《非联合体不分包响应声明》，视为独立响应，不分包。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1、营业执照等主体资格证明文件：提供有效存续的企业营业执照（副本）/事业单位法人证书/专业服务机构执业许可证/民办非企业单位登记证书等主体资格证明文件，自然人提供身份证明。</w:t>
      </w:r>
    </w:p>
    <w:p>
      <w:pPr>
        <w:pStyle w:val="null3"/>
      </w:pPr>
      <w:r>
        <w:rPr>
          <w:rFonts w:ascii="仿宋_GB2312" w:hAnsi="仿宋_GB2312" w:cs="仿宋_GB2312" w:eastAsia="仿宋_GB2312"/>
        </w:rPr>
        <w:t>2、财务状况报告：提供2024年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法定代表人授权委托书：法定代表人参加协商的，须提供本人身份证复印件(附在响应文件中)；法定代表人授权他人参加协商的，须提供法定代表人授权委托书，同时需提供被授权人开标前3个月内任意1个月的社保缴纳证明（依法不需要缴纳社保的被授权人应提供相关证明）。法人的分支机构参与协商时，除提供《法定代表人授权委托书》外，还须同时提供总公司给分支机构出具的授权书。响应文件中凡是需要法定代表人盖章之处，非法人单位的负责人均参照执行。</w:t>
      </w:r>
    </w:p>
    <w:p>
      <w:pPr>
        <w:pStyle w:val="null3"/>
      </w:pPr>
      <w:r>
        <w:rPr>
          <w:rFonts w:ascii="仿宋_GB2312" w:hAnsi="仿宋_GB2312" w:cs="仿宋_GB2312" w:eastAsia="仿宋_GB2312"/>
        </w:rPr>
        <w:t>9、本项目不接受联合体响应，不允许分包：供应商应提供《非联合体不分包响应声明》，视为独立响应，不分包。</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西二环259号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029-81672802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采购包1：255,000.00元</w:t>
            </w:r>
          </w:p>
          <w:p>
            <w:pPr>
              <w:pStyle w:val="null3"/>
            </w:pPr>
            <w:r>
              <w:rPr>
                <w:rFonts w:ascii="仿宋_GB2312" w:hAnsi="仿宋_GB2312" w:cs="仿宋_GB2312" w:eastAsia="仿宋_GB2312"/>
              </w:rPr>
              <w:t>采购包2：485,000.00元</w:t>
            </w:r>
          </w:p>
          <w:p>
            <w:pPr>
              <w:pStyle w:val="null3"/>
            </w:pPr>
            <w:r>
              <w:rPr>
                <w:rFonts w:ascii="仿宋_GB2312" w:hAnsi="仿宋_GB2312" w:cs="仿宋_GB2312" w:eastAsia="仿宋_GB2312"/>
              </w:rPr>
              <w:t>采购包3：100,000.00元</w:t>
            </w:r>
          </w:p>
          <w:p>
            <w:pPr>
              <w:pStyle w:val="null3"/>
            </w:pPr>
            <w:r>
              <w:rPr>
                <w:rFonts w:ascii="仿宋_GB2312" w:hAnsi="仿宋_GB2312" w:cs="仿宋_GB2312" w:eastAsia="仿宋_GB2312"/>
              </w:rPr>
              <w:t>采购包4：720,000.00元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采购包1：255,000.00元</w:t>
            </w:r>
          </w:p>
          <w:p>
            <w:pPr>
              <w:pStyle w:val="null3"/>
            </w:pPr>
            <w:r>
              <w:rPr>
                <w:rFonts w:ascii="仿宋_GB2312" w:hAnsi="仿宋_GB2312" w:cs="仿宋_GB2312" w:eastAsia="仿宋_GB2312"/>
              </w:rPr>
              <w:t>采购包2：485,000.00元</w:t>
            </w:r>
          </w:p>
          <w:p>
            <w:pPr>
              <w:pStyle w:val="null3"/>
            </w:pPr>
            <w:r>
              <w:rPr>
                <w:rFonts w:ascii="仿宋_GB2312" w:hAnsi="仿宋_GB2312" w:cs="仿宋_GB2312" w:eastAsia="仿宋_GB2312"/>
              </w:rPr>
              <w:t>采购包3：100,000.00元</w:t>
            </w:r>
          </w:p>
          <w:p>
            <w:pPr>
              <w:pStyle w:val="null3"/>
            </w:pPr>
            <w:r>
              <w:rPr>
                <w:rFonts w:ascii="仿宋_GB2312" w:hAnsi="仿宋_GB2312" w:cs="仿宋_GB2312" w:eastAsia="仿宋_GB2312"/>
              </w:rPr>
              <w:t>采购包4：720,000.00元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采购包2保证金金额：9,000.00元</w:t>
            </w:r>
          </w:p>
          <w:p>
            <w:pPr>
              <w:pStyle w:val="null3"/>
            </w:pPr>
            <w:r>
              <w:rPr>
                <w:rFonts w:ascii="仿宋_GB2312" w:hAnsi="仿宋_GB2312" w:cs="仿宋_GB2312" w:eastAsia="仿宋_GB2312"/>
              </w:rPr>
              <w:t>采购包3保证金金额：2,000.00元</w:t>
            </w:r>
          </w:p>
          <w:p>
            <w:pPr>
              <w:pStyle w:val="null3"/>
            </w:pPr>
            <w:r>
              <w:rPr>
                <w:rFonts w:ascii="仿宋_GB2312" w:hAnsi="仿宋_GB2312" w:cs="仿宋_GB2312" w:eastAsia="仿宋_GB2312"/>
              </w:rPr>
              <w:t>采购包4保证金金额：14,000.00元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银行账号：52880188000168370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计费收取，按照成交金额差额定率累进法计算，由成交供应商一次性支付给代理机构。</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西安航空学院</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西安航空学院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按照采购文件要求、响应文件及合同约定执行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按照采购文件要求、响应文件及合同约定执行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按照采购文件要求、响应文件及合同约定执行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 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第1包：超星系列数据库订购； 第2包: CNKI数据库订购； 第3包：新知发现系统订购； 第4包：爱思维尔SD数据库订购；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255,000.00</w:t>
      </w:r>
    </w:p>
    <w:p>
      <w:pPr>
        <w:pStyle w:val="null3"/>
      </w:pPr>
      <w:r>
        <w:rPr>
          <w:rFonts w:ascii="仿宋_GB2312" w:hAnsi="仿宋_GB2312" w:cs="仿宋_GB2312" w:eastAsia="仿宋_GB2312"/>
        </w:rPr>
        <w:t>采购包最高限价（元）: 255,000.00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超星系列数据库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485,000.00</w:t>
      </w:r>
    </w:p>
    <w:p>
      <w:pPr>
        <w:pStyle w:val="null3"/>
      </w:pPr>
      <w:r>
        <w:rPr>
          <w:rFonts w:ascii="仿宋_GB2312" w:hAnsi="仿宋_GB2312" w:cs="仿宋_GB2312" w:eastAsia="仿宋_GB2312"/>
        </w:rPr>
        <w:t>采购包最高限价（元）: 485,000.00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CNKI数据库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新知学术发现系统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爱思维尔SD数据库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标的名称：超星系列数据库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 项目概述</w:t>
            </w:r>
          </w:p>
          <w:p>
            <w:pPr>
              <w:pStyle w:val="null3"/>
            </w:pPr>
            <w:r>
              <w:rPr>
                <w:rFonts w:ascii="仿宋_GB2312" w:hAnsi="仿宋_GB2312" w:cs="仿宋_GB2312" w:eastAsia="仿宋_GB2312"/>
                <w:sz w:val="21"/>
              </w:rPr>
              <w:t>超星发现系统、超星百链云图书馆、读秀学术搜索三个产品在西安航空学院已经连续使用多年，受到师生欢迎，很好的为教师教学科研及学生学习提供了信息保障。为保证资源使用的持续性，</w:t>
            </w:r>
            <w:r>
              <w:rPr>
                <w:rFonts w:ascii="仿宋_GB2312" w:hAnsi="仿宋_GB2312" w:cs="仿宋_GB2312" w:eastAsia="仿宋_GB2312"/>
                <w:sz w:val="21"/>
              </w:rPr>
              <w:t>2026年拟继续采购超星发现系统+超星百链云图书馆、读秀学术搜索。</w:t>
            </w:r>
          </w:p>
          <w:p>
            <w:pPr>
              <w:pStyle w:val="null3"/>
            </w:pPr>
            <w:r>
              <w:rPr>
                <w:rFonts w:ascii="仿宋_GB2312" w:hAnsi="仿宋_GB2312" w:cs="仿宋_GB2312" w:eastAsia="仿宋_GB2312"/>
                <w:sz w:val="21"/>
              </w:rPr>
              <w:t>2.服务内容和标准</w:t>
            </w:r>
          </w:p>
          <w:p>
            <w:pPr>
              <w:pStyle w:val="null3"/>
            </w:pPr>
            <w:r>
              <w:rPr>
                <w:rFonts w:ascii="仿宋_GB2312" w:hAnsi="仿宋_GB2312" w:cs="仿宋_GB2312" w:eastAsia="仿宋_GB2312"/>
                <w:sz w:val="21"/>
              </w:rPr>
              <w:t>2.1总体要求</w:t>
            </w:r>
          </w:p>
          <w:p>
            <w:pPr>
              <w:pStyle w:val="null3"/>
            </w:pPr>
            <w:r>
              <w:rPr>
                <w:rFonts w:ascii="仿宋_GB2312" w:hAnsi="仿宋_GB2312" w:cs="仿宋_GB2312" w:eastAsia="仿宋_GB2312"/>
                <w:sz w:val="21"/>
              </w:rPr>
              <w:t>自</w:t>
            </w:r>
            <w:r>
              <w:rPr>
                <w:rFonts w:ascii="仿宋_GB2312" w:hAnsi="仿宋_GB2312" w:cs="仿宋_GB2312" w:eastAsia="仿宋_GB2312"/>
                <w:sz w:val="21"/>
              </w:rPr>
              <w:t>2027年01月01日至2027年12月31日期间向学校提供超星发现系统、超星百链云图书馆、读秀学术搜索的远程包库服务，目前已经连续采购多年，项目运行良好。</w:t>
            </w:r>
          </w:p>
          <w:p>
            <w:pPr>
              <w:pStyle w:val="null3"/>
            </w:pPr>
            <w:r>
              <w:rPr>
                <w:rFonts w:ascii="仿宋_GB2312" w:hAnsi="仿宋_GB2312" w:cs="仿宋_GB2312" w:eastAsia="仿宋_GB2312"/>
                <w:sz w:val="21"/>
              </w:rPr>
              <w:t>2.2服务标准</w:t>
            </w:r>
          </w:p>
          <w:p>
            <w:pPr>
              <w:pStyle w:val="null3"/>
            </w:pPr>
            <w:r>
              <w:rPr>
                <w:rFonts w:ascii="仿宋_GB2312" w:hAnsi="仿宋_GB2312" w:cs="仿宋_GB2312" w:eastAsia="仿宋_GB2312"/>
                <w:sz w:val="21"/>
              </w:rPr>
              <w:t>2.2.1 超星发现系统服务标准</w:t>
            </w:r>
          </w:p>
          <w:p>
            <w:pPr>
              <w:pStyle w:val="null3"/>
            </w:pPr>
            <w:r>
              <w:rPr>
                <w:rFonts w:ascii="仿宋_GB2312" w:hAnsi="仿宋_GB2312" w:cs="仿宋_GB2312" w:eastAsia="仿宋_GB2312"/>
                <w:sz w:val="21"/>
              </w:rPr>
              <w:t>（</w:t>
            </w:r>
            <w:r>
              <w:rPr>
                <w:rFonts w:ascii="仿宋_GB2312" w:hAnsi="仿宋_GB2312" w:cs="仿宋_GB2312" w:eastAsia="仿宋_GB2312"/>
                <w:sz w:val="21"/>
              </w:rPr>
              <w:t>1）支持简体字/繁体字检索，并且在检索时，支持简体字/繁体字的同义转换；</w:t>
            </w:r>
          </w:p>
          <w:p>
            <w:pPr>
              <w:pStyle w:val="null3"/>
            </w:pPr>
            <w:r>
              <w:rPr>
                <w:rFonts w:ascii="仿宋_GB2312" w:hAnsi="仿宋_GB2312" w:cs="仿宋_GB2312" w:eastAsia="仿宋_GB2312"/>
                <w:sz w:val="21"/>
              </w:rPr>
              <w:t>（</w:t>
            </w:r>
            <w:r>
              <w:rPr>
                <w:rFonts w:ascii="仿宋_GB2312" w:hAnsi="仿宋_GB2312" w:cs="仿宋_GB2312" w:eastAsia="仿宋_GB2312"/>
                <w:sz w:val="21"/>
              </w:rPr>
              <w:t>2）支持空检索，并显示空检条件下整体数据量，以及各文献类型包括图书、期刊、学位等数据量，各年份收录量等；</w:t>
            </w:r>
          </w:p>
          <w:p>
            <w:pPr>
              <w:pStyle w:val="null3"/>
            </w:pPr>
            <w:r>
              <w:rPr>
                <w:rFonts w:ascii="仿宋_GB2312" w:hAnsi="仿宋_GB2312" w:cs="仿宋_GB2312" w:eastAsia="仿宋_GB2312"/>
                <w:sz w:val="21"/>
              </w:rPr>
              <w:t>（</w:t>
            </w:r>
            <w:r>
              <w:rPr>
                <w:rFonts w:ascii="仿宋_GB2312" w:hAnsi="仿宋_GB2312" w:cs="仿宋_GB2312" w:eastAsia="仿宋_GB2312"/>
                <w:sz w:val="21"/>
              </w:rPr>
              <w:t>3）提供简单检索、并支持google like检索方式，如date、author、title等检索方式；</w:t>
            </w:r>
          </w:p>
          <w:p>
            <w:pPr>
              <w:pStyle w:val="null3"/>
            </w:pPr>
            <w:r>
              <w:rPr>
                <w:rFonts w:ascii="仿宋_GB2312" w:hAnsi="仿宋_GB2312" w:cs="仿宋_GB2312" w:eastAsia="仿宋_GB2312"/>
                <w:sz w:val="21"/>
              </w:rPr>
              <w:t>（</w:t>
            </w:r>
            <w:r>
              <w:rPr>
                <w:rFonts w:ascii="仿宋_GB2312" w:hAnsi="仿宋_GB2312" w:cs="仿宋_GB2312" w:eastAsia="仿宋_GB2312"/>
                <w:sz w:val="21"/>
              </w:rPr>
              <w:t>4）提供二次检索，支持在当前检索结果下再次搜索；</w:t>
            </w:r>
          </w:p>
          <w:p>
            <w:pPr>
              <w:pStyle w:val="null3"/>
            </w:pPr>
            <w:r>
              <w:rPr>
                <w:rFonts w:ascii="仿宋_GB2312" w:hAnsi="仿宋_GB2312" w:cs="仿宋_GB2312" w:eastAsia="仿宋_GB2312"/>
                <w:sz w:val="21"/>
              </w:rPr>
              <w:t>（</w:t>
            </w:r>
            <w:r>
              <w:rPr>
                <w:rFonts w:ascii="仿宋_GB2312" w:hAnsi="仿宋_GB2312" w:cs="仿宋_GB2312" w:eastAsia="仿宋_GB2312"/>
                <w:sz w:val="21"/>
              </w:rPr>
              <w:t>5）支持按照单独文献类型进行筛选，呈现该文献类型下对应的分面聚类，并显示每个分面聚类的文献数量，分面聚类可支持复选；</w:t>
            </w:r>
          </w:p>
          <w:p>
            <w:pPr>
              <w:pStyle w:val="null3"/>
            </w:pPr>
            <w:r>
              <w:rPr>
                <w:rFonts w:ascii="仿宋_GB2312" w:hAnsi="仿宋_GB2312" w:cs="仿宋_GB2312" w:eastAsia="仿宋_GB2312"/>
                <w:sz w:val="21"/>
              </w:rPr>
              <w:t>（</w:t>
            </w:r>
            <w:r>
              <w:rPr>
                <w:rFonts w:ascii="仿宋_GB2312" w:hAnsi="仿宋_GB2312" w:cs="仿宋_GB2312" w:eastAsia="仿宋_GB2312"/>
                <w:sz w:val="21"/>
              </w:rPr>
              <w:t>6）提供智能检索，如自动匹配检索词曾用名、学名、全称等；以及检索作者、作者机构，自动匹配作者或作者机构字段；</w:t>
            </w:r>
          </w:p>
          <w:p>
            <w:pPr>
              <w:pStyle w:val="null3"/>
            </w:pPr>
            <w:r>
              <w:rPr>
                <w:rFonts w:ascii="仿宋_GB2312" w:hAnsi="仿宋_GB2312" w:cs="仿宋_GB2312" w:eastAsia="仿宋_GB2312"/>
                <w:sz w:val="21"/>
              </w:rPr>
              <w:t>（</w:t>
            </w:r>
            <w:r>
              <w:rPr>
                <w:rFonts w:ascii="仿宋_GB2312" w:hAnsi="仿宋_GB2312" w:cs="仿宋_GB2312" w:eastAsia="仿宋_GB2312"/>
                <w:sz w:val="21"/>
              </w:rPr>
              <w:t>7）提供高级检索，并支持精确/模糊两种匹配方式，支持多种字段与、或、非逻辑检索，且各类文献特殊字段检索；</w:t>
            </w:r>
          </w:p>
          <w:p>
            <w:pPr>
              <w:pStyle w:val="null3"/>
            </w:pPr>
            <w:r>
              <w:rPr>
                <w:rFonts w:ascii="仿宋_GB2312" w:hAnsi="仿宋_GB2312" w:cs="仿宋_GB2312" w:eastAsia="仿宋_GB2312"/>
                <w:sz w:val="21"/>
              </w:rPr>
              <w:t>（</w:t>
            </w:r>
            <w:r>
              <w:rPr>
                <w:rFonts w:ascii="仿宋_GB2312" w:hAnsi="仿宋_GB2312" w:cs="仿宋_GB2312" w:eastAsia="仿宋_GB2312"/>
                <w:sz w:val="21"/>
              </w:rPr>
              <w:t>8）提供专业检索，支持多个字段布尔逻辑表达式检索；</w:t>
            </w:r>
          </w:p>
          <w:p>
            <w:pPr>
              <w:pStyle w:val="null3"/>
            </w:pPr>
            <w:r>
              <w:rPr>
                <w:rFonts w:ascii="仿宋_GB2312" w:hAnsi="仿宋_GB2312" w:cs="仿宋_GB2312" w:eastAsia="仿宋_GB2312"/>
                <w:sz w:val="21"/>
              </w:rPr>
              <w:t>（</w:t>
            </w:r>
            <w:r>
              <w:rPr>
                <w:rFonts w:ascii="仿宋_GB2312" w:hAnsi="仿宋_GB2312" w:cs="仿宋_GB2312" w:eastAsia="仿宋_GB2312"/>
                <w:sz w:val="21"/>
              </w:rPr>
              <w:t>9）支持部分分面聚类扩展到二级分类，如作者机构、学科分类等，同时二级分类同样支持复选；</w:t>
            </w:r>
          </w:p>
          <w:p>
            <w:pPr>
              <w:pStyle w:val="null3"/>
            </w:pPr>
            <w:r>
              <w:rPr>
                <w:rFonts w:ascii="仿宋_GB2312" w:hAnsi="仿宋_GB2312" w:cs="仿宋_GB2312" w:eastAsia="仿宋_GB2312"/>
                <w:sz w:val="21"/>
              </w:rPr>
              <w:t>（</w:t>
            </w:r>
            <w:r>
              <w:rPr>
                <w:rFonts w:ascii="仿宋_GB2312" w:hAnsi="仿宋_GB2312" w:cs="仿宋_GB2312" w:eastAsia="仿宋_GB2312"/>
                <w:sz w:val="21"/>
              </w:rPr>
              <w:t>10）提供各种文献的丰富图形化信息展示，同时图书、期刊文献封面显示，且能放大显示；</w:t>
            </w:r>
          </w:p>
          <w:p>
            <w:pPr>
              <w:pStyle w:val="null3"/>
            </w:pPr>
            <w:r>
              <w:rPr>
                <w:rFonts w:ascii="仿宋_GB2312" w:hAnsi="仿宋_GB2312" w:cs="仿宋_GB2312" w:eastAsia="仿宋_GB2312"/>
                <w:sz w:val="21"/>
              </w:rPr>
              <w:t>（</w:t>
            </w:r>
            <w:r>
              <w:rPr>
                <w:rFonts w:ascii="仿宋_GB2312" w:hAnsi="仿宋_GB2312" w:cs="仿宋_GB2312" w:eastAsia="仿宋_GB2312"/>
                <w:sz w:val="21"/>
              </w:rPr>
              <w:t>11）内置期刊导航，可显示该期刊按年代的完整导航，可限定期刊某一期的所有篇目文献；</w:t>
            </w:r>
          </w:p>
          <w:p>
            <w:pPr>
              <w:pStyle w:val="null3"/>
            </w:pPr>
            <w:r>
              <w:rPr>
                <w:rFonts w:ascii="仿宋_GB2312" w:hAnsi="仿宋_GB2312" w:cs="仿宋_GB2312" w:eastAsia="仿宋_GB2312"/>
                <w:sz w:val="21"/>
              </w:rPr>
              <w:t>（</w:t>
            </w:r>
            <w:r>
              <w:rPr>
                <w:rFonts w:ascii="仿宋_GB2312" w:hAnsi="仿宋_GB2312" w:cs="仿宋_GB2312" w:eastAsia="仿宋_GB2312"/>
                <w:sz w:val="21"/>
              </w:rPr>
              <w:t>12）内置报纸导航，可显示该报纸按年代的完整导航，可限定报纸某一月某一日的所有文献；</w:t>
            </w:r>
          </w:p>
          <w:p>
            <w:pPr>
              <w:pStyle w:val="null3"/>
            </w:pPr>
            <w:r>
              <w:rPr>
                <w:rFonts w:ascii="仿宋_GB2312" w:hAnsi="仿宋_GB2312" w:cs="仿宋_GB2312" w:eastAsia="仿宋_GB2312"/>
                <w:sz w:val="21"/>
              </w:rPr>
              <w:t>（</w:t>
            </w:r>
            <w:r>
              <w:rPr>
                <w:rFonts w:ascii="仿宋_GB2312" w:hAnsi="仿宋_GB2312" w:cs="仿宋_GB2312" w:eastAsia="仿宋_GB2312"/>
                <w:sz w:val="21"/>
              </w:rPr>
              <w:t>13）提供期刊刊种导航，支持对期刊进行OA刊、语种、教育部学科、首字母、重要期刊、JCR分区、出版周期的聚类筛选，支持对刊名、主办单位、ISSN、CN号等检索字段进行检索，可按照年卷期的导航方式显示刊物篇目级数据；</w:t>
            </w:r>
          </w:p>
          <w:p>
            <w:pPr>
              <w:pStyle w:val="null3"/>
            </w:pPr>
            <w:r>
              <w:rPr>
                <w:rFonts w:ascii="仿宋_GB2312" w:hAnsi="仿宋_GB2312" w:cs="仿宋_GB2312" w:eastAsia="仿宋_GB2312"/>
                <w:sz w:val="21"/>
              </w:rPr>
              <w:t>（</w:t>
            </w:r>
            <w:r>
              <w:rPr>
                <w:rFonts w:ascii="仿宋_GB2312" w:hAnsi="仿宋_GB2312" w:cs="仿宋_GB2312" w:eastAsia="仿宋_GB2312"/>
                <w:sz w:val="21"/>
              </w:rPr>
              <w:t>14）提供机构导航，展示机构现行名称和曾用名/别名，可按照机构名称检索出对应的文献结果；</w:t>
            </w:r>
          </w:p>
          <w:p>
            <w:pPr>
              <w:pStyle w:val="null3"/>
            </w:pPr>
            <w:r>
              <w:rPr>
                <w:rFonts w:ascii="仿宋_GB2312" w:hAnsi="仿宋_GB2312" w:cs="仿宋_GB2312" w:eastAsia="仿宋_GB2312"/>
                <w:sz w:val="21"/>
              </w:rPr>
              <w:t>（</w:t>
            </w:r>
            <w:r>
              <w:rPr>
                <w:rFonts w:ascii="仿宋_GB2312" w:hAnsi="仿宋_GB2312" w:cs="仿宋_GB2312" w:eastAsia="仿宋_GB2312"/>
                <w:sz w:val="21"/>
              </w:rPr>
              <w:t>15）提供会议导航，可按会议级别、首字母、会议时间、学科导航、主办单位等聚类方式对学术会议进行筛选，可展示具体会议下历年论文集，支持对会议论文进行作者、主题词、学科、作者单位等聚类筛选。</w:t>
            </w:r>
          </w:p>
          <w:p>
            <w:pPr>
              <w:pStyle w:val="null3"/>
            </w:pPr>
            <w:r>
              <w:rPr>
                <w:rFonts w:ascii="仿宋_GB2312" w:hAnsi="仿宋_GB2312" w:cs="仿宋_GB2312" w:eastAsia="仿宋_GB2312"/>
                <w:sz w:val="21"/>
              </w:rPr>
              <w:t>（</w:t>
            </w:r>
            <w:r>
              <w:rPr>
                <w:rFonts w:ascii="仿宋_GB2312" w:hAnsi="仿宋_GB2312" w:cs="仿宋_GB2312" w:eastAsia="仿宋_GB2312"/>
                <w:sz w:val="21"/>
              </w:rPr>
              <w:t>16）整合图书馆纸电资源，实现同一条数据在资源层面做去重，将纸质获取途径和电子获取途径进行联合揭示，实现图书馆纸电资源的统一检索和资源获取服务，打造图书馆纸电一体资源目录体系；</w:t>
            </w:r>
          </w:p>
          <w:p>
            <w:pPr>
              <w:pStyle w:val="null3"/>
            </w:pPr>
            <w:r>
              <w:rPr>
                <w:rFonts w:ascii="仿宋_GB2312" w:hAnsi="仿宋_GB2312" w:cs="仿宋_GB2312" w:eastAsia="仿宋_GB2312"/>
                <w:sz w:val="21"/>
              </w:rPr>
              <w:t>（</w:t>
            </w:r>
            <w:r>
              <w:rPr>
                <w:rFonts w:ascii="仿宋_GB2312" w:hAnsi="仿宋_GB2312" w:cs="仿宋_GB2312" w:eastAsia="仿宋_GB2312"/>
                <w:sz w:val="21"/>
              </w:rPr>
              <w:t>17）支持AI智能综述功能,系统应内置基于大语言模型的AI文献综述生成工具，支持用户输入主题或关键词，自动检索并基于相关文献生成结构化的文献综述初稿；</w:t>
            </w:r>
          </w:p>
          <w:p>
            <w:pPr>
              <w:pStyle w:val="null3"/>
            </w:pPr>
            <w:r>
              <w:rPr>
                <w:rFonts w:ascii="仿宋_GB2312" w:hAnsi="仿宋_GB2312" w:cs="仿宋_GB2312" w:eastAsia="仿宋_GB2312"/>
                <w:sz w:val="21"/>
              </w:rPr>
              <w:t>（</w:t>
            </w:r>
            <w:r>
              <w:rPr>
                <w:rFonts w:ascii="仿宋_GB2312" w:hAnsi="仿宋_GB2312" w:cs="仿宋_GB2312" w:eastAsia="仿宋_GB2312"/>
                <w:sz w:val="21"/>
              </w:rPr>
              <w:t>18）AI智能综述功能须提供可视化大纲编辑器与提示词编辑面板，支持用户自由增、删、改综述章节结构，生成综述需按用户定义框架组织内容；</w:t>
            </w:r>
          </w:p>
          <w:p>
            <w:pPr>
              <w:pStyle w:val="null3"/>
            </w:pPr>
            <w:r>
              <w:rPr>
                <w:rFonts w:ascii="仿宋_GB2312" w:hAnsi="仿宋_GB2312" w:cs="仿宋_GB2312" w:eastAsia="仿宋_GB2312"/>
                <w:sz w:val="21"/>
              </w:rPr>
              <w:t>（</w:t>
            </w:r>
            <w:r>
              <w:rPr>
                <w:rFonts w:ascii="仿宋_GB2312" w:hAnsi="仿宋_GB2312" w:cs="仿宋_GB2312" w:eastAsia="仿宋_GB2312"/>
                <w:sz w:val="21"/>
              </w:rPr>
              <w:t>19）支持自然语言检索，系统可接收用户自然语言提问式检索需求，通过大模型对提问内容进行语义识别、关键词提取，实现中外文关键词翻译，自动生成专业检索式并拓展相关研究方向。</w:t>
            </w:r>
          </w:p>
          <w:p>
            <w:pPr>
              <w:pStyle w:val="null3"/>
            </w:pPr>
            <w:r>
              <w:rPr>
                <w:rFonts w:ascii="仿宋_GB2312" w:hAnsi="仿宋_GB2312" w:cs="仿宋_GB2312" w:eastAsia="仿宋_GB2312"/>
                <w:sz w:val="21"/>
              </w:rPr>
              <w:t>（</w:t>
            </w:r>
            <w:r>
              <w:rPr>
                <w:rFonts w:ascii="仿宋_GB2312" w:hAnsi="仿宋_GB2312" w:cs="仿宋_GB2312" w:eastAsia="仿宋_GB2312"/>
                <w:sz w:val="21"/>
              </w:rPr>
              <w:t>20）支持 AI 翻译，可对英文文献、小语种文献的篇名、关键词、摘要进行一键翻译；</w:t>
            </w:r>
          </w:p>
          <w:p>
            <w:pPr>
              <w:pStyle w:val="null3"/>
            </w:pPr>
            <w:r>
              <w:rPr>
                <w:rFonts w:ascii="仿宋_GB2312" w:hAnsi="仿宋_GB2312" w:cs="仿宋_GB2312" w:eastAsia="仿宋_GB2312"/>
                <w:sz w:val="21"/>
              </w:rPr>
              <w:t>（</w:t>
            </w:r>
            <w:r>
              <w:rPr>
                <w:rFonts w:ascii="仿宋_GB2312" w:hAnsi="仿宋_GB2312" w:cs="仿宋_GB2312" w:eastAsia="仿宋_GB2312"/>
                <w:sz w:val="21"/>
              </w:rPr>
              <w:t>21）支持 AI对话功能，AI对话需支持多轮问答，并支持多篇文献、单篇文献、自由问答等多种模式；对话过程中支持文献查找、知识问答、全文获取途径的提供等多种功能;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22）支持对不同资源混合排序，如支持学术性、相关性、馆藏优先、时间升降序等排序方式；提供对单篇文章收藏、分享、导出的功能；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23）提供全国馆藏揭示，展示此资源被图书馆收录的情况，支持按省份地区、单位类型、重点院校浏览；</w:t>
            </w:r>
          </w:p>
          <w:p>
            <w:pPr>
              <w:pStyle w:val="null3"/>
            </w:pPr>
            <w:r>
              <w:rPr>
                <w:rFonts w:ascii="仿宋_GB2312" w:hAnsi="仿宋_GB2312" w:cs="仿宋_GB2312" w:eastAsia="仿宋_GB2312"/>
                <w:sz w:val="21"/>
              </w:rPr>
              <w:t>（</w:t>
            </w:r>
            <w:r>
              <w:rPr>
                <w:rFonts w:ascii="仿宋_GB2312" w:hAnsi="仿宋_GB2312" w:cs="仿宋_GB2312" w:eastAsia="仿宋_GB2312"/>
                <w:sz w:val="21"/>
              </w:rPr>
              <w:t>24）提供摘要和列表两种检索结果显示方式；</w:t>
            </w:r>
          </w:p>
          <w:p>
            <w:pPr>
              <w:pStyle w:val="null3"/>
            </w:pPr>
            <w:r>
              <w:rPr>
                <w:rFonts w:ascii="仿宋_GB2312" w:hAnsi="仿宋_GB2312" w:cs="仿宋_GB2312" w:eastAsia="仿宋_GB2312"/>
                <w:sz w:val="21"/>
              </w:rPr>
              <w:t>（</w:t>
            </w:r>
            <w:r>
              <w:rPr>
                <w:rFonts w:ascii="仿宋_GB2312" w:hAnsi="仿宋_GB2312" w:cs="仿宋_GB2312" w:eastAsia="仿宋_GB2312"/>
                <w:sz w:val="21"/>
              </w:rPr>
              <w:t>25）根据检索结果，提供知识点-知识点、知识点-人、人-人（学位论文作者谱系图等）、机构-机构动态的关联关系，并通过可视化方式展现；</w:t>
            </w:r>
          </w:p>
          <w:p>
            <w:pPr>
              <w:pStyle w:val="null3"/>
            </w:pPr>
            <w:r>
              <w:rPr>
                <w:rFonts w:ascii="仿宋_GB2312" w:hAnsi="仿宋_GB2312" w:cs="仿宋_GB2312" w:eastAsia="仿宋_GB2312"/>
                <w:sz w:val="21"/>
              </w:rPr>
              <w:t>（</w:t>
            </w:r>
            <w:r>
              <w:rPr>
                <w:rFonts w:ascii="仿宋_GB2312" w:hAnsi="仿宋_GB2312" w:cs="仿宋_GB2312" w:eastAsia="仿宋_GB2312"/>
                <w:sz w:val="21"/>
              </w:rPr>
              <w:t>26）根据检索结果，提供历年各文献类型学术文章发展分布趋势图、学科、刊物、重要收录、地区、基金等趋势图或分布图。并且和左侧分面聚类进行呼应呈现，支持Excel文件导出；</w:t>
            </w:r>
          </w:p>
          <w:p>
            <w:pPr>
              <w:pStyle w:val="null3"/>
            </w:pPr>
            <w:r>
              <w:rPr>
                <w:rFonts w:ascii="仿宋_GB2312" w:hAnsi="仿宋_GB2312" w:cs="仿宋_GB2312" w:eastAsia="仿宋_GB2312"/>
                <w:sz w:val="21"/>
              </w:rPr>
              <w:t>（</w:t>
            </w:r>
            <w:r>
              <w:rPr>
                <w:rFonts w:ascii="仿宋_GB2312" w:hAnsi="仿宋_GB2312" w:cs="仿宋_GB2312" w:eastAsia="仿宋_GB2312"/>
                <w:sz w:val="21"/>
              </w:rPr>
              <w:t>27）支持图书、期刊、学位论文等文献类型多主题对比，分析其发展趋势；并支持Excel文件导出；</w:t>
            </w:r>
          </w:p>
          <w:p>
            <w:pPr>
              <w:pStyle w:val="null3"/>
            </w:pPr>
            <w:r>
              <w:rPr>
                <w:rFonts w:ascii="仿宋_GB2312" w:hAnsi="仿宋_GB2312" w:cs="仿宋_GB2312" w:eastAsia="仿宋_GB2312"/>
                <w:sz w:val="21"/>
              </w:rPr>
              <w:t>（</w:t>
            </w:r>
            <w:r>
              <w:rPr>
                <w:rFonts w:ascii="仿宋_GB2312" w:hAnsi="仿宋_GB2312" w:cs="仿宋_GB2312" w:eastAsia="仿宋_GB2312"/>
                <w:sz w:val="21"/>
              </w:rPr>
              <w:t>28）提供当前检索词同义词、上位词、兄弟词等多种关系图谱展示；</w:t>
            </w:r>
          </w:p>
          <w:p>
            <w:pPr>
              <w:pStyle w:val="null3"/>
            </w:pPr>
            <w:r>
              <w:rPr>
                <w:rFonts w:ascii="仿宋_GB2312" w:hAnsi="仿宋_GB2312" w:cs="仿宋_GB2312" w:eastAsia="仿宋_GB2312"/>
                <w:sz w:val="21"/>
              </w:rPr>
              <w:t>（</w:t>
            </w:r>
            <w:r>
              <w:rPr>
                <w:rFonts w:ascii="仿宋_GB2312" w:hAnsi="仿宋_GB2312" w:cs="仿宋_GB2312" w:eastAsia="仿宋_GB2312"/>
                <w:sz w:val="21"/>
              </w:rPr>
              <w:t>29）提供期刊历年影响因子趋势图谱分析；</w:t>
            </w:r>
          </w:p>
          <w:p>
            <w:pPr>
              <w:pStyle w:val="null3"/>
            </w:pPr>
            <w:r>
              <w:rPr>
                <w:rFonts w:ascii="仿宋_GB2312" w:hAnsi="仿宋_GB2312" w:cs="仿宋_GB2312" w:eastAsia="仿宋_GB2312"/>
                <w:sz w:val="21"/>
              </w:rPr>
              <w:t>（</w:t>
            </w:r>
            <w:r>
              <w:rPr>
                <w:rFonts w:ascii="仿宋_GB2312" w:hAnsi="仿宋_GB2312" w:cs="仿宋_GB2312" w:eastAsia="仿宋_GB2312"/>
                <w:sz w:val="21"/>
              </w:rPr>
              <w:t>30）提供知识关联图谱分析，通过输入中心词，可呈现相关的知识点关系图，支持按照不同属性、不同布局、不同节点数量等条件进行筛选，呈现渐进式多层图谱效果，同时提供该知识点相关文献的推荐；</w:t>
            </w:r>
          </w:p>
          <w:p>
            <w:pPr>
              <w:pStyle w:val="null3"/>
            </w:pPr>
            <w:r>
              <w:rPr>
                <w:rFonts w:ascii="仿宋_GB2312" w:hAnsi="仿宋_GB2312" w:cs="仿宋_GB2312" w:eastAsia="仿宋_GB2312"/>
                <w:sz w:val="21"/>
              </w:rPr>
              <w:t>（</w:t>
            </w:r>
            <w:r>
              <w:rPr>
                <w:rFonts w:ascii="仿宋_GB2312" w:hAnsi="仿宋_GB2312" w:cs="仿宋_GB2312" w:eastAsia="仿宋_GB2312"/>
                <w:sz w:val="21"/>
              </w:rPr>
              <w:t>31）提供图书-图书、图书-期刊、期刊-图书、期刊-期刊、期刊-论文、期刊-报纸等文献的引用分析，提供完整参考文献与引证文献的列表，列表中的文献具备引证关系二次拓展的功能；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32）提供图书、期刊等文献被引用情况的年代分布曲线；</w:t>
            </w:r>
          </w:p>
          <w:p>
            <w:pPr>
              <w:pStyle w:val="null3"/>
            </w:pPr>
            <w:r>
              <w:rPr>
                <w:rFonts w:ascii="仿宋_GB2312" w:hAnsi="仿宋_GB2312" w:cs="仿宋_GB2312" w:eastAsia="仿宋_GB2312"/>
                <w:sz w:val="21"/>
              </w:rPr>
              <w:t>（</w:t>
            </w:r>
            <w:r>
              <w:rPr>
                <w:rFonts w:ascii="仿宋_GB2312" w:hAnsi="仿宋_GB2312" w:cs="仿宋_GB2312" w:eastAsia="仿宋_GB2312"/>
                <w:sz w:val="21"/>
              </w:rPr>
              <w:t>33）提供期刊-期刊文献的引用分析功能，中文期刊的引用分析数量不低于8000万篇文献；</w:t>
            </w:r>
          </w:p>
          <w:p>
            <w:pPr>
              <w:pStyle w:val="null3"/>
            </w:pPr>
            <w:r>
              <w:rPr>
                <w:rFonts w:ascii="仿宋_GB2312" w:hAnsi="仿宋_GB2312" w:cs="仿宋_GB2312" w:eastAsia="仿宋_GB2312"/>
                <w:sz w:val="21"/>
              </w:rPr>
              <w:t>（</w:t>
            </w:r>
            <w:r>
              <w:rPr>
                <w:rFonts w:ascii="仿宋_GB2312" w:hAnsi="仿宋_GB2312" w:cs="仿宋_GB2312" w:eastAsia="仿宋_GB2312"/>
                <w:sz w:val="21"/>
              </w:rPr>
              <w:t>34）元数据可支持多条保存电子题录信息，支持以邮箱、EndNote、NoteExpress、RefWorks、NoteFirst、BibTex等多种输出方式；且输出字段可选，同时支持选中结果直接打印；</w:t>
            </w:r>
          </w:p>
          <w:p>
            <w:pPr>
              <w:pStyle w:val="null3"/>
            </w:pPr>
            <w:r>
              <w:rPr>
                <w:rFonts w:ascii="仿宋_GB2312" w:hAnsi="仿宋_GB2312" w:cs="仿宋_GB2312" w:eastAsia="仿宋_GB2312"/>
                <w:sz w:val="21"/>
              </w:rPr>
              <w:t>（</w:t>
            </w:r>
            <w:r>
              <w:rPr>
                <w:rFonts w:ascii="仿宋_GB2312" w:hAnsi="仿宋_GB2312" w:cs="仿宋_GB2312" w:eastAsia="仿宋_GB2312"/>
                <w:sz w:val="21"/>
              </w:rPr>
              <w:t>35）提供检索式的保存，可定期按照已保存的检索式推送最新资源到读者邮箱；</w:t>
            </w:r>
          </w:p>
          <w:p>
            <w:pPr>
              <w:pStyle w:val="null3"/>
            </w:pPr>
            <w:r>
              <w:rPr>
                <w:rFonts w:ascii="仿宋_GB2312" w:hAnsi="仿宋_GB2312" w:cs="仿宋_GB2312" w:eastAsia="仿宋_GB2312"/>
                <w:sz w:val="21"/>
              </w:rPr>
              <w:t>（</w:t>
            </w:r>
            <w:r>
              <w:rPr>
                <w:rFonts w:ascii="仿宋_GB2312" w:hAnsi="仿宋_GB2312" w:cs="仿宋_GB2312" w:eastAsia="仿宋_GB2312"/>
                <w:sz w:val="21"/>
              </w:rPr>
              <w:t>36）提供读者的个人学习空间；</w:t>
            </w:r>
          </w:p>
          <w:p>
            <w:pPr>
              <w:pStyle w:val="null3"/>
            </w:pPr>
            <w:r>
              <w:rPr>
                <w:rFonts w:ascii="仿宋_GB2312" w:hAnsi="仿宋_GB2312" w:cs="仿宋_GB2312" w:eastAsia="仿宋_GB2312"/>
                <w:sz w:val="21"/>
              </w:rPr>
              <w:t>（</w:t>
            </w:r>
            <w:r>
              <w:rPr>
                <w:rFonts w:ascii="仿宋_GB2312" w:hAnsi="仿宋_GB2312" w:cs="仿宋_GB2312" w:eastAsia="仿宋_GB2312"/>
                <w:sz w:val="21"/>
              </w:rPr>
              <w:t>37）通过分析图书、期刊、学位论文、会议论文等不同文献的特点，对单篇文献提供多种相关文章推送；</w:t>
            </w:r>
          </w:p>
          <w:p>
            <w:pPr>
              <w:pStyle w:val="null3"/>
            </w:pPr>
            <w:r>
              <w:rPr>
                <w:rFonts w:ascii="仿宋_GB2312" w:hAnsi="仿宋_GB2312" w:cs="仿宋_GB2312" w:eastAsia="仿宋_GB2312"/>
                <w:sz w:val="21"/>
              </w:rPr>
              <w:t>（</w:t>
            </w:r>
            <w:r>
              <w:rPr>
                <w:rFonts w:ascii="仿宋_GB2312" w:hAnsi="仿宋_GB2312" w:cs="仿宋_GB2312" w:eastAsia="仿宋_GB2312"/>
                <w:sz w:val="21"/>
              </w:rPr>
              <w:t>38）支持与图书馆OPAC系统、各类商业数据库无缝对接；</w:t>
            </w:r>
          </w:p>
          <w:p>
            <w:pPr>
              <w:pStyle w:val="null3"/>
            </w:pPr>
            <w:r>
              <w:rPr>
                <w:rFonts w:ascii="仿宋_GB2312" w:hAnsi="仿宋_GB2312" w:cs="仿宋_GB2312" w:eastAsia="仿宋_GB2312"/>
                <w:sz w:val="21"/>
              </w:rPr>
              <w:t>（</w:t>
            </w:r>
            <w:r>
              <w:rPr>
                <w:rFonts w:ascii="仿宋_GB2312" w:hAnsi="仿宋_GB2312" w:cs="仿宋_GB2312" w:eastAsia="仿宋_GB2312"/>
                <w:sz w:val="21"/>
              </w:rPr>
              <w:t>39）支持与本省、本地区资源共享服务平台无缝对接，同时支持与第三方文献资源保障平台对接如百链、calis等；</w:t>
            </w:r>
          </w:p>
          <w:p>
            <w:pPr>
              <w:pStyle w:val="null3"/>
            </w:pPr>
            <w:r>
              <w:rPr>
                <w:rFonts w:ascii="仿宋_GB2312" w:hAnsi="仿宋_GB2312" w:cs="仿宋_GB2312" w:eastAsia="仿宋_GB2312"/>
                <w:sz w:val="21"/>
              </w:rPr>
              <w:t>（</w:t>
            </w:r>
            <w:r>
              <w:rPr>
                <w:rFonts w:ascii="仿宋_GB2312" w:hAnsi="仿宋_GB2312" w:cs="仿宋_GB2312" w:eastAsia="仿宋_GB2312"/>
                <w:sz w:val="21"/>
              </w:rPr>
              <w:t>40）支持与第三方系统的单点认证；</w:t>
            </w:r>
          </w:p>
          <w:p>
            <w:pPr>
              <w:pStyle w:val="null3"/>
            </w:pPr>
            <w:r>
              <w:rPr>
                <w:rFonts w:ascii="仿宋_GB2312" w:hAnsi="仿宋_GB2312" w:cs="仿宋_GB2312" w:eastAsia="仿宋_GB2312"/>
                <w:sz w:val="21"/>
              </w:rPr>
              <w:t>（</w:t>
            </w:r>
            <w:r>
              <w:rPr>
                <w:rFonts w:ascii="仿宋_GB2312" w:hAnsi="仿宋_GB2312" w:cs="仿宋_GB2312" w:eastAsia="仿宋_GB2312"/>
                <w:sz w:val="21"/>
              </w:rPr>
              <w:t>41）支持首页LOGO个性化定制服务。</w:t>
            </w:r>
          </w:p>
          <w:p>
            <w:pPr>
              <w:pStyle w:val="null3"/>
            </w:pPr>
            <w:r>
              <w:rPr>
                <w:rFonts w:ascii="仿宋_GB2312" w:hAnsi="仿宋_GB2312" w:cs="仿宋_GB2312" w:eastAsia="仿宋_GB2312"/>
                <w:sz w:val="21"/>
              </w:rPr>
              <w:t>2.2.2 超星百链云图书馆服务标准</w:t>
            </w:r>
          </w:p>
          <w:p>
            <w:pPr>
              <w:pStyle w:val="null3"/>
            </w:pPr>
            <w:r>
              <w:rPr>
                <w:rFonts w:ascii="仿宋_GB2312" w:hAnsi="仿宋_GB2312" w:cs="仿宋_GB2312" w:eastAsia="仿宋_GB2312"/>
                <w:sz w:val="21"/>
              </w:rPr>
              <w:t>2.2.2.1统一检索平台</w:t>
            </w:r>
          </w:p>
          <w:p>
            <w:pPr>
              <w:pStyle w:val="null3"/>
            </w:pPr>
            <w:r>
              <w:rPr>
                <w:rFonts w:ascii="仿宋_GB2312" w:hAnsi="仿宋_GB2312" w:cs="仿宋_GB2312" w:eastAsia="仿宋_GB2312"/>
                <w:sz w:val="21"/>
              </w:rPr>
              <w:t>（</w:t>
            </w:r>
            <w:r>
              <w:rPr>
                <w:rFonts w:ascii="仿宋_GB2312" w:hAnsi="仿宋_GB2312" w:cs="仿宋_GB2312" w:eastAsia="仿宋_GB2312"/>
                <w:sz w:val="21"/>
              </w:rPr>
              <w:t>1）支持统一检索,实现基于中外文资源元数据的检索，可以针对期刊/学位论文/会议论文/专利/标准等模块同时检索，并可以实现各模块独立检索。</w:t>
            </w:r>
          </w:p>
          <w:p>
            <w:pPr>
              <w:pStyle w:val="null3"/>
            </w:pPr>
            <w:r>
              <w:rPr>
                <w:rFonts w:ascii="仿宋_GB2312" w:hAnsi="仿宋_GB2312" w:cs="仿宋_GB2312" w:eastAsia="仿宋_GB2312"/>
                <w:sz w:val="21"/>
              </w:rPr>
              <w:t>（</w:t>
            </w:r>
            <w:r>
              <w:rPr>
                <w:rFonts w:ascii="仿宋_GB2312" w:hAnsi="仿宋_GB2312" w:cs="仿宋_GB2312" w:eastAsia="仿宋_GB2312"/>
                <w:sz w:val="21"/>
              </w:rPr>
              <w:t>2）通过资源调度openURL规则允许定义获取中外文原文资源链接在网页的调用位置和方式。</w:t>
            </w:r>
          </w:p>
          <w:p>
            <w:pPr>
              <w:pStyle w:val="null3"/>
            </w:pPr>
            <w:r>
              <w:rPr>
                <w:rFonts w:ascii="仿宋_GB2312" w:hAnsi="仿宋_GB2312" w:cs="仿宋_GB2312" w:eastAsia="仿宋_GB2312"/>
                <w:sz w:val="21"/>
              </w:rPr>
              <w:t>（</w:t>
            </w:r>
            <w:r>
              <w:rPr>
                <w:rFonts w:ascii="仿宋_GB2312" w:hAnsi="仿宋_GB2312" w:cs="仿宋_GB2312" w:eastAsia="仿宋_GB2312"/>
                <w:sz w:val="21"/>
              </w:rPr>
              <w:t>3）检索对期刊/学位论文/会议论文/专利/标准等模块中任何一种资源时，同时显示其他全部相关资源信息。</w:t>
            </w:r>
          </w:p>
          <w:p>
            <w:pPr>
              <w:pStyle w:val="null3"/>
            </w:pPr>
            <w:r>
              <w:rPr>
                <w:rFonts w:ascii="仿宋_GB2312" w:hAnsi="仿宋_GB2312" w:cs="仿宋_GB2312" w:eastAsia="仿宋_GB2312"/>
                <w:sz w:val="21"/>
              </w:rPr>
              <w:t>（</w:t>
            </w:r>
            <w:r>
              <w:rPr>
                <w:rFonts w:ascii="仿宋_GB2312" w:hAnsi="仿宋_GB2312" w:cs="仿宋_GB2312" w:eastAsia="仿宋_GB2312"/>
                <w:sz w:val="21"/>
              </w:rPr>
              <w:t>4）元数据支持自动去除数据中重复内容，并自动提取题名、刊名目录等关键字段。</w:t>
            </w:r>
          </w:p>
          <w:p>
            <w:pPr>
              <w:pStyle w:val="null3"/>
            </w:pPr>
            <w:r>
              <w:rPr>
                <w:rFonts w:ascii="仿宋_GB2312" w:hAnsi="仿宋_GB2312" w:cs="仿宋_GB2312" w:eastAsia="仿宋_GB2312"/>
                <w:sz w:val="21"/>
              </w:rPr>
              <w:t>2.2.2.2文献传递平台</w:t>
            </w:r>
          </w:p>
          <w:p>
            <w:pPr>
              <w:pStyle w:val="null3"/>
            </w:pPr>
            <w:r>
              <w:rPr>
                <w:rFonts w:ascii="仿宋_GB2312" w:hAnsi="仿宋_GB2312" w:cs="仿宋_GB2312" w:eastAsia="仿宋_GB2312"/>
                <w:sz w:val="21"/>
              </w:rPr>
              <w:t>（</w:t>
            </w:r>
            <w:r>
              <w:rPr>
                <w:rFonts w:ascii="仿宋_GB2312" w:hAnsi="仿宋_GB2312" w:cs="仿宋_GB2312" w:eastAsia="仿宋_GB2312"/>
                <w:sz w:val="21"/>
              </w:rPr>
              <w:t>1）文献传递系统和元数据仓储的统一检索系统集成，检索系统将申请传递功能自动内嵌。</w:t>
            </w:r>
          </w:p>
          <w:p>
            <w:pPr>
              <w:pStyle w:val="null3"/>
            </w:pPr>
            <w:r>
              <w:rPr>
                <w:rFonts w:ascii="仿宋_GB2312" w:hAnsi="仿宋_GB2312" w:cs="仿宋_GB2312" w:eastAsia="仿宋_GB2312"/>
                <w:sz w:val="21"/>
              </w:rPr>
              <w:t>（</w:t>
            </w:r>
            <w:r>
              <w:rPr>
                <w:rFonts w:ascii="仿宋_GB2312" w:hAnsi="仿宋_GB2312" w:cs="仿宋_GB2312" w:eastAsia="仿宋_GB2312"/>
                <w:sz w:val="21"/>
              </w:rPr>
              <w:t>2）对于本馆资源之外资源可以实现所有整合的图书馆相互文献传递。</w:t>
            </w:r>
          </w:p>
          <w:p>
            <w:pPr>
              <w:pStyle w:val="null3"/>
            </w:pPr>
            <w:r>
              <w:rPr>
                <w:rFonts w:ascii="仿宋_GB2312" w:hAnsi="仿宋_GB2312" w:cs="仿宋_GB2312" w:eastAsia="仿宋_GB2312"/>
                <w:sz w:val="21"/>
              </w:rPr>
              <w:t>（</w:t>
            </w:r>
            <w:r>
              <w:rPr>
                <w:rFonts w:ascii="仿宋_GB2312" w:hAnsi="仿宋_GB2312" w:cs="仿宋_GB2312" w:eastAsia="仿宋_GB2312"/>
                <w:sz w:val="21"/>
              </w:rPr>
              <w:t>3）提供文献传递功能及文献传递管理处理后台。</w:t>
            </w:r>
          </w:p>
          <w:p>
            <w:pPr>
              <w:pStyle w:val="null3"/>
            </w:pPr>
            <w:r>
              <w:rPr>
                <w:rFonts w:ascii="仿宋_GB2312" w:hAnsi="仿宋_GB2312" w:cs="仿宋_GB2312" w:eastAsia="仿宋_GB2312"/>
                <w:sz w:val="21"/>
              </w:rPr>
              <w:t>（</w:t>
            </w:r>
            <w:r>
              <w:rPr>
                <w:rFonts w:ascii="仿宋_GB2312" w:hAnsi="仿宋_GB2312" w:cs="仿宋_GB2312" w:eastAsia="仿宋_GB2312"/>
                <w:sz w:val="21"/>
              </w:rPr>
              <w:t>4）文献传递系统应可嵌入在资源检索系统中，根据检索结果可直接发请求到文献传递系统。</w:t>
            </w:r>
          </w:p>
          <w:p>
            <w:pPr>
              <w:pStyle w:val="null3"/>
            </w:pPr>
            <w:r>
              <w:rPr>
                <w:rFonts w:ascii="仿宋_GB2312" w:hAnsi="仿宋_GB2312" w:cs="仿宋_GB2312" w:eastAsia="仿宋_GB2312"/>
                <w:sz w:val="21"/>
              </w:rPr>
              <w:t>（</w:t>
            </w:r>
            <w:r>
              <w:rPr>
                <w:rFonts w:ascii="仿宋_GB2312" w:hAnsi="仿宋_GB2312" w:cs="仿宋_GB2312" w:eastAsia="仿宋_GB2312"/>
                <w:sz w:val="21"/>
              </w:rPr>
              <w:t>5）参考咨询员工作量统计；</w:t>
            </w:r>
          </w:p>
          <w:p>
            <w:pPr>
              <w:pStyle w:val="null3"/>
            </w:pPr>
            <w:r>
              <w:rPr>
                <w:rFonts w:ascii="仿宋_GB2312" w:hAnsi="仿宋_GB2312" w:cs="仿宋_GB2312" w:eastAsia="仿宋_GB2312"/>
                <w:sz w:val="21"/>
              </w:rPr>
              <w:t>1）统计数据揭示字段：咨询标题、类型（期刊或其他）、数据来源（数据库）、读者单位名称、提交时间等。</w:t>
            </w:r>
          </w:p>
          <w:p>
            <w:pPr>
              <w:pStyle w:val="null3"/>
            </w:pPr>
            <w:r>
              <w:rPr>
                <w:rFonts w:ascii="仿宋_GB2312" w:hAnsi="仿宋_GB2312" w:cs="仿宋_GB2312" w:eastAsia="仿宋_GB2312"/>
                <w:sz w:val="21"/>
              </w:rPr>
              <w:t>2）统计界面提供按“读者单位”、“邮箱”、“咨询标题”等字段检索。</w:t>
            </w:r>
          </w:p>
          <w:p>
            <w:pPr>
              <w:pStyle w:val="null3"/>
            </w:pPr>
            <w:r>
              <w:rPr>
                <w:rFonts w:ascii="仿宋_GB2312" w:hAnsi="仿宋_GB2312" w:cs="仿宋_GB2312" w:eastAsia="仿宋_GB2312"/>
                <w:sz w:val="21"/>
              </w:rPr>
              <w:t>2.2.2.3元数据</w:t>
            </w:r>
          </w:p>
          <w:p>
            <w:pPr>
              <w:pStyle w:val="null3"/>
            </w:pPr>
            <w:r>
              <w:rPr>
                <w:rFonts w:ascii="仿宋_GB2312" w:hAnsi="仿宋_GB2312" w:cs="仿宋_GB2312" w:eastAsia="仿宋_GB2312"/>
                <w:sz w:val="21"/>
              </w:rPr>
              <w:t>必需收集近</w:t>
            </w:r>
            <w:r>
              <w:rPr>
                <w:rFonts w:ascii="仿宋_GB2312" w:hAnsi="仿宋_GB2312" w:cs="仿宋_GB2312" w:eastAsia="仿宋_GB2312"/>
                <w:sz w:val="21"/>
              </w:rPr>
              <w:t>10年以上的有效元数据，元数据包含外文全文Springer，Elsevier，OVID，wiley，EBSCO等主流数据库；元数据收集工作由中标方独立完成。</w:t>
            </w:r>
          </w:p>
          <w:p>
            <w:pPr>
              <w:pStyle w:val="null3"/>
            </w:pPr>
            <w:r>
              <w:rPr>
                <w:rFonts w:ascii="仿宋_GB2312" w:hAnsi="仿宋_GB2312" w:cs="仿宋_GB2312" w:eastAsia="仿宋_GB2312"/>
                <w:sz w:val="21"/>
              </w:rPr>
              <w:t>（</w:t>
            </w:r>
            <w:r>
              <w:rPr>
                <w:rFonts w:ascii="仿宋_GB2312" w:hAnsi="仿宋_GB2312" w:cs="仿宋_GB2312" w:eastAsia="仿宋_GB2312"/>
                <w:sz w:val="21"/>
              </w:rPr>
              <w:t>1）整合中文期刊不少于2万种，整合外文期刊不少于6万种。</w:t>
            </w:r>
          </w:p>
          <w:p>
            <w:pPr>
              <w:pStyle w:val="null3"/>
            </w:pPr>
            <w:r>
              <w:rPr>
                <w:rFonts w:ascii="仿宋_GB2312" w:hAnsi="仿宋_GB2312" w:cs="仿宋_GB2312" w:eastAsia="仿宋_GB2312"/>
                <w:sz w:val="21"/>
              </w:rPr>
              <w:t>（</w:t>
            </w:r>
            <w:r>
              <w:rPr>
                <w:rFonts w:ascii="仿宋_GB2312" w:hAnsi="仿宋_GB2312" w:cs="仿宋_GB2312" w:eastAsia="仿宋_GB2312"/>
                <w:sz w:val="21"/>
              </w:rPr>
              <w:t>2）整合的全国其它图书馆数不少于1000家。</w:t>
            </w:r>
          </w:p>
          <w:p>
            <w:pPr>
              <w:pStyle w:val="null3"/>
            </w:pPr>
            <w:r>
              <w:rPr>
                <w:rFonts w:ascii="仿宋_GB2312" w:hAnsi="仿宋_GB2312" w:cs="仿宋_GB2312" w:eastAsia="仿宋_GB2312"/>
                <w:sz w:val="21"/>
              </w:rPr>
              <w:t>（</w:t>
            </w:r>
            <w:r>
              <w:rPr>
                <w:rFonts w:ascii="仿宋_GB2312" w:hAnsi="仿宋_GB2312" w:cs="仿宋_GB2312" w:eastAsia="仿宋_GB2312"/>
                <w:sz w:val="21"/>
              </w:rPr>
              <w:t>3）涵盖不少于500余个中外文数据库资源，提交数据库清单。</w:t>
            </w:r>
          </w:p>
          <w:p>
            <w:pPr>
              <w:pStyle w:val="null3"/>
            </w:pPr>
            <w:r>
              <w:rPr>
                <w:rFonts w:ascii="仿宋_GB2312" w:hAnsi="仿宋_GB2312" w:cs="仿宋_GB2312" w:eastAsia="仿宋_GB2312"/>
                <w:sz w:val="21"/>
              </w:rPr>
              <w:t>（</w:t>
            </w:r>
            <w:r>
              <w:rPr>
                <w:rFonts w:ascii="仿宋_GB2312" w:hAnsi="仿宋_GB2312" w:cs="仿宋_GB2312" w:eastAsia="仿宋_GB2312"/>
                <w:sz w:val="21"/>
              </w:rPr>
              <w:t>4）检索时间反馈为秒级；查全率应为90%以上。</w:t>
            </w:r>
          </w:p>
          <w:p>
            <w:pPr>
              <w:pStyle w:val="null3"/>
            </w:pPr>
            <w:r>
              <w:rPr>
                <w:rFonts w:ascii="仿宋_GB2312" w:hAnsi="仿宋_GB2312" w:cs="仿宋_GB2312" w:eastAsia="仿宋_GB2312"/>
                <w:sz w:val="21"/>
              </w:rPr>
              <w:t>（</w:t>
            </w:r>
            <w:r>
              <w:rPr>
                <w:rFonts w:ascii="仿宋_GB2312" w:hAnsi="仿宋_GB2312" w:cs="仿宋_GB2312" w:eastAsia="仿宋_GB2312"/>
                <w:sz w:val="21"/>
              </w:rPr>
              <w:t>5）期刊检索结果具有按照年代、学科、刊种等信息的聚类功能。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6）检索结果支持按照相似度、时间、学术价值等维度排序。</w:t>
            </w:r>
          </w:p>
          <w:p>
            <w:pPr>
              <w:pStyle w:val="null3"/>
            </w:pPr>
            <w:r>
              <w:rPr>
                <w:rFonts w:ascii="仿宋_GB2312" w:hAnsi="仿宋_GB2312" w:cs="仿宋_GB2312" w:eastAsia="仿宋_GB2312"/>
                <w:sz w:val="21"/>
              </w:rPr>
              <w:t>（</w:t>
            </w:r>
            <w:r>
              <w:rPr>
                <w:rFonts w:ascii="仿宋_GB2312" w:hAnsi="仿宋_GB2312" w:cs="仿宋_GB2312" w:eastAsia="仿宋_GB2312"/>
                <w:sz w:val="21"/>
              </w:rPr>
              <w:t>7）中文期刊和外文期刊分开检索，并且能够直接链接到来源库全文下载网页，对于同一篇文章同时多个数据商都有的情况，可以列出文章出自多个数据商来源。</w:t>
            </w:r>
          </w:p>
          <w:p>
            <w:pPr>
              <w:pStyle w:val="null3"/>
            </w:pPr>
            <w:r>
              <w:rPr>
                <w:rFonts w:ascii="仿宋_GB2312" w:hAnsi="仿宋_GB2312" w:cs="仿宋_GB2312" w:eastAsia="仿宋_GB2312"/>
                <w:sz w:val="21"/>
              </w:rPr>
              <w:t>（</w:t>
            </w:r>
            <w:r>
              <w:rPr>
                <w:rFonts w:ascii="仿宋_GB2312" w:hAnsi="仿宋_GB2312" w:cs="仿宋_GB2312" w:eastAsia="仿宋_GB2312"/>
                <w:sz w:val="21"/>
              </w:rPr>
              <w:t>8）快速检索帮助读者像利用搜索引擎一样检索学术资源。</w:t>
            </w:r>
          </w:p>
          <w:p>
            <w:pPr>
              <w:pStyle w:val="null3"/>
            </w:pPr>
            <w:r>
              <w:rPr>
                <w:rFonts w:ascii="仿宋_GB2312" w:hAnsi="仿宋_GB2312" w:cs="仿宋_GB2312" w:eastAsia="仿宋_GB2312"/>
                <w:sz w:val="21"/>
              </w:rPr>
              <w:t>（</w:t>
            </w:r>
            <w:r>
              <w:rPr>
                <w:rFonts w:ascii="仿宋_GB2312" w:hAnsi="仿宋_GB2312" w:cs="仿宋_GB2312" w:eastAsia="仿宋_GB2312"/>
                <w:sz w:val="21"/>
              </w:rPr>
              <w:t>9）多面搜索： 检索任何一种资源时，同时显示其他相关资源信息。</w:t>
            </w:r>
          </w:p>
          <w:p>
            <w:pPr>
              <w:pStyle w:val="null3"/>
            </w:pPr>
            <w:r>
              <w:rPr>
                <w:rFonts w:ascii="仿宋_GB2312" w:hAnsi="仿宋_GB2312" w:cs="仿宋_GB2312" w:eastAsia="仿宋_GB2312"/>
                <w:sz w:val="21"/>
              </w:rPr>
              <w:t>（</w:t>
            </w:r>
            <w:r>
              <w:rPr>
                <w:rFonts w:ascii="仿宋_GB2312" w:hAnsi="仿宋_GB2312" w:cs="仿宋_GB2312" w:eastAsia="仿宋_GB2312"/>
                <w:sz w:val="21"/>
              </w:rPr>
              <w:t>10）全文传递响应时间在48小时之内。</w:t>
            </w:r>
          </w:p>
          <w:p>
            <w:pPr>
              <w:pStyle w:val="null3"/>
            </w:pPr>
            <w:r>
              <w:rPr>
                <w:rFonts w:ascii="仿宋_GB2312" w:hAnsi="仿宋_GB2312" w:cs="仿宋_GB2312" w:eastAsia="仿宋_GB2312"/>
                <w:sz w:val="21"/>
              </w:rPr>
              <w:t>（</w:t>
            </w:r>
            <w:r>
              <w:rPr>
                <w:rFonts w:ascii="仿宋_GB2312" w:hAnsi="仿宋_GB2312" w:cs="仿宋_GB2312" w:eastAsia="仿宋_GB2312"/>
                <w:sz w:val="21"/>
              </w:rPr>
              <w:t>11）提供全国各地图书馆共享服务平台案例证明，保证文献传递满足率与服务质量。</w:t>
            </w:r>
          </w:p>
          <w:p>
            <w:pPr>
              <w:pStyle w:val="null3"/>
            </w:pPr>
            <w:r>
              <w:rPr>
                <w:rFonts w:ascii="仿宋_GB2312" w:hAnsi="仿宋_GB2312" w:cs="仿宋_GB2312" w:eastAsia="仿宋_GB2312"/>
                <w:sz w:val="21"/>
              </w:rPr>
              <w:t>（</w:t>
            </w:r>
            <w:r>
              <w:rPr>
                <w:rFonts w:ascii="仿宋_GB2312" w:hAnsi="仿宋_GB2312" w:cs="仿宋_GB2312" w:eastAsia="仿宋_GB2312"/>
                <w:sz w:val="21"/>
              </w:rPr>
              <w:t>12）数据整合方式必须以元数据方式整合。</w:t>
            </w:r>
          </w:p>
          <w:p>
            <w:pPr>
              <w:pStyle w:val="null3"/>
            </w:pPr>
            <w:r>
              <w:rPr>
                <w:rFonts w:ascii="仿宋_GB2312" w:hAnsi="仿宋_GB2312" w:cs="仿宋_GB2312" w:eastAsia="仿宋_GB2312"/>
                <w:sz w:val="21"/>
              </w:rPr>
              <w:t>（</w:t>
            </w:r>
            <w:r>
              <w:rPr>
                <w:rFonts w:ascii="仿宋_GB2312" w:hAnsi="仿宋_GB2312" w:cs="仿宋_GB2312" w:eastAsia="仿宋_GB2312"/>
                <w:sz w:val="21"/>
              </w:rPr>
              <w:t>13）中文全文传递获取的满足率达到或超过96%；外文全文传递获取的满足率达到或超过90%。</w:t>
            </w:r>
          </w:p>
          <w:p>
            <w:pPr>
              <w:pStyle w:val="null3"/>
            </w:pPr>
            <w:r>
              <w:rPr>
                <w:rFonts w:ascii="仿宋_GB2312" w:hAnsi="仿宋_GB2312" w:cs="仿宋_GB2312" w:eastAsia="仿宋_GB2312"/>
                <w:sz w:val="21"/>
              </w:rPr>
              <w:t>（</w:t>
            </w:r>
            <w:r>
              <w:rPr>
                <w:rFonts w:ascii="仿宋_GB2312" w:hAnsi="仿宋_GB2312" w:cs="仿宋_GB2312" w:eastAsia="仿宋_GB2312"/>
                <w:sz w:val="21"/>
              </w:rPr>
              <w:t>14）同时满足下列功能: 满足期刊、学位论文、会议论文等资源的搜索；同时满足的获取方式包括本馆和非本馆的资源获取等。</w:t>
            </w:r>
          </w:p>
          <w:p>
            <w:pPr>
              <w:pStyle w:val="null3"/>
            </w:pPr>
            <w:r>
              <w:rPr>
                <w:rFonts w:ascii="仿宋_GB2312" w:hAnsi="仿宋_GB2312" w:cs="仿宋_GB2312" w:eastAsia="仿宋_GB2312"/>
                <w:sz w:val="21"/>
              </w:rPr>
              <w:t>2.2.3 读秀学术搜索服务标准</w:t>
            </w:r>
          </w:p>
          <w:p>
            <w:pPr>
              <w:pStyle w:val="null3"/>
            </w:pPr>
            <w:r>
              <w:rPr>
                <w:rFonts w:ascii="仿宋_GB2312" w:hAnsi="仿宋_GB2312" w:cs="仿宋_GB2312" w:eastAsia="仿宋_GB2312"/>
                <w:sz w:val="21"/>
              </w:rPr>
              <w:t>（</w:t>
            </w:r>
            <w:r>
              <w:rPr>
                <w:rFonts w:ascii="仿宋_GB2312" w:hAnsi="仿宋_GB2312" w:cs="仿宋_GB2312" w:eastAsia="仿宋_GB2312"/>
                <w:sz w:val="21"/>
              </w:rPr>
              <w:t>1）平台需满足书、作者、主题词等基本字段搜索、章节名称搜索、正文搜索。</w:t>
            </w:r>
          </w:p>
          <w:p>
            <w:pPr>
              <w:pStyle w:val="null3"/>
            </w:pPr>
            <w:r>
              <w:rPr>
                <w:rFonts w:ascii="仿宋_GB2312" w:hAnsi="仿宋_GB2312" w:cs="仿宋_GB2312" w:eastAsia="仿宋_GB2312"/>
                <w:sz w:val="21"/>
              </w:rPr>
              <w:t>（</w:t>
            </w:r>
            <w:r>
              <w:rPr>
                <w:rFonts w:ascii="仿宋_GB2312" w:hAnsi="仿宋_GB2312" w:cs="仿宋_GB2312" w:eastAsia="仿宋_GB2312"/>
                <w:sz w:val="21"/>
              </w:rPr>
              <w:t>2）提供二次搜索，且提供布尔逻辑的高级搜索、专业搜索等功能。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3）平台需支持知识点搜索，用户可在不少于17.6亿页图书资料中通过搜索找到所需知识点并直接阅读，阅读中提供文字提取、查看来源等功能。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4）平台需涵盖知识点、图书类型，为读者提供海量信息资源多面搜索服务。</w:t>
            </w:r>
          </w:p>
          <w:p>
            <w:pPr>
              <w:pStyle w:val="null3"/>
            </w:pPr>
            <w:r>
              <w:rPr>
                <w:rFonts w:ascii="仿宋_GB2312" w:hAnsi="仿宋_GB2312" w:cs="仿宋_GB2312" w:eastAsia="仿宋_GB2312"/>
                <w:sz w:val="21"/>
              </w:rPr>
              <w:t>（</w:t>
            </w:r>
            <w:r>
              <w:rPr>
                <w:rFonts w:ascii="仿宋_GB2312" w:hAnsi="仿宋_GB2312" w:cs="仿宋_GB2312" w:eastAsia="仿宋_GB2312"/>
                <w:sz w:val="21"/>
              </w:rPr>
              <w:t>5）平台中至少包含660万种中文图书信息，涵盖中国图书馆分类法22个分类，每个分类细分到第三级子类。</w:t>
            </w:r>
          </w:p>
          <w:p>
            <w:pPr>
              <w:pStyle w:val="null3"/>
            </w:pPr>
            <w:r>
              <w:rPr>
                <w:rFonts w:ascii="仿宋_GB2312" w:hAnsi="仿宋_GB2312" w:cs="仿宋_GB2312" w:eastAsia="仿宋_GB2312"/>
                <w:sz w:val="21"/>
              </w:rPr>
              <w:t>（</w:t>
            </w:r>
            <w:r>
              <w:rPr>
                <w:rFonts w:ascii="仿宋_GB2312" w:hAnsi="仿宋_GB2312" w:cs="仿宋_GB2312" w:eastAsia="仿宋_GB2312"/>
                <w:sz w:val="21"/>
              </w:rPr>
              <w:t>6）平台需支持千余家单位馆藏的联合目录查询。</w:t>
            </w:r>
          </w:p>
          <w:p>
            <w:pPr>
              <w:pStyle w:val="null3"/>
            </w:pPr>
            <w:r>
              <w:rPr>
                <w:rFonts w:ascii="仿宋_GB2312" w:hAnsi="仿宋_GB2312" w:cs="仿宋_GB2312" w:eastAsia="仿宋_GB2312"/>
                <w:sz w:val="21"/>
              </w:rPr>
              <w:t>（</w:t>
            </w:r>
            <w:r>
              <w:rPr>
                <w:rFonts w:ascii="仿宋_GB2312" w:hAnsi="仿宋_GB2312" w:cs="仿宋_GB2312" w:eastAsia="仿宋_GB2312"/>
                <w:sz w:val="21"/>
              </w:rPr>
              <w:t>7）平台支持纸质图书和电子图书统一检索，平台支持按照馆藏纸书和电子图书进行筛选，且针对图书的检索结果可按照类型、年代、学科、作者进行筛选。</w:t>
            </w:r>
          </w:p>
          <w:p>
            <w:pPr>
              <w:pStyle w:val="null3"/>
            </w:pPr>
            <w:r>
              <w:rPr>
                <w:rFonts w:ascii="仿宋_GB2312" w:hAnsi="仿宋_GB2312" w:cs="仿宋_GB2312" w:eastAsia="仿宋_GB2312"/>
                <w:sz w:val="21"/>
              </w:rPr>
              <w:t>（</w:t>
            </w:r>
            <w:r>
              <w:rPr>
                <w:rFonts w:ascii="仿宋_GB2312" w:hAnsi="仿宋_GB2312" w:cs="仿宋_GB2312" w:eastAsia="仿宋_GB2312"/>
                <w:sz w:val="21"/>
              </w:rPr>
              <w:t>8）平台可以提供图书试读功能，可以对封面页、前言页、目次页、版权页、正文部分页等进行试读。</w:t>
            </w:r>
          </w:p>
          <w:p>
            <w:pPr>
              <w:pStyle w:val="null3"/>
            </w:pPr>
            <w:r>
              <w:rPr>
                <w:rFonts w:ascii="仿宋_GB2312" w:hAnsi="仿宋_GB2312" w:cs="仿宋_GB2312" w:eastAsia="仿宋_GB2312"/>
                <w:sz w:val="21"/>
              </w:rPr>
              <w:t>（</w:t>
            </w:r>
            <w:r>
              <w:rPr>
                <w:rFonts w:ascii="仿宋_GB2312" w:hAnsi="仿宋_GB2312" w:cs="仿宋_GB2312" w:eastAsia="仿宋_GB2312"/>
                <w:sz w:val="21"/>
              </w:rPr>
              <w:t>9）平台需提供通过Email的方式向读者进行文献资源的传递服务，可提供文献传递服务的图书总量不低于338万种。</w:t>
            </w:r>
          </w:p>
          <w:p>
            <w:pPr>
              <w:pStyle w:val="null3"/>
            </w:pPr>
            <w:r>
              <w:rPr>
                <w:rFonts w:ascii="仿宋_GB2312" w:hAnsi="仿宋_GB2312" w:cs="仿宋_GB2312" w:eastAsia="仿宋_GB2312"/>
                <w:sz w:val="21"/>
              </w:rPr>
              <w:t>（</w:t>
            </w:r>
            <w:r>
              <w:rPr>
                <w:rFonts w:ascii="仿宋_GB2312" w:hAnsi="仿宋_GB2312" w:cs="仿宋_GB2312" w:eastAsia="仿宋_GB2312"/>
                <w:sz w:val="21"/>
              </w:rPr>
              <w:t>10）对于本馆没有的图书，需支持荐购功能，有关图书信息不需手动填写，系统自动填充。</w:t>
            </w:r>
          </w:p>
          <w:p>
            <w:pPr>
              <w:pStyle w:val="null3"/>
            </w:pPr>
            <w:r>
              <w:rPr>
                <w:rFonts w:ascii="仿宋_GB2312" w:hAnsi="仿宋_GB2312" w:cs="仿宋_GB2312" w:eastAsia="仿宋_GB2312"/>
                <w:sz w:val="21"/>
              </w:rPr>
              <w:t>（</w:t>
            </w:r>
            <w:r>
              <w:rPr>
                <w:rFonts w:ascii="仿宋_GB2312" w:hAnsi="仿宋_GB2312" w:cs="仿宋_GB2312" w:eastAsia="仿宋_GB2312"/>
                <w:sz w:val="21"/>
              </w:rPr>
              <w:t>11）提供中外文词典翻译、同义词、相关词、共现词的提示。</w:t>
            </w:r>
          </w:p>
          <w:p>
            <w:pPr>
              <w:pStyle w:val="null3"/>
            </w:pPr>
            <w:r>
              <w:rPr>
                <w:rFonts w:ascii="仿宋_GB2312" w:hAnsi="仿宋_GB2312" w:cs="仿宋_GB2312" w:eastAsia="仿宋_GB2312"/>
                <w:sz w:val="21"/>
              </w:rPr>
              <w:t>（</w:t>
            </w:r>
            <w:r>
              <w:rPr>
                <w:rFonts w:ascii="仿宋_GB2312" w:hAnsi="仿宋_GB2312" w:cs="仿宋_GB2312" w:eastAsia="仿宋_GB2312"/>
                <w:sz w:val="21"/>
              </w:rPr>
              <w:t>12）需要能查询到图书的被引用情况。提供中文图书被引用情况的分析，尤其可对每种中文图书是否有被引用及具体的被引用情况进行查询，从而作为评价中文图书学术影响力的重要指标和依据。</w:t>
            </w:r>
          </w:p>
          <w:p>
            <w:pPr>
              <w:pStyle w:val="null3"/>
            </w:pPr>
            <w:r>
              <w:rPr>
                <w:rFonts w:ascii="仿宋_GB2312" w:hAnsi="仿宋_GB2312" w:cs="仿宋_GB2312" w:eastAsia="仿宋_GB2312"/>
                <w:sz w:val="21"/>
              </w:rPr>
              <w:t>（</w:t>
            </w:r>
            <w:r>
              <w:rPr>
                <w:rFonts w:ascii="仿宋_GB2312" w:hAnsi="仿宋_GB2312" w:cs="仿宋_GB2312" w:eastAsia="仿宋_GB2312"/>
                <w:sz w:val="21"/>
              </w:rPr>
              <w:t>13）提供按主题对馆藏结构进行分析，提供全国图书馆纸本和电子本图书的收藏排行。</w:t>
            </w:r>
          </w:p>
          <w:p>
            <w:pPr>
              <w:pStyle w:val="null3"/>
            </w:pPr>
            <w:r>
              <w:rPr>
                <w:rFonts w:ascii="仿宋_GB2312" w:hAnsi="仿宋_GB2312" w:cs="仿宋_GB2312" w:eastAsia="仿宋_GB2312"/>
                <w:sz w:val="21"/>
              </w:rPr>
              <w:t>2.3 组织实施、应急措施等要求</w:t>
            </w:r>
          </w:p>
          <w:p>
            <w:pPr>
              <w:pStyle w:val="null3"/>
            </w:pPr>
            <w:r>
              <w:rPr>
                <w:rFonts w:ascii="仿宋_GB2312" w:hAnsi="仿宋_GB2312" w:cs="仿宋_GB2312" w:eastAsia="仿宋_GB2312"/>
                <w:sz w:val="21"/>
              </w:rPr>
              <w:t>(1)提供7*24小时网络、电话及EMAIL支持服务，故障反应时间不超过6小时，故障解决时间不超过24小时；</w:t>
            </w:r>
          </w:p>
          <w:p>
            <w:pPr>
              <w:pStyle w:val="null3"/>
            </w:pPr>
            <w:r>
              <w:rPr>
                <w:rFonts w:ascii="仿宋_GB2312" w:hAnsi="仿宋_GB2312" w:cs="仿宋_GB2312" w:eastAsia="仿宋_GB2312"/>
                <w:sz w:val="21"/>
              </w:rPr>
              <w:t>(2)供应商应对数据库内容及其版权负责，依法依约取得作者著作使用许可，保证版权无纠纷，因数据库知识产权产生的一切事务、费用由供应商承担；</w:t>
            </w:r>
          </w:p>
          <w:p>
            <w:pPr>
              <w:pStyle w:val="null3"/>
            </w:pPr>
            <w:r>
              <w:rPr>
                <w:rFonts w:ascii="仿宋_GB2312" w:hAnsi="仿宋_GB2312" w:cs="仿宋_GB2312" w:eastAsia="仿宋_GB2312"/>
                <w:sz w:val="21"/>
              </w:rPr>
              <w:t>(3)使用过程中因数据库系统本身原因导致的异常和错误，须提供免费修正和维护，非系统原因造成的异常与错误，须根据情况尽可能地为采购方提供帮助；</w:t>
            </w:r>
          </w:p>
          <w:p>
            <w:pPr>
              <w:pStyle w:val="null3"/>
            </w:pPr>
            <w:r>
              <w:rPr>
                <w:rFonts w:ascii="仿宋_GB2312" w:hAnsi="仿宋_GB2312" w:cs="仿宋_GB2312" w:eastAsia="仿宋_GB2312"/>
                <w:sz w:val="21"/>
              </w:rPr>
              <w:t>(4)保障采购方所购数据库产品在使用期内的完整性，未经采购方许可，不得擅自改变采购方所购数据的服务模式；</w:t>
            </w:r>
          </w:p>
          <w:p>
            <w:pPr>
              <w:pStyle w:val="null3"/>
            </w:pPr>
            <w:r>
              <w:rPr>
                <w:rFonts w:ascii="仿宋_GB2312" w:hAnsi="仿宋_GB2312" w:cs="仿宋_GB2312" w:eastAsia="仿宋_GB2312"/>
                <w:sz w:val="21"/>
              </w:rPr>
              <w:t>(5)定时向采购方通报数据库产品开发进展情况、宣传计划和资料；</w:t>
            </w:r>
          </w:p>
          <w:p>
            <w:pPr>
              <w:pStyle w:val="null3"/>
            </w:pPr>
            <w:r>
              <w:rPr>
                <w:rFonts w:ascii="仿宋_GB2312" w:hAnsi="仿宋_GB2312" w:cs="仿宋_GB2312" w:eastAsia="仿宋_GB2312"/>
                <w:sz w:val="21"/>
              </w:rPr>
              <w:t>(6)免费提供至少每年两次数据库使用和技术现场培训，培训时间听从购买方安排。</w:t>
            </w:r>
          </w:p>
          <w:p>
            <w:pPr>
              <w:pStyle w:val="null3"/>
            </w:pPr>
            <w:r>
              <w:rPr>
                <w:rFonts w:ascii="仿宋_GB2312" w:hAnsi="仿宋_GB2312" w:cs="仿宋_GB2312" w:eastAsia="仿宋_GB2312"/>
                <w:sz w:val="21"/>
              </w:rPr>
              <w:t>(7)合同签订后，免费为采购方提供安装、调试，保证数据库的开通使用。</w:t>
            </w:r>
          </w:p>
          <w:p>
            <w:pPr>
              <w:pStyle w:val="null3"/>
            </w:pPr>
            <w:r>
              <w:rPr>
                <w:rFonts w:ascii="仿宋_GB2312" w:hAnsi="仿宋_GB2312" w:cs="仿宋_GB2312" w:eastAsia="仿宋_GB2312"/>
                <w:sz w:val="21"/>
              </w:rPr>
              <w:t>(8)提供采购方所订购数据库数据实时在线免费更新升级，并免费提供数据库平台软件的常规升级服务。</w:t>
            </w:r>
          </w:p>
          <w:p>
            <w:pPr>
              <w:pStyle w:val="null3"/>
            </w:pPr>
            <w:r>
              <w:rPr>
                <w:rFonts w:ascii="仿宋_GB2312" w:hAnsi="仿宋_GB2312" w:cs="仿宋_GB2312" w:eastAsia="仿宋_GB2312"/>
                <w:sz w:val="21"/>
              </w:rPr>
              <w:t>2.4报价要求以及其他要求</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符合市场定价规范，价格涨幅处在合理区间，具有完整的产品定价规则。</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标的名称：CNKI数据库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 项目概述</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CNKI同方知网数据库是我校读者教学、科研过程中所需的重要数据库，在满足我校师生资源需求方面具有举足轻重的作用，图书馆已连</w:t>
            </w:r>
            <w:r>
              <w:rPr>
                <w:rFonts w:ascii="仿宋_GB2312" w:hAnsi="仿宋_GB2312" w:cs="仿宋_GB2312" w:eastAsia="仿宋_GB2312"/>
                <w:sz w:val="21"/>
              </w:rPr>
              <w:t>续多年选购</w:t>
            </w:r>
            <w:r>
              <w:rPr>
                <w:rFonts w:ascii="仿宋_GB2312" w:hAnsi="仿宋_GB2312" w:cs="仿宋_GB2312" w:eastAsia="仿宋_GB2312"/>
                <w:sz w:val="21"/>
              </w:rPr>
              <w:t>CNKI同方知网数据库中文学术期刊、辑刊、博硕论文、专利、年鉴、标准等文献信息资源，为保证资源使用的持续性，2026年拟继续采购以上内容。</w:t>
            </w:r>
          </w:p>
          <w:p>
            <w:pPr>
              <w:pStyle w:val="null3"/>
            </w:pPr>
            <w:r>
              <w:rPr>
                <w:rFonts w:ascii="仿宋_GB2312" w:hAnsi="仿宋_GB2312" w:cs="仿宋_GB2312" w:eastAsia="仿宋_GB2312"/>
                <w:sz w:val="21"/>
              </w:rPr>
              <w:t>2.服务内容和标准</w:t>
            </w:r>
          </w:p>
          <w:p>
            <w:pPr>
              <w:pStyle w:val="null3"/>
            </w:pPr>
            <w:r>
              <w:rPr>
                <w:rFonts w:ascii="仿宋_GB2312" w:hAnsi="仿宋_GB2312" w:cs="仿宋_GB2312" w:eastAsia="仿宋_GB2312"/>
                <w:sz w:val="21"/>
              </w:rPr>
              <w:t>2.1 总体要求</w:t>
            </w:r>
          </w:p>
          <w:p>
            <w:pPr>
              <w:pStyle w:val="null3"/>
            </w:pPr>
            <w:r>
              <w:rPr>
                <w:rFonts w:ascii="仿宋_GB2312" w:hAnsi="仿宋_GB2312" w:cs="仿宋_GB2312" w:eastAsia="仿宋_GB2312"/>
                <w:sz w:val="21"/>
              </w:rPr>
              <w:t>自</w:t>
            </w:r>
            <w:r>
              <w:rPr>
                <w:rFonts w:ascii="仿宋_GB2312" w:hAnsi="仿宋_GB2312" w:cs="仿宋_GB2312" w:eastAsia="仿宋_GB2312"/>
                <w:sz w:val="21"/>
              </w:rPr>
              <w:t>2026年10月1日至2027年9月30日期间向学校提供：学术期刊A,B,C,D,E,F,G,H,I,J全专辑；学术辑刊B,C,I,H专辑；博士A,B,C,D,E,F,G,</w:t>
            </w:r>
          </w:p>
          <w:p>
            <w:pPr>
              <w:pStyle w:val="null3"/>
            </w:pPr>
            <w:r>
              <w:rPr>
                <w:rFonts w:ascii="仿宋_GB2312" w:hAnsi="仿宋_GB2312" w:cs="仿宋_GB2312" w:eastAsia="仿宋_GB2312"/>
                <w:sz w:val="21"/>
              </w:rPr>
              <w:t>H,I,J全专辑；硕士论文A,B,C,D,E,F,G,H,I,J全专辑；报纸A,C,F,G,H,I,J专辑；中国会议A,C,F,G,H,I,J专辑；国际会议A,C,F,G,H,I,J专辑；年鉴专辑版A,C,F,H,I,J专辑；标准全文(CNKI)C,I专辑、A001,A002,A004,A005,A013,</w:t>
            </w:r>
          </w:p>
          <w:p>
            <w:pPr>
              <w:pStyle w:val="null3"/>
            </w:pPr>
            <w:r>
              <w:rPr>
                <w:rFonts w:ascii="仿宋_GB2312" w:hAnsi="仿宋_GB2312" w:cs="仿宋_GB2312" w:eastAsia="仿宋_GB2312"/>
                <w:sz w:val="21"/>
              </w:rPr>
              <w:t>B020,B022,B027专题；AI Pat+专利检索分析系统（图情版），专利检索服务；</w:t>
            </w:r>
          </w:p>
          <w:p>
            <w:pPr>
              <w:pStyle w:val="null3"/>
            </w:pPr>
            <w:r>
              <w:rPr>
                <w:rFonts w:ascii="仿宋_GB2312" w:hAnsi="仿宋_GB2312" w:cs="仿宋_GB2312" w:eastAsia="仿宋_GB2312"/>
                <w:sz w:val="21"/>
              </w:rPr>
              <w:t>科技成果</w:t>
            </w:r>
            <w:r>
              <w:rPr>
                <w:rFonts w:ascii="仿宋_GB2312" w:hAnsi="仿宋_GB2312" w:cs="仿宋_GB2312" w:eastAsia="仿宋_GB2312"/>
                <w:sz w:val="21"/>
              </w:rPr>
              <w:t>C,I专辑、A002,A004,A005,A013,B020,B022,B027专题；基础教育知识服务平台，基础教育期刊；CNKI AI  150个账号；科研人事查重400篇，5个子账号等产品租用服务。</w:t>
            </w:r>
          </w:p>
          <w:p>
            <w:pPr>
              <w:pStyle w:val="null3"/>
            </w:pPr>
            <w:r>
              <w:rPr>
                <w:rFonts w:ascii="仿宋_GB2312" w:hAnsi="仿宋_GB2312" w:cs="仿宋_GB2312" w:eastAsia="仿宋_GB2312"/>
                <w:sz w:val="21"/>
              </w:rPr>
              <w:t>2.2 服务标准</w:t>
            </w:r>
          </w:p>
          <w:p>
            <w:pPr>
              <w:pStyle w:val="null3"/>
            </w:pPr>
            <w:r>
              <w:rPr>
                <w:rFonts w:ascii="仿宋_GB2312" w:hAnsi="仿宋_GB2312" w:cs="仿宋_GB2312" w:eastAsia="仿宋_GB2312"/>
                <w:sz w:val="21"/>
              </w:rPr>
              <w:t>（</w:t>
            </w:r>
            <w:r>
              <w:rPr>
                <w:rFonts w:ascii="仿宋_GB2312" w:hAnsi="仿宋_GB2312" w:cs="仿宋_GB2312" w:eastAsia="仿宋_GB2312"/>
                <w:sz w:val="21"/>
              </w:rPr>
              <w:t>1）所有数据库内容能够在统一的平台上进行检索（中国专利除外），相互之间可以实现知网节链接，并且可以和以往年度订购的CNKI系列数据库资源内容统一使用。</w:t>
            </w:r>
          </w:p>
          <w:p>
            <w:pPr>
              <w:pStyle w:val="null3"/>
            </w:pPr>
            <w:r>
              <w:rPr>
                <w:rFonts w:ascii="仿宋_GB2312" w:hAnsi="仿宋_GB2312" w:cs="仿宋_GB2312" w:eastAsia="仿宋_GB2312"/>
                <w:sz w:val="21"/>
              </w:rPr>
              <w:t>（</w:t>
            </w:r>
            <w:r>
              <w:rPr>
                <w:rFonts w:ascii="仿宋_GB2312" w:hAnsi="仿宋_GB2312" w:cs="仿宋_GB2312" w:eastAsia="仿宋_GB2312"/>
                <w:sz w:val="21"/>
              </w:rPr>
              <w:t>2）更新：网上日更新。</w:t>
            </w:r>
          </w:p>
          <w:p>
            <w:pPr>
              <w:pStyle w:val="null3"/>
            </w:pPr>
            <w:r>
              <w:rPr>
                <w:rFonts w:ascii="仿宋_GB2312" w:hAnsi="仿宋_GB2312" w:cs="仿宋_GB2312" w:eastAsia="仿宋_GB2312"/>
                <w:sz w:val="21"/>
              </w:rPr>
              <w:t>（</w:t>
            </w:r>
            <w:r>
              <w:rPr>
                <w:rFonts w:ascii="仿宋_GB2312" w:hAnsi="仿宋_GB2312" w:cs="仿宋_GB2312" w:eastAsia="仿宋_GB2312"/>
                <w:sz w:val="21"/>
              </w:rPr>
              <w:t>3）数据库能提供完善的用户访问统计和控制功能,并由用户自己随时在后台进行。</w:t>
            </w:r>
          </w:p>
          <w:p>
            <w:pPr>
              <w:pStyle w:val="null3"/>
            </w:pPr>
            <w:r>
              <w:rPr>
                <w:rFonts w:ascii="仿宋_GB2312" w:hAnsi="仿宋_GB2312" w:cs="仿宋_GB2312" w:eastAsia="仿宋_GB2312"/>
                <w:sz w:val="21"/>
              </w:rPr>
              <w:t>（</w:t>
            </w:r>
            <w:r>
              <w:rPr>
                <w:rFonts w:ascii="仿宋_GB2312" w:hAnsi="仿宋_GB2312" w:cs="仿宋_GB2312" w:eastAsia="仿宋_GB2312"/>
                <w:sz w:val="21"/>
              </w:rPr>
              <w:t>4）数据库能提供完善的访问量（日志）统计功能，能按访问总数，检索、浏览、下载分别进行统计，能够按学科专辑专题进行分类统计，能够按时间进行统计。</w:t>
            </w:r>
          </w:p>
          <w:p>
            <w:pPr>
              <w:pStyle w:val="null3"/>
            </w:pPr>
            <w:r>
              <w:rPr>
                <w:rFonts w:ascii="仿宋_GB2312" w:hAnsi="仿宋_GB2312" w:cs="仿宋_GB2312" w:eastAsia="仿宋_GB2312"/>
                <w:sz w:val="21"/>
              </w:rPr>
              <w:t>（</w:t>
            </w:r>
            <w:r>
              <w:rPr>
                <w:rFonts w:ascii="仿宋_GB2312" w:hAnsi="仿宋_GB2312" w:cs="仿宋_GB2312" w:eastAsia="仿宋_GB2312"/>
                <w:sz w:val="21"/>
              </w:rPr>
              <w:t>5）要求系统平台具有完善的可升级与扩展功能，升级方式方便（如可通过网络自动检测升级）。</w:t>
            </w:r>
          </w:p>
          <w:p>
            <w:pPr>
              <w:pStyle w:val="null3"/>
            </w:pPr>
            <w:r>
              <w:rPr>
                <w:rFonts w:ascii="仿宋_GB2312" w:hAnsi="仿宋_GB2312" w:cs="仿宋_GB2312" w:eastAsia="仿宋_GB2312"/>
                <w:sz w:val="21"/>
              </w:rPr>
              <w:t>（</w:t>
            </w:r>
            <w:r>
              <w:rPr>
                <w:rFonts w:ascii="仿宋_GB2312" w:hAnsi="仿宋_GB2312" w:cs="仿宋_GB2312" w:eastAsia="仿宋_GB2312"/>
                <w:sz w:val="21"/>
              </w:rPr>
              <w:t>6）要求能够提供移动端APP，并能免费在移动端使用已订购期刊、博硕论文内容。</w:t>
            </w:r>
          </w:p>
          <w:p>
            <w:pPr>
              <w:pStyle w:val="null3"/>
            </w:pPr>
            <w:r>
              <w:rPr>
                <w:rFonts w:ascii="仿宋_GB2312" w:hAnsi="仿宋_GB2312" w:cs="仿宋_GB2312" w:eastAsia="仿宋_GB2312"/>
                <w:sz w:val="21"/>
              </w:rPr>
              <w:t>（</w:t>
            </w:r>
            <w:r>
              <w:rPr>
                <w:rFonts w:ascii="仿宋_GB2312" w:hAnsi="仿宋_GB2312" w:cs="仿宋_GB2312" w:eastAsia="仿宋_GB2312"/>
                <w:sz w:val="21"/>
              </w:rPr>
              <w:t>7）厂商具备提供校外漫游服务条件，可以通过知网手机版全球学术快报，获取校外使用相关服务。</w:t>
            </w:r>
          </w:p>
          <w:p>
            <w:pPr>
              <w:pStyle w:val="null3"/>
            </w:pPr>
            <w:r>
              <w:rPr>
                <w:rFonts w:ascii="仿宋_GB2312" w:hAnsi="仿宋_GB2312" w:cs="仿宋_GB2312" w:eastAsia="仿宋_GB2312"/>
                <w:sz w:val="21"/>
              </w:rPr>
              <w:t>（</w:t>
            </w:r>
            <w:r>
              <w:rPr>
                <w:rFonts w:ascii="仿宋_GB2312" w:hAnsi="仿宋_GB2312" w:cs="仿宋_GB2312" w:eastAsia="仿宋_GB2312"/>
                <w:sz w:val="21"/>
              </w:rPr>
              <w:t>8）系统能提供完备的检索功能，且对检索结果可以按照需要进行聚类和排序。</w:t>
            </w:r>
          </w:p>
          <w:p>
            <w:pPr>
              <w:pStyle w:val="null3"/>
            </w:pPr>
            <w:r>
              <w:rPr>
                <w:rFonts w:ascii="仿宋_GB2312" w:hAnsi="仿宋_GB2312" w:cs="仿宋_GB2312" w:eastAsia="仿宋_GB2312"/>
                <w:sz w:val="21"/>
              </w:rPr>
              <w:t>（</w:t>
            </w:r>
            <w:r>
              <w:rPr>
                <w:rFonts w:ascii="仿宋_GB2312" w:hAnsi="仿宋_GB2312" w:cs="仿宋_GB2312" w:eastAsia="仿宋_GB2312"/>
                <w:sz w:val="21"/>
              </w:rPr>
              <w:t>9）能够综合运用多种文献内容关联方法建立文献间关联体系，提供单篇文献详细信息和扩展信息，形成完善的知识网络，提供链接检索。链接检索应当包括以下功能：文献详细信息、参考文献链接、引证文献链接、共引文献链接、二级参考文献链接、二级引证文献链接、相似文献链接、读者推荐文献链接、相关文献作者链接、相关文献机构链接。</w:t>
            </w:r>
          </w:p>
          <w:p>
            <w:pPr>
              <w:pStyle w:val="null3"/>
            </w:pPr>
            <w:r>
              <w:rPr>
                <w:rFonts w:ascii="仿宋_GB2312" w:hAnsi="仿宋_GB2312" w:cs="仿宋_GB2312" w:eastAsia="仿宋_GB2312"/>
                <w:sz w:val="21"/>
              </w:rPr>
              <w:t>（</w:t>
            </w:r>
            <w:r>
              <w:rPr>
                <w:rFonts w:ascii="仿宋_GB2312" w:hAnsi="仿宋_GB2312" w:cs="仿宋_GB2312" w:eastAsia="仿宋_GB2312"/>
                <w:sz w:val="21"/>
              </w:rPr>
              <w:t>10）提供多级目录导航，能够快速定位到页。</w:t>
            </w:r>
          </w:p>
          <w:p>
            <w:pPr>
              <w:pStyle w:val="null3"/>
            </w:pPr>
            <w:r>
              <w:rPr>
                <w:rFonts w:ascii="仿宋_GB2312" w:hAnsi="仿宋_GB2312" w:cs="仿宋_GB2312" w:eastAsia="仿宋_GB2312"/>
                <w:sz w:val="21"/>
              </w:rPr>
              <w:t>（</w:t>
            </w:r>
            <w:r>
              <w:rPr>
                <w:rFonts w:ascii="仿宋_GB2312" w:hAnsi="仿宋_GB2312" w:cs="仿宋_GB2312" w:eastAsia="仿宋_GB2312"/>
                <w:sz w:val="21"/>
              </w:rPr>
              <w:t>11）全文信息完全的数字化，免费提供具有自主知识产权的阅读软件，能够实现期刊论文原始版面结构与样式不失真的显示与打印。</w:t>
            </w:r>
          </w:p>
          <w:p>
            <w:pPr>
              <w:pStyle w:val="null3"/>
            </w:pPr>
            <w:r>
              <w:rPr>
                <w:rFonts w:ascii="仿宋_GB2312" w:hAnsi="仿宋_GB2312" w:cs="仿宋_GB2312" w:eastAsia="仿宋_GB2312"/>
                <w:sz w:val="21"/>
              </w:rPr>
              <w:t>（</w:t>
            </w:r>
            <w:r>
              <w:rPr>
                <w:rFonts w:ascii="仿宋_GB2312" w:hAnsi="仿宋_GB2312" w:cs="仿宋_GB2312" w:eastAsia="仿宋_GB2312"/>
                <w:sz w:val="21"/>
              </w:rPr>
              <w:t>12）数据格式：自定义CAJ加密格式同时支持PDF格式。对于图像格式能实现OCR识别转文本。</w:t>
            </w:r>
          </w:p>
          <w:p>
            <w:pPr>
              <w:pStyle w:val="null3"/>
            </w:pPr>
            <w:r>
              <w:rPr>
                <w:rFonts w:ascii="仿宋_GB2312" w:hAnsi="仿宋_GB2312" w:cs="仿宋_GB2312" w:eastAsia="仿宋_GB2312"/>
                <w:sz w:val="21"/>
              </w:rPr>
              <w:t>2.3 组织实施、应急措施等要求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1）服务商应该在合同规定日期之前完成资源的开通。</w:t>
            </w:r>
          </w:p>
          <w:p>
            <w:pPr>
              <w:pStyle w:val="null3"/>
            </w:pPr>
            <w:r>
              <w:rPr>
                <w:rFonts w:ascii="仿宋_GB2312" w:hAnsi="仿宋_GB2312" w:cs="仿宋_GB2312" w:eastAsia="仿宋_GB2312"/>
                <w:sz w:val="21"/>
              </w:rPr>
              <w:t>（</w:t>
            </w:r>
            <w:r>
              <w:rPr>
                <w:rFonts w:ascii="仿宋_GB2312" w:hAnsi="仿宋_GB2312" w:cs="仿宋_GB2312" w:eastAsia="仿宋_GB2312"/>
                <w:sz w:val="21"/>
              </w:rPr>
              <w:t>2）供应商在陕西当地有售后服务机构或办事处，服务期限内能够提供免费的售后服务，包含但不限于数据安装、应用培训等售后服务。</w:t>
            </w:r>
          </w:p>
          <w:p>
            <w:pPr>
              <w:pStyle w:val="null3"/>
            </w:pPr>
            <w:r>
              <w:rPr>
                <w:rFonts w:ascii="仿宋_GB2312" w:hAnsi="仿宋_GB2312" w:cs="仿宋_GB2312" w:eastAsia="仿宋_GB2312"/>
                <w:sz w:val="21"/>
              </w:rPr>
              <w:t>（</w:t>
            </w:r>
            <w:r>
              <w:rPr>
                <w:rFonts w:ascii="仿宋_GB2312" w:hAnsi="仿宋_GB2312" w:cs="仿宋_GB2312" w:eastAsia="仿宋_GB2312"/>
                <w:sz w:val="21"/>
              </w:rPr>
              <w:t>3）对于用户原因造成的产品使用故障，能够提供通过电话支持、网络服务等方式，协助用户排查解决，特殊情况下可派技术人员上门协助解决。对于产品本身原因造成的使用故障由公司负责免费排除。</w:t>
            </w:r>
          </w:p>
          <w:p>
            <w:pPr>
              <w:pStyle w:val="null3"/>
            </w:pPr>
            <w:r>
              <w:rPr>
                <w:rFonts w:ascii="仿宋_GB2312" w:hAnsi="仿宋_GB2312" w:cs="仿宋_GB2312" w:eastAsia="仿宋_GB2312"/>
                <w:sz w:val="21"/>
              </w:rPr>
              <w:t>（</w:t>
            </w:r>
            <w:r>
              <w:rPr>
                <w:rFonts w:ascii="仿宋_GB2312" w:hAnsi="仿宋_GB2312" w:cs="仿宋_GB2312" w:eastAsia="仿宋_GB2312"/>
                <w:sz w:val="21"/>
              </w:rPr>
              <w:t>4）使用出现故障时，工作时间内，网络服务、电话服务的响应时间小于2小时。需要上门解决时，能够在24小时内到达现场进行协调解决。</w:t>
            </w:r>
          </w:p>
          <w:p>
            <w:pPr>
              <w:pStyle w:val="null3"/>
            </w:pPr>
            <w:r>
              <w:rPr>
                <w:rFonts w:ascii="仿宋_GB2312" w:hAnsi="仿宋_GB2312" w:cs="仿宋_GB2312" w:eastAsia="仿宋_GB2312"/>
                <w:sz w:val="21"/>
              </w:rPr>
              <w:t>（</w:t>
            </w:r>
            <w:r>
              <w:rPr>
                <w:rFonts w:ascii="仿宋_GB2312" w:hAnsi="仿宋_GB2312" w:cs="仿宋_GB2312" w:eastAsia="仿宋_GB2312"/>
                <w:sz w:val="21"/>
              </w:rPr>
              <w:t>5）供应商能够提供产品的紧急备份访问服务，保证用户可持续使用产品。</w:t>
            </w:r>
          </w:p>
          <w:p>
            <w:pPr>
              <w:pStyle w:val="null3"/>
            </w:pPr>
            <w:r>
              <w:rPr>
                <w:rFonts w:ascii="仿宋_GB2312" w:hAnsi="仿宋_GB2312" w:cs="仿宋_GB2312" w:eastAsia="仿宋_GB2312"/>
                <w:sz w:val="21"/>
              </w:rPr>
              <w:t>（</w:t>
            </w:r>
            <w:r>
              <w:rPr>
                <w:rFonts w:ascii="仿宋_GB2312" w:hAnsi="仿宋_GB2312" w:cs="仿宋_GB2312" w:eastAsia="仿宋_GB2312"/>
                <w:sz w:val="21"/>
              </w:rPr>
              <w:t>6）镜像数据丢失后，供应商能够免费提供数据丢失后的恢复服务。</w:t>
            </w:r>
          </w:p>
          <w:p>
            <w:pPr>
              <w:pStyle w:val="null3"/>
            </w:pPr>
            <w:r>
              <w:rPr>
                <w:rFonts w:ascii="仿宋_GB2312" w:hAnsi="仿宋_GB2312" w:cs="仿宋_GB2312" w:eastAsia="仿宋_GB2312"/>
                <w:sz w:val="21"/>
              </w:rPr>
              <w:t>2.4报价要求以及其他要求</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符合市场定价规范，价格涨幅处在合理区间，具有完整的产品定价规则。</w:t>
            </w:r>
          </w:p>
          <w:p>
            <w:pPr>
              <w:pStyle w:val="null3"/>
            </w:pPr>
            <w:r>
              <w:rPr>
                <w:rFonts w:ascii="仿宋_GB2312" w:hAnsi="仿宋_GB2312" w:cs="仿宋_GB2312" w:eastAsia="仿宋_GB2312"/>
                <w:sz w:val="21"/>
              </w:rPr>
              <w:t>2.5资质及版权要求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1）供应商提供的所有资源必须为正版且彻底解决版权，数据来源合理合法，所有内容均为自有产品或者有销售该产品的合法授权。所提供数据不得是通过破解，盗窃他人数据等非法手段而来。保证院方今后电子资源的使用不受侵权问题的干扰。</w:t>
            </w:r>
          </w:p>
          <w:p>
            <w:pPr>
              <w:pStyle w:val="null3"/>
            </w:pPr>
            <w:r>
              <w:rPr>
                <w:rFonts w:ascii="仿宋_GB2312" w:hAnsi="仿宋_GB2312" w:cs="仿宋_GB2312" w:eastAsia="仿宋_GB2312"/>
                <w:sz w:val="21"/>
              </w:rPr>
              <w:t>（</w:t>
            </w:r>
            <w:r>
              <w:rPr>
                <w:rFonts w:ascii="仿宋_GB2312" w:hAnsi="仿宋_GB2312" w:cs="仿宋_GB2312" w:eastAsia="仿宋_GB2312"/>
                <w:sz w:val="21"/>
              </w:rPr>
              <w:t>2）供应商应提供的期刊、博士、硕士、会议、报纸、年鉴资源须具备正式出版物标准刊号。</w:t>
            </w:r>
          </w:p>
          <w:p>
            <w:pPr>
              <w:pStyle w:val="null3"/>
            </w:pPr>
            <w:r>
              <w:rPr>
                <w:rFonts w:ascii="仿宋_GB2312" w:hAnsi="仿宋_GB2312" w:cs="仿宋_GB2312" w:eastAsia="仿宋_GB2312"/>
                <w:sz w:val="21"/>
              </w:rPr>
              <w:t>（</w:t>
            </w:r>
            <w:r>
              <w:rPr>
                <w:rFonts w:ascii="仿宋_GB2312" w:hAnsi="仿宋_GB2312" w:cs="仿宋_GB2312" w:eastAsia="仿宋_GB2312"/>
                <w:sz w:val="21"/>
              </w:rPr>
              <w:t>3）供应商能够保证学院对所购买的所有内容可以进行下载、打印、复制等操作。</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标的名称：新知学术发现系统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 项目概述</w:t>
            </w:r>
          </w:p>
          <w:p>
            <w:pPr>
              <w:pStyle w:val="null3"/>
            </w:pPr>
            <w:r>
              <w:rPr>
                <w:rFonts w:ascii="仿宋_GB2312" w:hAnsi="仿宋_GB2312" w:cs="仿宋_GB2312" w:eastAsia="仿宋_GB2312"/>
                <w:sz w:val="21"/>
              </w:rPr>
              <w:t>新知学术发现系统为我校</w:t>
            </w:r>
            <w:r>
              <w:rPr>
                <w:rFonts w:ascii="仿宋_GB2312" w:hAnsi="仿宋_GB2312" w:cs="仿宋_GB2312" w:eastAsia="仿宋_GB2312"/>
                <w:sz w:val="21"/>
              </w:rPr>
              <w:t>2020年采购的外文文献传递系统，是我校读者教学、科研过程中所需的重要外文文献传递系统，可以很好的满足读者对外文资源的需求，在实际使用过程中受到读者好评。为充分保证读者对外文资源文献传递需求的持续性，2026年拟继续采购新知学术发现系统。</w:t>
            </w:r>
          </w:p>
          <w:p>
            <w:pPr>
              <w:pStyle w:val="null3"/>
            </w:pPr>
            <w:r>
              <w:rPr>
                <w:rFonts w:ascii="仿宋_GB2312" w:hAnsi="仿宋_GB2312" w:cs="仿宋_GB2312" w:eastAsia="仿宋_GB2312"/>
                <w:sz w:val="21"/>
              </w:rPr>
              <w:t>2.服务内容和标准</w:t>
            </w:r>
          </w:p>
          <w:p>
            <w:pPr>
              <w:pStyle w:val="null3"/>
            </w:pPr>
            <w:r>
              <w:rPr>
                <w:rFonts w:ascii="仿宋_GB2312" w:hAnsi="仿宋_GB2312" w:cs="仿宋_GB2312" w:eastAsia="仿宋_GB2312"/>
                <w:sz w:val="21"/>
              </w:rPr>
              <w:t>2.1总体要求</w:t>
            </w:r>
          </w:p>
          <w:p>
            <w:pPr>
              <w:pStyle w:val="null3"/>
            </w:pPr>
            <w:r>
              <w:rPr>
                <w:rFonts w:ascii="仿宋_GB2312" w:hAnsi="仿宋_GB2312" w:cs="仿宋_GB2312" w:eastAsia="仿宋_GB2312"/>
                <w:sz w:val="21"/>
              </w:rPr>
              <w:t>自</w:t>
            </w:r>
            <w:r>
              <w:rPr>
                <w:rFonts w:ascii="仿宋_GB2312" w:hAnsi="仿宋_GB2312" w:cs="仿宋_GB2312" w:eastAsia="仿宋_GB2312"/>
                <w:sz w:val="21"/>
              </w:rPr>
              <w:t>2027年01月01日至2027年12月31日期间向学校提供新知学术发现系统远程包库服务，目前已经连续采购多年，项目运行良好。</w:t>
            </w:r>
          </w:p>
          <w:p>
            <w:pPr>
              <w:pStyle w:val="null3"/>
            </w:pPr>
            <w:r>
              <w:rPr>
                <w:rFonts w:ascii="仿宋_GB2312" w:hAnsi="仿宋_GB2312" w:cs="仿宋_GB2312" w:eastAsia="仿宋_GB2312"/>
                <w:sz w:val="21"/>
              </w:rPr>
              <w:t>2.2服务标准</w:t>
            </w:r>
          </w:p>
          <w:p>
            <w:pPr>
              <w:pStyle w:val="null3"/>
            </w:pPr>
            <w:r>
              <w:rPr>
                <w:rFonts w:ascii="仿宋_GB2312" w:hAnsi="仿宋_GB2312" w:cs="仿宋_GB2312" w:eastAsia="仿宋_GB2312"/>
                <w:sz w:val="21"/>
              </w:rPr>
              <w:t>（</w:t>
            </w:r>
            <w:r>
              <w:rPr>
                <w:rFonts w:ascii="仿宋_GB2312" w:hAnsi="仿宋_GB2312" w:cs="仿宋_GB2312" w:eastAsia="仿宋_GB2312"/>
                <w:sz w:val="21"/>
              </w:rPr>
              <w:t>1）系统整合主要主流学术资源来源索引资源，覆盖的资源类型包括学术期刊、学位论文、学术图书、会议论文、标准、技术报告等各类常用文献资源。</w:t>
            </w:r>
          </w:p>
          <w:p>
            <w:pPr>
              <w:pStyle w:val="null3"/>
            </w:pPr>
            <w:r>
              <w:rPr>
                <w:rFonts w:ascii="仿宋_GB2312" w:hAnsi="仿宋_GB2312" w:cs="仿宋_GB2312" w:eastAsia="仿宋_GB2312"/>
                <w:sz w:val="21"/>
              </w:rPr>
              <w:t>（</w:t>
            </w:r>
            <w:r>
              <w:rPr>
                <w:rFonts w:ascii="仿宋_GB2312" w:hAnsi="仿宋_GB2312" w:cs="仿宋_GB2312" w:eastAsia="仿宋_GB2312"/>
                <w:sz w:val="21"/>
              </w:rPr>
              <w:t>2）总索引量约1.5亿条</w:t>
            </w:r>
          </w:p>
          <w:p>
            <w:pPr>
              <w:pStyle w:val="null3"/>
            </w:pPr>
            <w:r>
              <w:rPr>
                <w:rFonts w:ascii="仿宋_GB2312" w:hAnsi="仿宋_GB2312" w:cs="仿宋_GB2312" w:eastAsia="仿宋_GB2312"/>
                <w:sz w:val="21"/>
              </w:rPr>
              <w:t>（</w:t>
            </w:r>
            <w:r>
              <w:rPr>
                <w:rFonts w:ascii="仿宋_GB2312" w:hAnsi="仿宋_GB2312" w:cs="仿宋_GB2312" w:eastAsia="仿宋_GB2312"/>
                <w:sz w:val="21"/>
              </w:rPr>
              <w:t>3）具备一框式检索、高级检索、跨库检索三种检索模式</w:t>
            </w:r>
          </w:p>
          <w:p>
            <w:pPr>
              <w:pStyle w:val="null3"/>
            </w:pPr>
            <w:r>
              <w:rPr>
                <w:rFonts w:ascii="仿宋_GB2312" w:hAnsi="仿宋_GB2312" w:cs="仿宋_GB2312" w:eastAsia="仿宋_GB2312"/>
                <w:sz w:val="21"/>
              </w:rPr>
              <w:t>（</w:t>
            </w:r>
            <w:r>
              <w:rPr>
                <w:rFonts w:ascii="仿宋_GB2312" w:hAnsi="仿宋_GB2312" w:cs="仿宋_GB2312" w:eastAsia="仿宋_GB2312"/>
                <w:sz w:val="21"/>
              </w:rPr>
              <w:t>4）平台功能多样化</w:t>
            </w:r>
          </w:p>
          <w:p>
            <w:pPr>
              <w:pStyle w:val="null3"/>
            </w:pPr>
            <w:r>
              <w:rPr>
                <w:rFonts w:ascii="仿宋_GB2312" w:hAnsi="仿宋_GB2312" w:cs="仿宋_GB2312" w:eastAsia="仿宋_GB2312"/>
                <w:sz w:val="21"/>
              </w:rPr>
              <w:t>1.双语功能：检索结果列表页面支持一键翻译当前页面检索结果文献的篇名/标题与资源介绍。</w:t>
            </w:r>
          </w:p>
          <w:p>
            <w:pPr>
              <w:pStyle w:val="null3"/>
            </w:pPr>
            <w:r>
              <w:rPr>
                <w:rFonts w:ascii="仿宋_GB2312" w:hAnsi="仿宋_GB2312" w:cs="仿宋_GB2312" w:eastAsia="仿宋_GB2312"/>
                <w:sz w:val="21"/>
              </w:rPr>
              <w:t>2.检索结果的优化：支持根据文献是否有全文、出版时间、相关热词进行检索结果优化。</w:t>
            </w:r>
          </w:p>
          <w:p>
            <w:pPr>
              <w:pStyle w:val="null3"/>
            </w:pPr>
            <w:r>
              <w:rPr>
                <w:rFonts w:ascii="仿宋_GB2312" w:hAnsi="仿宋_GB2312" w:cs="仿宋_GB2312" w:eastAsia="仿宋_GB2312"/>
                <w:sz w:val="21"/>
              </w:rPr>
              <w:t>3.快速引用：快速获取引用信息，引用信息支持常用的国标GB/T 7714、MLA、APA参考文献格式，一键复制所需格式版本的引用信息。</w:t>
            </w:r>
          </w:p>
          <w:p>
            <w:pPr>
              <w:pStyle w:val="null3"/>
            </w:pPr>
            <w:r>
              <w:rPr>
                <w:rFonts w:ascii="仿宋_GB2312" w:hAnsi="仿宋_GB2312" w:cs="仿宋_GB2312" w:eastAsia="仿宋_GB2312"/>
                <w:sz w:val="21"/>
              </w:rPr>
              <w:t>4.引文信息追踪：支持提供检索结果中文献与各类资源的被引量信息，并支持一键筛选出引用了指定检索结果内文献的全部资源。</w:t>
            </w:r>
          </w:p>
          <w:p>
            <w:pPr>
              <w:pStyle w:val="null3"/>
            </w:pPr>
            <w:r>
              <w:rPr>
                <w:rFonts w:ascii="仿宋_GB2312" w:hAnsi="仿宋_GB2312" w:cs="仿宋_GB2312" w:eastAsia="仿宋_GB2312"/>
                <w:sz w:val="21"/>
              </w:rPr>
              <w:t>5.相关文献推荐：支持提供制定检索结果的相关资源内容，操作便捷。</w:t>
            </w:r>
          </w:p>
          <w:p>
            <w:pPr>
              <w:pStyle w:val="null3"/>
            </w:pPr>
            <w:r>
              <w:rPr>
                <w:rFonts w:ascii="仿宋_GB2312" w:hAnsi="仿宋_GB2312" w:cs="仿宋_GB2312" w:eastAsia="仿宋_GB2312"/>
                <w:sz w:val="21"/>
              </w:rPr>
              <w:t>2.3 文献传递功能具体要求</w:t>
            </w:r>
          </w:p>
          <w:p>
            <w:pPr>
              <w:pStyle w:val="null3"/>
            </w:pPr>
            <w:r>
              <w:rPr>
                <w:rFonts w:ascii="仿宋_GB2312" w:hAnsi="仿宋_GB2312" w:cs="仿宋_GB2312" w:eastAsia="仿宋_GB2312"/>
                <w:sz w:val="21"/>
              </w:rPr>
              <w:t>依托微信端等平台，采用</w:t>
            </w:r>
            <w:r>
              <w:rPr>
                <w:rFonts w:ascii="仿宋_GB2312" w:hAnsi="仿宋_GB2312" w:cs="仿宋_GB2312" w:eastAsia="仿宋_GB2312"/>
                <w:sz w:val="21"/>
              </w:rPr>
              <w:t>“人工+AI智能助手”方式24小时为机构用户提供文献传递服务，群内工作人员配合语义理解引擎的智能对话系统，为群内科研人员提供全年无休的实时需求响应。</w:t>
            </w:r>
          </w:p>
          <w:p>
            <w:pPr>
              <w:pStyle w:val="null3"/>
            </w:pPr>
            <w:r>
              <w:rPr>
                <w:rFonts w:ascii="仿宋_GB2312" w:hAnsi="仿宋_GB2312" w:cs="仿宋_GB2312" w:eastAsia="仿宋_GB2312"/>
                <w:sz w:val="21"/>
              </w:rPr>
              <w:t>1.可提供学科热点跟踪，根据机构科研需求，配合提供相关学科的年度国际学术热点分析。提供文献计量分析，根据机构需求，辅助提供机构相关文献计量分析数据。</w:t>
            </w:r>
          </w:p>
          <w:p>
            <w:pPr>
              <w:pStyle w:val="null3"/>
            </w:pPr>
            <w:r>
              <w:rPr>
                <w:rFonts w:ascii="仿宋_GB2312" w:hAnsi="仿宋_GB2312" w:cs="仿宋_GB2312" w:eastAsia="仿宋_GB2312"/>
                <w:sz w:val="21"/>
              </w:rPr>
              <w:t>2.可提供智能机器人在线咨询、各类学术文献的传送服务（期刊、图书、论文、标准、专利、科技成果、报告、年鉴等）、学科专题经典内容推荐（包括但不限于SCI专题、经典推荐、好书推荐等）、选刊、投稿发文指导、外文论文查重服务、语法校对检测服务等。</w:t>
            </w:r>
          </w:p>
          <w:p>
            <w:pPr>
              <w:pStyle w:val="null3"/>
            </w:pPr>
            <w:r>
              <w:rPr>
                <w:rFonts w:ascii="仿宋_GB2312" w:hAnsi="仿宋_GB2312" w:cs="仿宋_GB2312" w:eastAsia="仿宋_GB2312"/>
                <w:sz w:val="21"/>
              </w:rPr>
              <w:t>3.传递文献覆盖 90%以上重点学科常用数字资源全文，绝大部分文章可实时响应，总体平均响应时间不超过 10 分钟。</w:t>
            </w:r>
          </w:p>
          <w:p>
            <w:pPr>
              <w:pStyle w:val="null3"/>
            </w:pPr>
            <w:r>
              <w:rPr>
                <w:rFonts w:ascii="仿宋_GB2312" w:hAnsi="仿宋_GB2312" w:cs="仿宋_GB2312" w:eastAsia="仿宋_GB2312"/>
                <w:sz w:val="21"/>
              </w:rPr>
              <w:t>4.资源类型</w:t>
            </w:r>
          </w:p>
          <w:p>
            <w:pPr>
              <w:pStyle w:val="null3"/>
            </w:pPr>
            <w:r>
              <w:rPr>
                <w:rFonts w:ascii="仿宋_GB2312" w:hAnsi="仿宋_GB2312" w:cs="仿宋_GB2312" w:eastAsia="仿宋_GB2312"/>
                <w:sz w:val="21"/>
              </w:rPr>
              <w:t>涵盖期刊论文、会议论文、学位论文、图书、报纸、年鉴、科技成果、研究报告、标准、专利、工具书等各类文献。</w:t>
            </w:r>
          </w:p>
          <w:p>
            <w:pPr>
              <w:pStyle w:val="null3"/>
            </w:pPr>
            <w:r>
              <w:rPr>
                <w:rFonts w:ascii="仿宋_GB2312" w:hAnsi="仿宋_GB2312" w:cs="仿宋_GB2312" w:eastAsia="仿宋_GB2312"/>
                <w:sz w:val="21"/>
              </w:rPr>
              <w:t>5.资源学科</w:t>
            </w:r>
          </w:p>
          <w:p>
            <w:pPr>
              <w:pStyle w:val="null3"/>
            </w:pPr>
            <w:r>
              <w:rPr>
                <w:rFonts w:ascii="仿宋_GB2312" w:hAnsi="仿宋_GB2312" w:cs="仿宋_GB2312" w:eastAsia="仿宋_GB2312"/>
                <w:sz w:val="21"/>
              </w:rPr>
              <w:t>覆盖基础学科、社会科学、工程技术、经济管理、电子信息等全领域学科。</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1"/>
              </w:rPr>
              <w:t>2.4 组织实施、应急措施等要求</w:t>
            </w:r>
          </w:p>
          <w:p>
            <w:pPr>
              <w:pStyle w:val="null3"/>
            </w:pPr>
            <w:r>
              <w:rPr>
                <w:rFonts w:ascii="仿宋_GB2312" w:hAnsi="仿宋_GB2312" w:cs="仿宋_GB2312" w:eastAsia="仿宋_GB2312"/>
                <w:sz w:val="21"/>
              </w:rPr>
              <w:t>1、提供7*24小时网络、电话及EMAIL支持服务，故障反应时间不超过6小时，故障解决时间不超过24小时；</w:t>
            </w:r>
          </w:p>
          <w:p>
            <w:pPr>
              <w:pStyle w:val="null3"/>
            </w:pPr>
            <w:r>
              <w:rPr>
                <w:rFonts w:ascii="仿宋_GB2312" w:hAnsi="仿宋_GB2312" w:cs="仿宋_GB2312" w:eastAsia="仿宋_GB2312"/>
                <w:sz w:val="21"/>
              </w:rPr>
              <w:t>2、供应商应对数据库内容及其版权负责，依法依约取得作者著作使用许可，保证版权无纠纷，因数据库知识产权产生的一切事务、费用由供应商承担；</w:t>
            </w:r>
          </w:p>
          <w:p>
            <w:pPr>
              <w:pStyle w:val="null3"/>
            </w:pPr>
            <w:r>
              <w:rPr>
                <w:rFonts w:ascii="仿宋_GB2312" w:hAnsi="仿宋_GB2312" w:cs="仿宋_GB2312" w:eastAsia="仿宋_GB2312"/>
                <w:sz w:val="21"/>
              </w:rPr>
              <w:t>3、使用过程中因数据库系统本身原因导致的异常和错误，须提供免费修正和维护，非系统原因造成的异常与错误，须根据情况尽可能地为采购方提供帮助；</w:t>
            </w:r>
          </w:p>
          <w:p>
            <w:pPr>
              <w:pStyle w:val="null3"/>
            </w:pPr>
            <w:r>
              <w:rPr>
                <w:rFonts w:ascii="仿宋_GB2312" w:hAnsi="仿宋_GB2312" w:cs="仿宋_GB2312" w:eastAsia="仿宋_GB2312"/>
                <w:sz w:val="21"/>
              </w:rPr>
              <w:t>4、保障采购方所购数据库产品在使用期内的完整性，未经采购方许可，不得擅自改变采购方所购数据的服务模式；</w:t>
            </w:r>
          </w:p>
          <w:p>
            <w:pPr>
              <w:pStyle w:val="null3"/>
            </w:pPr>
            <w:r>
              <w:rPr>
                <w:rFonts w:ascii="仿宋_GB2312" w:hAnsi="仿宋_GB2312" w:cs="仿宋_GB2312" w:eastAsia="仿宋_GB2312"/>
                <w:sz w:val="21"/>
              </w:rPr>
              <w:t>5、定时向采购方通报数据库产品开发进展情况、宣传计划和资料；</w:t>
            </w:r>
          </w:p>
          <w:p>
            <w:pPr>
              <w:pStyle w:val="null3"/>
            </w:pPr>
            <w:r>
              <w:rPr>
                <w:rFonts w:ascii="仿宋_GB2312" w:hAnsi="仿宋_GB2312" w:cs="仿宋_GB2312" w:eastAsia="仿宋_GB2312"/>
                <w:sz w:val="21"/>
              </w:rPr>
              <w:t>6、免费提供至少每年两次数据库使用和技术现场培训，培训时间听从购买方安排。</w:t>
            </w:r>
          </w:p>
          <w:p>
            <w:pPr>
              <w:pStyle w:val="null3"/>
            </w:pPr>
            <w:r>
              <w:rPr>
                <w:rFonts w:ascii="仿宋_GB2312" w:hAnsi="仿宋_GB2312" w:cs="仿宋_GB2312" w:eastAsia="仿宋_GB2312"/>
                <w:sz w:val="21"/>
              </w:rPr>
              <w:t>7、合同签订后，免费为采购方提供安装、调试，保证数据库的开通使用。</w:t>
            </w:r>
          </w:p>
          <w:p>
            <w:pPr>
              <w:pStyle w:val="null3"/>
            </w:pPr>
            <w:r>
              <w:rPr>
                <w:rFonts w:ascii="仿宋_GB2312" w:hAnsi="仿宋_GB2312" w:cs="仿宋_GB2312" w:eastAsia="仿宋_GB2312"/>
                <w:sz w:val="21"/>
              </w:rPr>
              <w:t>8、提供采购方所订购数据库数据实时在线免费更新升级，并免费提供数据库平台软件的常规升级服务。</w:t>
            </w:r>
          </w:p>
          <w:p>
            <w:pPr>
              <w:pStyle w:val="null3"/>
            </w:pPr>
            <w:r>
              <w:rPr>
                <w:rFonts w:ascii="仿宋_GB2312" w:hAnsi="仿宋_GB2312" w:cs="仿宋_GB2312" w:eastAsia="仿宋_GB2312"/>
                <w:sz w:val="21"/>
              </w:rPr>
              <w:t>2.5报价要求以及其他要求</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符合市场定价规范，价格涨幅处在合理区间，具有完整的产品定价规则。</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标的名称：爱思维尔SD数据库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 项目概述</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ScienceDirect全文数据库是由全球著名的学术期刊出版商Elsevier出版的外文期刊，大部分期刊被SCI、SSCI、EI收录，是世界上公认的高品位学术期刊。根据爱思唯尔DRAA西部学科包项目的定价规范，对西部高校采购其数据库使用美元统一定价原则，并且图书馆已经连续多年采购其产品，为保证资源使用的持续性，2026年拟继续采购Elsevier ScienceDirect全文数据库部分西部学科包。</w:t>
            </w:r>
          </w:p>
          <w:p>
            <w:pPr>
              <w:pStyle w:val="null3"/>
            </w:pPr>
            <w:r>
              <w:rPr>
                <w:rFonts w:ascii="仿宋_GB2312" w:hAnsi="仿宋_GB2312" w:cs="仿宋_GB2312" w:eastAsia="仿宋_GB2312"/>
                <w:sz w:val="21"/>
              </w:rPr>
              <w:t>2.服务内容和标准</w:t>
            </w:r>
          </w:p>
          <w:p>
            <w:pPr>
              <w:pStyle w:val="null3"/>
            </w:pPr>
            <w:r>
              <w:rPr>
                <w:rFonts w:ascii="仿宋_GB2312" w:hAnsi="仿宋_GB2312" w:cs="仿宋_GB2312" w:eastAsia="仿宋_GB2312"/>
                <w:sz w:val="21"/>
              </w:rPr>
              <w:t>2.1 总体要求</w:t>
            </w:r>
          </w:p>
          <w:p>
            <w:pPr>
              <w:pStyle w:val="null3"/>
            </w:pPr>
            <w:r>
              <w:rPr>
                <w:rFonts w:ascii="仿宋_GB2312" w:hAnsi="仿宋_GB2312" w:cs="仿宋_GB2312" w:eastAsia="仿宋_GB2312"/>
                <w:sz w:val="21"/>
              </w:rPr>
              <w:t>自</w:t>
            </w:r>
            <w:r>
              <w:rPr>
                <w:rFonts w:ascii="仿宋_GB2312" w:hAnsi="仿宋_GB2312" w:cs="仿宋_GB2312" w:eastAsia="仿宋_GB2312"/>
                <w:sz w:val="21"/>
              </w:rPr>
              <w:t>2027年01月01日至2027年12月31日期间向学校提供 ScienceDirect全文数据库Engineering大专辑中的Engineering、Chemical Engineering、Energy、Materials Science四个小专题的远程包库服务，目前已经连续采购多年，项目运行良好。</w:t>
            </w:r>
          </w:p>
          <w:p>
            <w:pPr>
              <w:pStyle w:val="null3"/>
            </w:pPr>
            <w:r>
              <w:rPr>
                <w:rFonts w:ascii="仿宋_GB2312" w:hAnsi="仿宋_GB2312" w:cs="仿宋_GB2312" w:eastAsia="仿宋_GB2312"/>
                <w:sz w:val="21"/>
              </w:rPr>
              <w:t>2.2服务标准</w:t>
            </w:r>
          </w:p>
          <w:p>
            <w:pPr>
              <w:pStyle w:val="null3"/>
            </w:pPr>
            <w:r>
              <w:rPr>
                <w:rFonts w:ascii="仿宋_GB2312" w:hAnsi="仿宋_GB2312" w:cs="仿宋_GB2312" w:eastAsia="仿宋_GB2312"/>
                <w:sz w:val="21"/>
              </w:rPr>
              <w:t>(1)提供不少于按学科分类的600种经同行评审、Elsevier出版的学术期刊， 其中被SCI、EI、SSCI国际著名二次文献数据库收录的期刊不低于50%；</w:t>
            </w:r>
          </w:p>
          <w:p>
            <w:pPr>
              <w:pStyle w:val="null3"/>
            </w:pPr>
            <w:r>
              <w:rPr>
                <w:rFonts w:ascii="仿宋_GB2312" w:hAnsi="仿宋_GB2312" w:cs="仿宋_GB2312" w:eastAsia="仿宋_GB2312"/>
                <w:sz w:val="21"/>
              </w:rPr>
              <w:t>(2)提供2027年全文数据及4年过刊全文数据使用权，包括持续更新，停刊/转出，更名以及合并刊；</w:t>
            </w:r>
          </w:p>
          <w:p>
            <w:pPr>
              <w:pStyle w:val="null3"/>
            </w:pPr>
            <w:r>
              <w:rPr>
                <w:rFonts w:ascii="仿宋_GB2312" w:hAnsi="仿宋_GB2312" w:cs="仿宋_GB2312" w:eastAsia="仿宋_GB2312"/>
                <w:sz w:val="21"/>
              </w:rPr>
              <w:t>（</w:t>
            </w:r>
            <w:r>
              <w:rPr>
                <w:rFonts w:ascii="仿宋_GB2312" w:hAnsi="仿宋_GB2312" w:cs="仿宋_GB2312" w:eastAsia="仿宋_GB2312"/>
                <w:sz w:val="21"/>
              </w:rPr>
              <w:t>3）提供当年期刊目录，包括刊名、刊号，ISSN号、价格等相关项目；</w:t>
            </w:r>
          </w:p>
          <w:p>
            <w:pPr>
              <w:pStyle w:val="null3"/>
            </w:pPr>
            <w:r>
              <w:rPr>
                <w:rFonts w:ascii="仿宋_GB2312" w:hAnsi="仿宋_GB2312" w:cs="仿宋_GB2312" w:eastAsia="仿宋_GB2312"/>
                <w:sz w:val="21"/>
              </w:rPr>
              <w:t>2.3组织实施、应急措施等要求</w:t>
            </w:r>
          </w:p>
          <w:p>
            <w:pPr>
              <w:pStyle w:val="null3"/>
            </w:pPr>
            <w:r>
              <w:rPr>
                <w:rFonts w:ascii="仿宋_GB2312" w:hAnsi="仿宋_GB2312" w:cs="仿宋_GB2312" w:eastAsia="仿宋_GB2312"/>
                <w:sz w:val="21"/>
              </w:rPr>
              <w:t>(1)提供7*24小时网络、电话及EMAIL支持服务，故障反应时间不超过6小时，故障解决时间不超过24小时；</w:t>
            </w:r>
          </w:p>
          <w:p>
            <w:pPr>
              <w:pStyle w:val="null3"/>
            </w:pPr>
            <w:r>
              <w:rPr>
                <w:rFonts w:ascii="仿宋_GB2312" w:hAnsi="仿宋_GB2312" w:cs="仿宋_GB2312" w:eastAsia="仿宋_GB2312"/>
                <w:sz w:val="21"/>
              </w:rPr>
              <w:t>(2)供应商应对数据库内容及其版权负责，依法依约取得作者著作使用许可，保证版权无纠纷，因数据库知识产权产生的一切事务、费用由供应商承担；</w:t>
            </w:r>
          </w:p>
          <w:p>
            <w:pPr>
              <w:pStyle w:val="null3"/>
            </w:pPr>
            <w:r>
              <w:rPr>
                <w:rFonts w:ascii="仿宋_GB2312" w:hAnsi="仿宋_GB2312" w:cs="仿宋_GB2312" w:eastAsia="仿宋_GB2312"/>
                <w:sz w:val="21"/>
              </w:rPr>
              <w:t>(3)使用过程中因数据库系统本身原因导致的异常和错误，须提供免费修正和维护，非系统原因造成的异常与错误，须根据情况尽可能地为采购方提供帮助；</w:t>
            </w:r>
          </w:p>
          <w:p>
            <w:pPr>
              <w:pStyle w:val="null3"/>
            </w:pPr>
            <w:r>
              <w:rPr>
                <w:rFonts w:ascii="仿宋_GB2312" w:hAnsi="仿宋_GB2312" w:cs="仿宋_GB2312" w:eastAsia="仿宋_GB2312"/>
                <w:sz w:val="21"/>
              </w:rPr>
              <w:t>(4)保障采购方所购数据库产品在使用期内的完整性，未经采购方许可，不得擅自改变采购方所购数据的服务模式；</w:t>
            </w:r>
          </w:p>
          <w:p>
            <w:pPr>
              <w:pStyle w:val="null3"/>
            </w:pPr>
            <w:r>
              <w:rPr>
                <w:rFonts w:ascii="仿宋_GB2312" w:hAnsi="仿宋_GB2312" w:cs="仿宋_GB2312" w:eastAsia="仿宋_GB2312"/>
                <w:sz w:val="21"/>
              </w:rPr>
              <w:t>(5)定时向采购方通报数据库产品开发进展情况、宣传计划和资料；</w:t>
            </w:r>
          </w:p>
          <w:p>
            <w:pPr>
              <w:pStyle w:val="null3"/>
            </w:pPr>
            <w:r>
              <w:rPr>
                <w:rFonts w:ascii="仿宋_GB2312" w:hAnsi="仿宋_GB2312" w:cs="仿宋_GB2312" w:eastAsia="仿宋_GB2312"/>
                <w:sz w:val="21"/>
              </w:rPr>
              <w:t>(6)免费提供至少每年两次数据库使用和技术现场培训，培训时间听从购买方安排；</w:t>
            </w:r>
          </w:p>
          <w:p>
            <w:pPr>
              <w:pStyle w:val="null3"/>
            </w:pPr>
            <w:r>
              <w:rPr>
                <w:rFonts w:ascii="仿宋_GB2312" w:hAnsi="仿宋_GB2312" w:cs="仿宋_GB2312" w:eastAsia="仿宋_GB2312"/>
                <w:sz w:val="21"/>
              </w:rPr>
              <w:t>(7)合同签订后，免费为采购方提供安装、调试，保证数据库的开通使用；</w:t>
            </w:r>
          </w:p>
          <w:p>
            <w:pPr>
              <w:pStyle w:val="null3"/>
            </w:pPr>
            <w:r>
              <w:rPr>
                <w:rFonts w:ascii="仿宋_GB2312" w:hAnsi="仿宋_GB2312" w:cs="仿宋_GB2312" w:eastAsia="仿宋_GB2312"/>
                <w:sz w:val="21"/>
              </w:rPr>
              <w:t>(8)提供采购方所订购数据库数据实时在线免费更新升级，并免费提供数据库平台软件的常规升级服务。</w:t>
            </w:r>
          </w:p>
          <w:p>
            <w:pPr>
              <w:pStyle w:val="null3"/>
            </w:pPr>
            <w:r>
              <w:rPr>
                <w:rFonts w:ascii="仿宋_GB2312" w:hAnsi="仿宋_GB2312" w:cs="仿宋_GB2312" w:eastAsia="仿宋_GB2312"/>
                <w:sz w:val="21"/>
              </w:rPr>
              <w:t>2.4报价要求以及其他要求</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符合市场定价规范，价格涨幅处在合理区间，具有完整的产品定价规则。</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配备足够的专业人员，在服务周期内能够及时响应甲方需求。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配备足够的专业人员，在服务周期内能够及时响应甲方需求。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配备足够的专业人员，在服务周期内能够及时响应甲方需求。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配备足够的专业人员，在服务周期内能够及时响应甲方需求。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供应商应按照采购需求提供完成本项目服务所必须的设施设备。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供应商应按照采购需求提供完成本项目服务所必须的设施设备。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供应商应按照采购需求提供完成本项目服务所必须的设施设备。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供应商应按照采购需求提供完成本项目服务所必须的设施设备。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2027年1月1日—2027年12月31日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2026年10月1日—2027年9月30日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2027年1月1日—2027年12月31日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2027年1月1日—2027年12月31日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西安航空学院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西安航空学院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西安航空学院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西安航空学院</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进度款，供应商开具全额发票，并完成开通验收后付款，达到付款条件起60个工作日内，支付合同总金额的100.0%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进度款，供应商开具全额发票，并完成开通验收后付款，达到付款条件起60个工作日内，支付合同总金额的100.0%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进度款，供应商开具全额发票，并完成开通验收后付款，达到付款条件起60个工作日内，支付合同总金额的100.0%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进度款，供应商开具全额发票，并完成开通验收后付款，达到付款条件起60个工作日内，支付合同总金额的100.0%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符合国家标准，按照采购文件要求、响应文件及合同约定执行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符合国家标准，按照采购文件要求、响应文件及合同约定执行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符合国家标准，按照采购文件要求、响应文件及合同约定执行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符合国家标准，按照采购文件要求、响应文件及合同约定执行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符合国家标准，按照采购文件要求、响应文件及合同约定执行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符合国家标准，按照采购文件要求、响应文件及合同约定执行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符合国家标准，按照采购文件要求、响应文件及合同约定执行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符合国家标准，按照采购文件要求、响应文件及合同约定执行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纸质文件要求(1)供应商需要在线提交所有通过电子化交易平台实施的政府采购项目的响应文件，同时，线下提交纸质响应文件正本壹份、副本壹份。若电子响应文件与纸质响应文件不一致的，以电子响应文件为准。(2)响应文件，正、副本分别各自装订成册密封。在封口处加盖供应商公章。 (3)线下响应文件递交截止时间与线上开评标时间一致。 (4)纸质响应文件可邮寄递交，应于递交响应文件截止时间前邮寄到西安市高新区丈八一路1号汇鑫中心D座2206室(陕西德勤招标有限公司)。2、协商保证金注意事项(1)协商保证金须从供应商户名支付，如从个人户名或非供应商户名支付，将被拒绝，视为自动放弃投标权利(该个人是供应商的情形除外);以保函形式交纳协商保证金的，供应商应在响应截止时间前将保函扫描成清晰的PDF文件，发送至邮箱deqinjxm@126.com(邮件命名:项目编号);供应商应在响应文件中附保函扫描件。保函必须由具有开具投标保函资格的单位开具;若成交人违约，开具保函单位承担连带责任;(2)协商保证金的提交金额、时间不满足文件要求的，响应无效;(3)未按指定账户提交的，我公司将退回，供应商须在响应文件递交截止时间前按照指定账户再次提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纸质文件要求(1)供应商需要在线提交所有通过电子化交易平台实施的政府采购项目的响应文件，同时，线下提交纸质响应文件正本壹份、副本壹份。若电子响应文件与纸质响应文件不一致的，以电子响应文件为准。(2)响应文件，正、副本分别各自装订成册密封。在封口处加盖供应商公章。 (3)线下响应文件递交截止时间与线上开评标时间一致。 (4)纸质响应文件可邮寄递交，应于递交响应文件截止时间前邮寄到西安市高新区丈八一路1号汇鑫中心D座2206室(陕西德勤招标有限公司)。2、协商保证金注意事项(1)协商保证金须从供应商户名支付，如从个人户名或非供应商户名支付，将被拒绝，视为自动放弃投标权利(该个人是供应商的情形除外);以保函形式交纳协商保证金的，供应商应在响应截止时间前将保函扫描成清晰的PDF文件，发送至邮箱deqinjxm@126.com(邮件命名:项目编号);供应商应在响应文件中附保函扫描件。保函必须由具有开具投标保函资格的单位开具;若成交人违约，开具保函单位承担连带责任;(2)协商保证金的提交金额、时间不满足文件要求的，响应无效;(3)未按指定账户提交的，我公司将退回，供应商须在响应文件递交截止时间前按照指定账户再次提交。</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纸质文件要求(1)供应商需要在线提交所有通过电子化交易平台实施的政府采购项目的响应文件，同时，线下提交纸质响应文件正本壹份、副本壹份。若电子响应文件与纸质响应文件不一致的，以电子响应文件为准。(2)响应文件，正、副本分别各自装订成册密封。在封口处加盖供应商公章。 (3)线下响应文件递交截止时间与线上开评标时间一致。 (4)纸质响应文件可邮寄递交，应于递交响应文件截止时间前邮寄到西安市高新区丈八一路1号汇鑫中心D座2206室(陕西德勤招标有限公司)。2、协商保证金注意事项(1)协商保证金须从供应商户名支付，如从个人户名或非供应商户名支付，将被拒绝，视为自动放弃投标权利(该个人是供应商的情形除外);以保函形式交纳协商保证金的，供应商应在响应截止时间前将保函扫描成清晰的PDF文件，发送至邮箱deqinjxm@126.com(邮件命名:项目编号);供应商应在响应文件中附保函扫描件。保函必须由具有开具投标保函资格的单位开具;若成交人违约，开具保函单位承担连带责任;(2)协商保证金的提交金额、时间不满足文件要求的，响应无效;(3)未按指定账户提交的，我公司将退回，供应商须在响应文件递交截止时间前按照指定账户再次提交。</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纸质文件要求(1)供应商需要在线提交所有通过电子化交易平台实施的政府采购项目的响应文件，同时，线下提交纸质响应文件正本壹份、副本壹份。若电子响应文件与纸质响应文件不一致的，以电子响应文件为准。(2)响应文件，正、副本分别各自装订成册密封。在封口处加盖供应商公章。 (3)线下响应文件递交截止时间与线上开评标时间一致。 (4)纸质响应文件可邮寄递交，应于递交响应文件截止时间前邮寄到西安市高新区丈八一路1号汇鑫中心D座2206室(陕西德勤招标有限公司)。2、协商保证金注意事项(1)协商保证金须从供应商户名支付，如从个人户名或非供应商户名支付，将被拒绝，视为自动放弃投标权利(该个人是供应商的情形除外);以保函形式交纳协商保证金的，供应商应在响应截止时间前将保函扫描成清晰的PDF文件，发送至邮箱deqinjxm@126.com(邮件命名:项目编号);供应商应在响应文件中附保函扫描件。保函必须由具有开具投标保函资格的单位开具;若成交人违约，开具保函单位承担连带责任;(2)协商保证金的提交金额、时间不满足文件要求的，响应无效;(3)未按指定账户提交的，我公司将退回，供应商须在响应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协商的，须提供本人身份证复印件(附在响应文件中)；法定代表人授权他人参加协商的，须提供法定代表人授权委托书，同时需提供被授权人开标前3个月内任意1个月的社保缴纳证明（依法不需要缴纳社保的被授权人应提供相关证明）。法人的分支机构参与协商时，除提供《法定代表人授权委托书》外，还须同时提供总公司给分支机构出具的授权书。响应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供应商应提供《非联合体不分包响应声明》，视为独立响应，不分包。</w:t>
            </w:r>
          </w:p>
        </w:tc>
        <w:tc>
          <w:tcPr>
            <w:tcW w:type="dxa" w:w="1661"/>
          </w:tcPr>
          <w:p>
            <w:pPr>
              <w:pStyle w:val="null3"/>
            </w:pPr>
            <w:r>
              <w:rPr>
                <w:rFonts w:ascii="仿宋_GB2312" w:hAnsi="仿宋_GB2312" w:cs="仿宋_GB2312" w:eastAsia="仿宋_GB2312"/>
              </w:rPr>
              <w:t>非联合体不分包响应声明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协商的，须提供本人身份证复印件(附在响应文件中)；法定代表人授权他人参加协商的，须提供法定代表人授权委托书，同时需提供被授权人开标前3个月内任意1个月的社保缴纳证明（依法不需要缴纳社保的被授权人应提供相关证明）。法人的分支机构参与协商时，除提供《法定代表人授权委托书》外，还须同时提供总公司给分支机构出具的授权书。响应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供应商应提供《非联合体不分包响应声明》，视为独立响应，不分包。</w:t>
            </w:r>
          </w:p>
        </w:tc>
        <w:tc>
          <w:tcPr>
            <w:tcW w:type="dxa" w:w="1661"/>
          </w:tcPr>
          <w:p>
            <w:pPr>
              <w:pStyle w:val="null3"/>
            </w:pPr>
            <w:r>
              <w:rPr>
                <w:rFonts w:ascii="仿宋_GB2312" w:hAnsi="仿宋_GB2312" w:cs="仿宋_GB2312" w:eastAsia="仿宋_GB2312"/>
              </w:rPr>
              <w:t>非联合体不分包响应声明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协商的，须提供本人身份证复印件(附在响应文件中)；法定代表人授权他人参加协商的，须提供法定代表人授权委托书，同时需提供被授权人开标前3个月内任意1个月的社保缴纳证明（依法不需要缴纳社保的被授权人应提供相关证明）。法人的分支机构参与协商时，除提供《法定代表人授权委托书》外，还须同时提供总公司给分支机构出具的授权书。响应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供应商应提供《非联合体不分包响应声明》，视为独立响应，不分包。</w:t>
            </w:r>
          </w:p>
        </w:tc>
        <w:tc>
          <w:tcPr>
            <w:tcW w:type="dxa" w:w="1661"/>
          </w:tcPr>
          <w:p>
            <w:pPr>
              <w:pStyle w:val="null3"/>
            </w:pPr>
            <w:r>
              <w:rPr>
                <w:rFonts w:ascii="仿宋_GB2312" w:hAnsi="仿宋_GB2312" w:cs="仿宋_GB2312" w:eastAsia="仿宋_GB2312"/>
              </w:rPr>
              <w:t>非联合体不分包响应声明</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协商的，须提供本人身份证复印件(附在响应文件中)；法定代表人授权他人参加协商的，须提供法定代表人授权委托书，同时需提供被授权人开标前3个月内任意1个月的社保缴纳证明（依法不需要缴纳社保的被授权人应提供相关证明）。法人的分支机构参与协商时，除提供《法定代表人授权委托书》外，还须同时提供总公司给分支机构出具的授权书。响应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供应商应提供《非联合体不分包响应声明》，视为独立响应，不分包。</w:t>
            </w:r>
          </w:p>
        </w:tc>
        <w:tc>
          <w:tcPr>
            <w:tcW w:type="dxa" w:w="1661"/>
          </w:tcPr>
          <w:p>
            <w:pPr>
              <w:pStyle w:val="null3"/>
            </w:pPr>
            <w:r>
              <w:rPr>
                <w:rFonts w:ascii="仿宋_GB2312" w:hAnsi="仿宋_GB2312" w:cs="仿宋_GB2312" w:eastAsia="仿宋_GB2312"/>
              </w:rPr>
              <w:t>非联合体不分包响应声明</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法定代表人授权委托书 保证金汇款声明函 分项报价表 中小企业声明函 商务应答表 供应商应提交的相关资格证明材料 服务内容及服务要求应答表 报价表 非联合体不分包响应声明 响应文件封面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没有不符合单一来源采购文件规定的被视为无效响应的其他条款。</w:t>
            </w:r>
          </w:p>
        </w:tc>
        <w:tc>
          <w:tcPr>
            <w:tcW w:type="dxa" w:w="1661"/>
          </w:tcPr>
          <w:p>
            <w:pPr>
              <w:pStyle w:val="null3"/>
            </w:pPr>
            <w:r>
              <w:rPr>
                <w:rFonts w:ascii="仿宋_GB2312" w:hAnsi="仿宋_GB2312" w:cs="仿宋_GB2312" w:eastAsia="仿宋_GB2312"/>
              </w:rPr>
              <w:t>法定代表人授权委托书 保证金汇款声明函 分项报价表 中小企业声明函 商务应答表 供应商应提交的相关资格证明材料 服务内容及服务要求应答表 报价表 非联合体不分包响应声明 响应文件封面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法定代表人授权委托书 保证金汇款声明函 分项报价表 中小企业声明函 商务应答表 供应商应提交的相关资格证明材料 服务内容及服务要求应答表 报价表 非联合体不分包响应声明 响应文件封面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（1）响应报价符合唯一性要求； （2）开标一览表填写符合要求； （3）计量单位、报价货币均符合单一来源采购文件要求；（4）未超出采购预算或单一来源采购规定的最高限价。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完全理解接受单一来源采购文件商务条款。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保证金交纳符合单一来源采购文件要求。</w:t>
            </w:r>
          </w:p>
        </w:tc>
        <w:tc>
          <w:tcPr>
            <w:tcW w:type="dxa" w:w="1661"/>
          </w:tcPr>
          <w:p>
            <w:pPr>
              <w:pStyle w:val="null3"/>
            </w:pPr>
            <w:r>
              <w:rPr>
                <w:rFonts w:ascii="仿宋_GB2312" w:hAnsi="仿宋_GB2312" w:cs="仿宋_GB2312" w:eastAsia="仿宋_GB2312"/>
              </w:rPr>
              <w:t>保证金汇款声明函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法定代表人授权委托书 保证金汇款声明函 分项报价表 中小企业声明函 商务应答表 供应商应提交的相关资格证明材料 服务内容及服务要求应答表 报价表 非联合体不分包响应声明 响应文件封面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没有不符合单一来源采购文件规定的被视为无效响应的其他条款。</w:t>
            </w:r>
          </w:p>
        </w:tc>
        <w:tc>
          <w:tcPr>
            <w:tcW w:type="dxa" w:w="1661"/>
          </w:tcPr>
          <w:p>
            <w:pPr>
              <w:pStyle w:val="null3"/>
            </w:pPr>
            <w:r>
              <w:rPr>
                <w:rFonts w:ascii="仿宋_GB2312" w:hAnsi="仿宋_GB2312" w:cs="仿宋_GB2312" w:eastAsia="仿宋_GB2312"/>
              </w:rPr>
              <w:t>法定代表人授权委托书 保证金汇款声明函 分项报价表 中小企业声明函 商务应答表 供应商应提交的相关资格证明材料 服务内容及服务要求应答表 报价表 非联合体不分包响应声明 响应文件封面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均按单一来源采购文件要求签字、盖章。</w:t>
            </w:r>
          </w:p>
        </w:tc>
        <w:tc>
          <w:tcPr>
            <w:tcW w:type="dxa" w:w="1661"/>
          </w:tcPr>
          <w:p>
            <w:pPr>
              <w:pStyle w:val="null3"/>
            </w:pPr>
            <w:r>
              <w:rPr>
                <w:rFonts w:ascii="仿宋_GB2312" w:hAnsi="仿宋_GB2312" w:cs="仿宋_GB2312" w:eastAsia="仿宋_GB2312"/>
              </w:rPr>
              <w:t>法定代表人授权委托书 保证金汇款声明函 分项报价表 中小企业声明函 商务应答表 供应商应提交的相关资格证明材料 服务内容及服务要求应答表 报价表 非联合体不分包响应声明 响应文件封面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（1）响应报价符合唯一性要求； （2）开标一览表填写符合要求； （3）计量单位、报价货币均符合单一来源采购文件要求； （4）未超出采购预算或单一来源采购规定的最高限价。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完全理解接受单一来源采购文件商务条款。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保证金交纳符合单一来源采购文件要求。</w:t>
            </w:r>
          </w:p>
        </w:tc>
        <w:tc>
          <w:tcPr>
            <w:tcW w:type="dxa" w:w="1661"/>
          </w:tcPr>
          <w:p>
            <w:pPr>
              <w:pStyle w:val="null3"/>
            </w:pPr>
            <w:r>
              <w:rPr>
                <w:rFonts w:ascii="仿宋_GB2312" w:hAnsi="仿宋_GB2312" w:cs="仿宋_GB2312" w:eastAsia="仿宋_GB2312"/>
              </w:rPr>
              <w:t>保证金汇款声明函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法定代表人授权委托书 保证金汇款声明函 分项报价表 中小企业声明函 商务应答表 供应商应提交的相关资格证明材料 服务内容及服务要求应答表 报价表 非联合体不分包响应声明 响应文件封面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没有不符合单一来源采购文件规定的被视为无效响应的其他条款。</w:t>
            </w:r>
          </w:p>
        </w:tc>
        <w:tc>
          <w:tcPr>
            <w:tcW w:type="dxa" w:w="1661"/>
          </w:tcPr>
          <w:p>
            <w:pPr>
              <w:pStyle w:val="null3"/>
            </w:pPr>
            <w:r>
              <w:rPr>
                <w:rFonts w:ascii="仿宋_GB2312" w:hAnsi="仿宋_GB2312" w:cs="仿宋_GB2312" w:eastAsia="仿宋_GB2312"/>
              </w:rPr>
              <w:t>法定代表人授权委托书 保证金汇款声明函 分项报价表 中小企业声明函 商务应答表 供应商应提交的相关资格证明材料 服务内容及服务要求应答表 报价表 非联合体不分包响应声明 响应文件封面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均按单一来源采购文件要求签字、盖章。</w:t>
            </w:r>
          </w:p>
        </w:tc>
        <w:tc>
          <w:tcPr>
            <w:tcW w:type="dxa" w:w="1661"/>
          </w:tcPr>
          <w:p>
            <w:pPr>
              <w:pStyle w:val="null3"/>
            </w:pPr>
            <w:r>
              <w:rPr>
                <w:rFonts w:ascii="仿宋_GB2312" w:hAnsi="仿宋_GB2312" w:cs="仿宋_GB2312" w:eastAsia="仿宋_GB2312"/>
              </w:rPr>
              <w:t>法定代表人授权委托书 保证金汇款声明函 分项报价表 中小企业声明函 商务应答表 供应商应提交的相关资格证明材料 服务内容及服务要求应答表 报价表 非联合体不分包响应声明 响应文件封面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（1）响应报价符合唯一性要求； （2）开标一览表填写符合要求； （3）计量单位、报价货币均符合单一来源采购文件要求； （4）未超出采购预算或单一来源采购规定的最高限价。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完全理解接受单一来源采购文件商务条款。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保证金交纳符合单一来源采购文件要求。</w:t>
            </w:r>
          </w:p>
        </w:tc>
        <w:tc>
          <w:tcPr>
            <w:tcW w:type="dxa" w:w="1661"/>
          </w:tcPr>
          <w:p>
            <w:pPr>
              <w:pStyle w:val="null3"/>
            </w:pPr>
            <w:r>
              <w:rPr>
                <w:rFonts w:ascii="仿宋_GB2312" w:hAnsi="仿宋_GB2312" w:cs="仿宋_GB2312" w:eastAsia="仿宋_GB2312"/>
              </w:rPr>
              <w:t>保证金汇款声明函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法定代表人授权委托书 保证金汇款声明函 分项报价表 中小企业声明函 商务应答表 供应商应提交的相关资格证明材料 服务内容及服务要求应答表 报价表 非联合体不分包响应声明 响应文件封面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没有不符合单一来源采购文件规定的被视为无效响应的其他条款。</w:t>
            </w:r>
          </w:p>
        </w:tc>
        <w:tc>
          <w:tcPr>
            <w:tcW w:type="dxa" w:w="1661"/>
          </w:tcPr>
          <w:p>
            <w:pPr>
              <w:pStyle w:val="null3"/>
            </w:pPr>
            <w:r>
              <w:rPr>
                <w:rFonts w:ascii="仿宋_GB2312" w:hAnsi="仿宋_GB2312" w:cs="仿宋_GB2312" w:eastAsia="仿宋_GB2312"/>
              </w:rPr>
              <w:t>法定代表人授权委托书 保证金汇款声明函 分项报价表 中小企业声明函 商务应答表 供应商应提交的相关资格证明材料 服务内容及服务要求应答表 报价表 非联合体不分包响应声明 响应文件封面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均按单一来源采购文件要求签字、盖章。</w:t>
            </w:r>
          </w:p>
        </w:tc>
        <w:tc>
          <w:tcPr>
            <w:tcW w:type="dxa" w:w="1661"/>
          </w:tcPr>
          <w:p>
            <w:pPr>
              <w:pStyle w:val="null3"/>
            </w:pPr>
            <w:r>
              <w:rPr>
                <w:rFonts w:ascii="仿宋_GB2312" w:hAnsi="仿宋_GB2312" w:cs="仿宋_GB2312" w:eastAsia="仿宋_GB2312"/>
              </w:rPr>
              <w:t>法定代表人授权委托书 保证金汇款声明函 分项报价表 中小企业声明函 商务应答表 供应商应提交的相关资格证明材料 服务内容及服务要求应答表 报价表 非联合体不分包响应声明 响应文件封面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（1）响应报价符合唯一性要求； （2）开标一览表填写符合要求； （3）计量单位、报价货币均符合单一来源采购文件要求； （4）未超出采购预算或单一来源采购规定的最高限价。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完全理解接受单一来源采购文件商务条款。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保证金交纳符合单一来源采购文件要求。</w:t>
            </w:r>
          </w:p>
        </w:tc>
        <w:tc>
          <w:tcPr>
            <w:tcW w:type="dxa" w:w="1661"/>
          </w:tcPr>
          <w:p>
            <w:pPr>
              <w:pStyle w:val="null3"/>
            </w:pPr>
            <w:r>
              <w:rPr>
                <w:rFonts w:ascii="仿宋_GB2312" w:hAnsi="仿宋_GB2312" w:cs="仿宋_GB2312" w:eastAsia="仿宋_GB2312"/>
              </w:rPr>
              <w:t>保证金汇款声明函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