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版本号：FHZB-202601620260731001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铜川市王益区居家社区养老服务骨干网络建设项目工程勘察设计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FHZB-2026016</w:t>
      </w:r>
      <w:r>
        <w:br/>
      </w:r>
      <w:r>
        <w:br/>
      </w:r>
      <w:r>
        <w:br/>
      </w:r>
    </w:p>
    <w:p>
      <w:pPr>
        <w:pStyle w:val="null3"/>
        <w:jc w:val="center"/>
        <w:outlineLvl w:val="2"/>
      </w:pPr>
      <w:r>
        <w:rPr>
          <w:rFonts w:ascii="仿宋_GB2312" w:hAnsi="仿宋_GB2312" w:cs="仿宋_GB2312" w:eastAsia="仿宋_GB2312"/>
          <w:sz w:val="28"/>
          <w:b/>
        </w:rPr>
        <w:t>铜川市王益区民政局</w:t>
      </w:r>
    </w:p>
    <w:p>
      <w:pPr>
        <w:pStyle w:val="null3"/>
        <w:jc w:val="center"/>
        <w:outlineLvl w:val="2"/>
      </w:pPr>
      <w:r>
        <w:rPr>
          <w:rFonts w:ascii="仿宋_GB2312" w:hAnsi="仿宋_GB2312" w:cs="仿宋_GB2312" w:eastAsia="仿宋_GB2312"/>
          <w:sz w:val="28"/>
          <w:b/>
        </w:rPr>
        <w:t>陕西凡华建设项目管理有限公司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陕西凡华建设项目管理有限公司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铜川市王益区民政局</w:t>
      </w:r>
      <w:r>
        <w:rPr>
          <w:rFonts w:ascii="仿宋_GB2312" w:hAnsi="仿宋_GB2312" w:cs="仿宋_GB2312" w:eastAsia="仿宋_GB2312"/>
        </w:rPr>
        <w:t>委托，拟对</w:t>
      </w:r>
      <w:r>
        <w:rPr>
          <w:rFonts w:ascii="仿宋_GB2312" w:hAnsi="仿宋_GB2312" w:cs="仿宋_GB2312" w:eastAsia="仿宋_GB2312"/>
        </w:rPr>
        <w:t>铜川市王益区居家社区养老服务骨干网络建设项目工程勘察设计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FHZB-2026016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铜川市王益区居家社区养老服务骨干网络建设项目工程勘察设计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铜川市王益区居家社区养⽼服务⻣⼲⽹络建设项⽬⼯程勘察设计1项，内容包括：完成铜川市王益区居家社区养⽼服务⻣⼲⽹络建设项⽬施⼯图设计全流程以及⼯程概算编制等（具体内容详⻅磋商⽂件）。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采购包1（铜川市王益区居家社区养老服务骨干网络建设项目工程勘察设计）：属于专门面向中小企业采购。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2、法定代表人身份证明或法定代表人授权委托书：法定代表人授权书（附法定代表人及被授权人身份证复印件）（如法定代表人直接投标只须提交法定代表人身份证明并附身份证复印件）；</w:t>
      </w:r>
    </w:p>
    <w:p>
      <w:pPr>
        <w:pStyle w:val="null3"/>
      </w:pPr>
      <w:r>
        <w:rPr>
          <w:rFonts w:ascii="仿宋_GB2312" w:hAnsi="仿宋_GB2312" w:cs="仿宋_GB2312" w:eastAsia="仿宋_GB2312"/>
        </w:rPr>
        <w:t>3、财务状况报告：提供2024或2025任一年度经审计的财务审计报告(2026年成立的公司提供成立后企业的资产负债表和利润表），且审计报告应当经过注册会计师行业统一监管平台备案赋码或提供响应文件递交截止之日前三个月内基本存款账户开户银行开具的资信证明及基本户开户信息；</w:t>
      </w:r>
    </w:p>
    <w:p>
      <w:pPr>
        <w:pStyle w:val="null3"/>
      </w:pPr>
      <w:r>
        <w:rPr>
          <w:rFonts w:ascii="仿宋_GB2312" w:hAnsi="仿宋_GB2312" w:cs="仿宋_GB2312" w:eastAsia="仿宋_GB2312"/>
        </w:rPr>
        <w:t>4、税收缴纳证明：提供2025年07月01日至今任意一个月的缴纳税收的证明材料(依法免税的单位应提供相关证明材料)；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5、社会保障资金缴纳证明：提供2025年07月01日至今任意一个月的依法缴纳社会保障资金的证明材料（依法不需要缴纳社会保障资金的单位应提供相关证明材料）；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6、履约能力：出具具备履行合同所必需的设备和专业技术能力的书面声明；</w:t>
      </w:r>
    </w:p>
    <w:p>
      <w:pPr>
        <w:pStyle w:val="null3"/>
      </w:pPr>
      <w:r>
        <w:rPr>
          <w:rFonts w:ascii="仿宋_GB2312" w:hAnsi="仿宋_GB2312" w:cs="仿宋_GB2312" w:eastAsia="仿宋_GB2312"/>
        </w:rPr>
        <w:t>7、无重大违法记录：参加政府采购活动前3年内，在经营活动中没有重大违法记录（提供书面声明函）；</w:t>
      </w:r>
    </w:p>
    <w:p>
      <w:pPr>
        <w:pStyle w:val="null3"/>
      </w:pPr>
      <w:r>
        <w:rPr>
          <w:rFonts w:ascii="仿宋_GB2312" w:hAnsi="仿宋_GB2312" w:cs="仿宋_GB2312" w:eastAsia="仿宋_GB2312"/>
        </w:rPr>
        <w:t>8、信用查询：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9、企业关联关系：单位负责人为同一人或者存在直接控股、管理关系的不同供应商不得同时参加本项目磋商；</w:t>
      </w:r>
    </w:p>
    <w:p>
      <w:pPr>
        <w:pStyle w:val="null3"/>
      </w:pPr>
      <w:r>
        <w:rPr>
          <w:rFonts w:ascii="仿宋_GB2312" w:hAnsi="仿宋_GB2312" w:cs="仿宋_GB2312" w:eastAsia="仿宋_GB2312"/>
        </w:rPr>
        <w:t>10、企业资质：供应商须具备工程设计综合资质甲级或工程设计建筑行业乙级及以上(含乙级)资质或工程设计建筑行业（建筑工程）专业乙级及以上(含乙级)资质；</w:t>
      </w:r>
    </w:p>
    <w:p>
      <w:pPr>
        <w:pStyle w:val="null3"/>
      </w:pPr>
      <w:r>
        <w:rPr>
          <w:rFonts w:ascii="仿宋_GB2312" w:hAnsi="仿宋_GB2312" w:cs="仿宋_GB2312" w:eastAsia="仿宋_GB2312"/>
        </w:rPr>
        <w:t>11、项目负责人：拟派项目负责人须具备一级注册建筑师及以上执业资格(在本单位注册)；</w:t>
      </w:r>
    </w:p>
    <w:p>
      <w:pPr>
        <w:pStyle w:val="null3"/>
      </w:pPr>
      <w:r>
        <w:rPr>
          <w:rFonts w:ascii="仿宋_GB2312" w:hAnsi="仿宋_GB2312" w:cs="仿宋_GB2312" w:eastAsia="仿宋_GB2312"/>
        </w:rPr>
        <w:t>12、本项目不接受联合体磋商：提供非联合体承诺。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陕西省铜川市王益区七一路口民政综合楼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韦英男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13399195597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陕西凡华建设项目管理有限公司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陕西省西安市雁塔区陕西省西安市雁塔区朱雀大街南段6号紫郡长安小区7栋1单元28层07号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19909197975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文件规定的标准下浮5%收取招标代理服务费。可以采取现金、支票、银行汇票、电汇、网银等方式，中标/成交供应商在中标（成交）结果公告发布之日起5日内，向招标代理机构缴纳招标代理服务费/中标（成交）服务费。开户名称：陕西凡华建设项目管理有限公司，开户行：中国农业银行股份有限公司西安长丰园小区支行，银行账户：26110201040016041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铜川市王益区民政局</w:t>
      </w:r>
      <w:r>
        <w:rPr>
          <w:rFonts w:ascii="仿宋_GB2312" w:hAnsi="仿宋_GB2312" w:cs="仿宋_GB2312" w:eastAsia="仿宋_GB2312"/>
        </w:rPr>
        <w:t>和</w:t>
      </w:r>
      <w:r>
        <w:rPr>
          <w:rFonts w:ascii="仿宋_GB2312" w:hAnsi="仿宋_GB2312" w:cs="仿宋_GB2312" w:eastAsia="仿宋_GB2312"/>
        </w:rPr>
        <w:t>陕西凡华建设项目管理有限公司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陕西凡华建设项目管理有限公司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陕西凡华建设项目管理有限公司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 （三）如采⽤供应商所不拥有的知识产权，则在报价中必须包括合法使⽤该知识产权的相关费⽤。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1）验收组织⽅式：⾃⾏验收 2）是否邀请本项⽬的其他供应商：否 3）是否邀请专家：是 4）是否邀请服务对象：是 5）是否邀请第三⽅检测机构：否 6）履约验收程序：⼀次性验收 7）履约验收时间： 供应商提出验收申请之⽇起7⽇内组织验收 8）验收组织的其他事项：供应商提出验收申请前应将成果⽂件交采购⼈初步审核，如有不合格处及时修改。 9）履约验收标准：需符合国家及⾏业和地⽅技术规范和技术标准要求，并满⾜采购⼈需求，设计成果资料通过专家 审查合格。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陕西凡华建设项目管理有限公司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联系人：王威</w:t>
      </w:r>
    </w:p>
    <w:p>
      <w:pPr>
        <w:pStyle w:val="null3"/>
      </w:pPr>
      <w:r>
        <w:rPr>
          <w:rFonts w:ascii="仿宋_GB2312" w:hAnsi="仿宋_GB2312" w:cs="仿宋_GB2312" w:eastAsia="仿宋_GB2312"/>
        </w:rPr>
        <w:t>联系电话：19909197975</w:t>
      </w:r>
    </w:p>
    <w:p>
      <w:pPr>
        <w:pStyle w:val="null3"/>
      </w:pPr>
      <w:r>
        <w:rPr>
          <w:rFonts w:ascii="仿宋_GB2312" w:hAnsi="仿宋_GB2312" w:cs="仿宋_GB2312" w:eastAsia="仿宋_GB2312"/>
        </w:rPr>
        <w:t>地址：陕西省西安市雁塔区陕西省西安市雁塔区朱雀大街南段6号紫郡长安小区7栋1单元28层07号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铜川市王益区居家社区养老服务骨干网络建设项目工程勘察设计1项，内容包括：完成铜川市王益区居家社区养老服务骨干网络建设项目施工图设计全流程以及工程概算编制等（具体内容详见磋商文件）。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807,000.00</w:t>
      </w:r>
    </w:p>
    <w:p>
      <w:pPr>
        <w:pStyle w:val="null3"/>
      </w:pPr>
      <w:r>
        <w:rPr>
          <w:rFonts w:ascii="仿宋_GB2312" w:hAnsi="仿宋_GB2312" w:cs="仿宋_GB2312" w:eastAsia="仿宋_GB2312"/>
        </w:rPr>
        <w:t>采购包最高限价（元）: 807,000.00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铜川市王益区居家社区养老服务骨干网络建设项目工程勘察设计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标的名称：铜川市王益区居家社区养老服务骨干网络建设项目工程勘察设计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一、采购内容：</w:t>
            </w:r>
            <w:r>
              <w:rPr>
                <w:rFonts w:ascii="仿宋_GB2312" w:hAnsi="仿宋_GB2312" w:cs="仿宋_GB2312" w:eastAsia="仿宋_GB2312"/>
                <w:sz w:val="24"/>
                <w:color w:val="000000"/>
              </w:rPr>
              <w:t>铜川市王益区居家社区养老服务骨干网络建设项目</w:t>
            </w:r>
            <w:r>
              <w:rPr>
                <w:rFonts w:ascii="仿宋_GB2312" w:hAnsi="仿宋_GB2312" w:cs="仿宋_GB2312" w:eastAsia="仿宋_GB2312"/>
                <w:sz w:val="24"/>
                <w:color w:val="000000"/>
              </w:rPr>
              <w:t>施工图设计</w:t>
            </w:r>
            <w:r>
              <w:rPr>
                <w:rFonts w:ascii="仿宋_GB2312" w:hAnsi="仿宋_GB2312" w:cs="仿宋_GB2312" w:eastAsia="仿宋_GB2312"/>
                <w:sz w:val="24"/>
                <w:color w:val="000000"/>
              </w:rPr>
              <w:t>及预算编制等内容</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二、建设项目规模：</w:t>
            </w:r>
            <w:r>
              <w:rPr>
                <w:rFonts w:ascii="仿宋_GB2312" w:hAnsi="仿宋_GB2312" w:cs="仿宋_GB2312" w:eastAsia="仿宋_GB2312"/>
                <w:sz w:val="24"/>
                <w:color w:val="000000"/>
              </w:rPr>
              <w:t>本项目位于铜川市王益区，项目建设地点为七一路街道、青年路街道、王家河街道，总建筑面积</w:t>
            </w:r>
            <w:r>
              <w:rPr>
                <w:rFonts w:ascii="仿宋_GB2312" w:hAnsi="仿宋_GB2312" w:cs="仿宋_GB2312" w:eastAsia="仿宋_GB2312"/>
                <w:sz w:val="24"/>
                <w:color w:val="000000"/>
              </w:rPr>
              <w:t>4567.62平方米，建设养老床位共计133张。配套建设室外道路、场地硬化、绿化、给排水、供电、消防等</w:t>
            </w:r>
            <w:r>
              <w:rPr>
                <w:rFonts w:ascii="仿宋_GB2312" w:hAnsi="仿宋_GB2312" w:cs="仿宋_GB2312" w:eastAsia="仿宋_GB2312"/>
                <w:sz w:val="24"/>
                <w:color w:val="000000"/>
              </w:rPr>
              <w:t>。本次招标范围为：</w:t>
            </w:r>
            <w:r>
              <w:rPr>
                <w:rFonts w:ascii="仿宋_GB2312" w:hAnsi="仿宋_GB2312" w:cs="仿宋_GB2312" w:eastAsia="仿宋_GB2312"/>
                <w:sz w:val="24"/>
                <w:color w:val="000000"/>
              </w:rPr>
              <w:t>铜川市王益区居家社区养老服务骨干网络建设项目施工图设计</w:t>
            </w:r>
            <w:r>
              <w:rPr>
                <w:rFonts w:ascii="仿宋_GB2312" w:hAnsi="仿宋_GB2312" w:cs="仿宋_GB2312" w:eastAsia="仿宋_GB2312"/>
                <w:sz w:val="24"/>
                <w:color w:val="000000"/>
              </w:rPr>
              <w:t>及预算编制等内容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三、建设地点：</w:t>
            </w:r>
            <w:r>
              <w:rPr>
                <w:rFonts w:ascii="仿宋_GB2312" w:hAnsi="仿宋_GB2312" w:cs="仿宋_GB2312" w:eastAsia="仿宋_GB2312"/>
                <w:sz w:val="24"/>
                <w:color w:val="000000"/>
              </w:rPr>
              <w:t>铜川市王益区七一路街道、青年路街道、王家河街道</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四、质量标准：需符合国家及行业和地方技术规范和技术标准要求，并满足采购人需求，设计成果资料通过专家审查合格。</w:t>
            </w:r>
          </w:p>
          <w:p>
            <w:pPr>
              <w:pStyle w:val="null3"/>
              <w:jc w:val="both"/>
            </w:pPr>
            <w:r>
              <w:rPr>
                <w:rFonts w:ascii="仿宋_GB2312" w:hAnsi="仿宋_GB2312" w:cs="仿宋_GB2312" w:eastAsia="仿宋_GB2312"/>
                <w:sz w:val="24"/>
                <w:color w:val="000000"/>
              </w:rPr>
              <w:t>五、服务范围：施工图设计及预算编制等相关服务以及后续在项目施工及竣工验收阶段，图审及主管部门审查意见要求对施工图进行修改、补充、出具设计变更（</w:t>
            </w:r>
            <w:r>
              <w:rPr>
                <w:rFonts w:ascii="仿宋_GB2312" w:hAnsi="仿宋_GB2312" w:cs="仿宋_GB2312" w:eastAsia="仿宋_GB2312"/>
                <w:sz w:val="24"/>
                <w:color w:val="000000"/>
              </w:rPr>
              <w:t>答疑</w:t>
            </w:r>
            <w:r>
              <w:rPr>
                <w:rFonts w:ascii="仿宋_GB2312" w:hAnsi="仿宋_GB2312" w:cs="仿宋_GB2312" w:eastAsia="仿宋_GB2312"/>
                <w:sz w:val="24"/>
                <w:color w:val="000000"/>
              </w:rPr>
              <w:t>）的，供应商应无条件配合采购人完成修改调整，并在采购人要求的时限内完成并提交修改后的图纸、变更通知单以及相关技术文件等直到项目竣工验收完成。</w:t>
            </w:r>
          </w:p>
          <w:p>
            <w:pPr>
              <w:pStyle w:val="null3"/>
              <w:jc w:val="both"/>
            </w:pPr>
            <w:r>
              <w:rPr>
                <w:rFonts w:ascii="仿宋_GB2312" w:hAnsi="仿宋_GB2312" w:cs="仿宋_GB2312" w:eastAsia="仿宋_GB2312"/>
                <w:sz w:val="24"/>
                <w:color w:val="000000"/>
              </w:rPr>
              <w:t>六、设计依据：（包括但不限于）</w:t>
            </w:r>
          </w:p>
          <w:p>
            <w:pPr>
              <w:pStyle w:val="null3"/>
              <w:jc w:val="both"/>
            </w:pPr>
            <w:r>
              <w:rPr>
                <w:rFonts w:ascii="仿宋_GB2312" w:hAnsi="仿宋_GB2312" w:cs="仿宋_GB2312" w:eastAsia="仿宋_GB2312"/>
                <w:sz w:val="24"/>
                <w:color w:val="000000"/>
              </w:rPr>
              <w:t>《建筑设计防火规范》</w:t>
            </w:r>
            <w:r>
              <w:rPr>
                <w:rFonts w:ascii="仿宋_GB2312" w:hAnsi="仿宋_GB2312" w:cs="仿宋_GB2312" w:eastAsia="仿宋_GB2312"/>
                <w:sz w:val="24"/>
                <w:color w:val="000000"/>
              </w:rPr>
              <w:t>GB50016-2014(2018年版)</w:t>
            </w:r>
          </w:p>
          <w:p>
            <w:pPr>
              <w:pStyle w:val="null3"/>
              <w:jc w:val="both"/>
            </w:pPr>
            <w:r>
              <w:rPr>
                <w:rFonts w:ascii="仿宋_GB2312" w:hAnsi="仿宋_GB2312" w:cs="仿宋_GB2312" w:eastAsia="仿宋_GB2312"/>
                <w:sz w:val="24"/>
                <w:color w:val="000000"/>
              </w:rPr>
              <w:t>《建筑防火通用规范》</w:t>
            </w:r>
            <w:r>
              <w:rPr>
                <w:rFonts w:ascii="仿宋_GB2312" w:hAnsi="仿宋_GB2312" w:cs="仿宋_GB2312" w:eastAsia="仿宋_GB2312"/>
                <w:sz w:val="24"/>
                <w:color w:val="000000"/>
              </w:rPr>
              <w:t>GB55037-2022</w:t>
            </w:r>
          </w:p>
          <w:p>
            <w:pPr>
              <w:pStyle w:val="null3"/>
              <w:jc w:val="both"/>
            </w:pPr>
            <w:r>
              <w:rPr>
                <w:rFonts w:ascii="仿宋_GB2312" w:hAnsi="仿宋_GB2312" w:cs="仿宋_GB2312" w:eastAsia="仿宋_GB2312"/>
                <w:sz w:val="24"/>
                <w:color w:val="000000"/>
              </w:rPr>
              <w:t>《建筑与市政工程无障碍通用规范》</w:t>
            </w:r>
            <w:r>
              <w:rPr>
                <w:rFonts w:ascii="仿宋_GB2312" w:hAnsi="仿宋_GB2312" w:cs="仿宋_GB2312" w:eastAsia="仿宋_GB2312"/>
                <w:sz w:val="24"/>
                <w:color w:val="000000"/>
              </w:rPr>
              <w:t>GB 55019-2021</w:t>
            </w:r>
          </w:p>
          <w:p>
            <w:pPr>
              <w:pStyle w:val="null3"/>
              <w:jc w:val="both"/>
            </w:pPr>
            <w:r>
              <w:rPr>
                <w:rFonts w:ascii="仿宋_GB2312" w:hAnsi="仿宋_GB2312" w:cs="仿宋_GB2312" w:eastAsia="仿宋_GB2312"/>
                <w:sz w:val="24"/>
                <w:color w:val="000000"/>
              </w:rPr>
              <w:t>《屋面工程技术规范》</w:t>
            </w:r>
            <w:r>
              <w:rPr>
                <w:rFonts w:ascii="仿宋_GB2312" w:hAnsi="仿宋_GB2312" w:cs="仿宋_GB2312" w:eastAsia="仿宋_GB2312"/>
                <w:sz w:val="24"/>
                <w:color w:val="000000"/>
              </w:rPr>
              <w:t>GB50345-2012</w:t>
            </w:r>
          </w:p>
          <w:p>
            <w:pPr>
              <w:pStyle w:val="null3"/>
              <w:jc w:val="both"/>
            </w:pPr>
            <w:r>
              <w:rPr>
                <w:rFonts w:ascii="仿宋_GB2312" w:hAnsi="仿宋_GB2312" w:cs="仿宋_GB2312" w:eastAsia="仿宋_GB2312"/>
                <w:sz w:val="24"/>
                <w:color w:val="000000"/>
              </w:rPr>
              <w:t>《建筑地面设计规范》</w:t>
            </w:r>
            <w:r>
              <w:rPr>
                <w:rFonts w:ascii="仿宋_GB2312" w:hAnsi="仿宋_GB2312" w:cs="仿宋_GB2312" w:eastAsia="仿宋_GB2312"/>
                <w:sz w:val="24"/>
                <w:color w:val="000000"/>
              </w:rPr>
              <w:t>GB50037-2013</w:t>
            </w:r>
          </w:p>
          <w:p>
            <w:pPr>
              <w:pStyle w:val="null3"/>
              <w:jc w:val="both"/>
            </w:pPr>
            <w:r>
              <w:rPr>
                <w:rFonts w:ascii="仿宋_GB2312" w:hAnsi="仿宋_GB2312" w:cs="仿宋_GB2312" w:eastAsia="仿宋_GB2312"/>
                <w:sz w:val="24"/>
                <w:color w:val="000000"/>
              </w:rPr>
              <w:t>《民用建筑通用规范》</w:t>
            </w:r>
            <w:r>
              <w:rPr>
                <w:rFonts w:ascii="仿宋_GB2312" w:hAnsi="仿宋_GB2312" w:cs="仿宋_GB2312" w:eastAsia="仿宋_GB2312"/>
                <w:sz w:val="24"/>
                <w:color w:val="000000"/>
              </w:rPr>
              <w:t>GB55031-2022</w:t>
            </w:r>
          </w:p>
          <w:p>
            <w:pPr>
              <w:pStyle w:val="null3"/>
              <w:jc w:val="both"/>
            </w:pPr>
            <w:r>
              <w:rPr>
                <w:rFonts w:ascii="仿宋_GB2312" w:hAnsi="仿宋_GB2312" w:cs="仿宋_GB2312" w:eastAsia="仿宋_GB2312"/>
                <w:sz w:val="24"/>
                <w:color w:val="000000"/>
              </w:rPr>
              <w:t>《建筑采光设计标准》</w:t>
            </w:r>
            <w:r>
              <w:rPr>
                <w:rFonts w:ascii="仿宋_GB2312" w:hAnsi="仿宋_GB2312" w:cs="仿宋_GB2312" w:eastAsia="仿宋_GB2312"/>
                <w:sz w:val="24"/>
                <w:color w:val="000000"/>
              </w:rPr>
              <w:t>GB/T50033-2013</w:t>
            </w:r>
          </w:p>
          <w:p>
            <w:pPr>
              <w:pStyle w:val="null3"/>
              <w:jc w:val="both"/>
            </w:pPr>
            <w:r>
              <w:rPr>
                <w:rFonts w:ascii="仿宋_GB2312" w:hAnsi="仿宋_GB2312" w:cs="仿宋_GB2312" w:eastAsia="仿宋_GB2312"/>
                <w:sz w:val="24"/>
                <w:color w:val="000000"/>
              </w:rPr>
              <w:t>《老年人照料设施建筑设计标准》</w:t>
            </w:r>
            <w:r>
              <w:rPr>
                <w:rFonts w:ascii="仿宋_GB2312" w:hAnsi="仿宋_GB2312" w:cs="仿宋_GB2312" w:eastAsia="仿宋_GB2312"/>
                <w:sz w:val="24"/>
                <w:color w:val="000000"/>
              </w:rPr>
              <w:t>JGJ450-2018</w:t>
            </w:r>
          </w:p>
          <w:p>
            <w:pPr>
              <w:pStyle w:val="null3"/>
              <w:jc w:val="both"/>
            </w:pPr>
            <w:r>
              <w:rPr>
                <w:rFonts w:ascii="仿宋_GB2312" w:hAnsi="仿宋_GB2312" w:cs="仿宋_GB2312" w:eastAsia="仿宋_GB2312"/>
                <w:sz w:val="24"/>
                <w:color w:val="000000"/>
              </w:rPr>
              <w:t>《墙体材料应用统一技术规范》</w:t>
            </w:r>
            <w:r>
              <w:rPr>
                <w:rFonts w:ascii="仿宋_GB2312" w:hAnsi="仿宋_GB2312" w:cs="仿宋_GB2312" w:eastAsia="仿宋_GB2312"/>
                <w:sz w:val="24"/>
                <w:color w:val="000000"/>
              </w:rPr>
              <w:t>GB50574-2010</w:t>
            </w:r>
          </w:p>
          <w:p>
            <w:pPr>
              <w:pStyle w:val="null3"/>
              <w:jc w:val="both"/>
            </w:pPr>
            <w:r>
              <w:rPr>
                <w:rFonts w:ascii="仿宋_GB2312" w:hAnsi="仿宋_GB2312" w:cs="仿宋_GB2312" w:eastAsia="仿宋_GB2312"/>
                <w:sz w:val="24"/>
                <w:color w:val="000000"/>
              </w:rPr>
              <w:t>《建筑内部装修设计防火规范》</w:t>
            </w:r>
            <w:r>
              <w:rPr>
                <w:rFonts w:ascii="仿宋_GB2312" w:hAnsi="仿宋_GB2312" w:cs="仿宋_GB2312" w:eastAsia="仿宋_GB2312"/>
                <w:sz w:val="24"/>
                <w:color w:val="000000"/>
              </w:rPr>
              <w:t>GB50222-2017</w:t>
            </w:r>
          </w:p>
          <w:p>
            <w:pPr>
              <w:pStyle w:val="null3"/>
              <w:jc w:val="both"/>
            </w:pPr>
            <w:r>
              <w:rPr>
                <w:rFonts w:ascii="仿宋_GB2312" w:hAnsi="仿宋_GB2312" w:cs="仿宋_GB2312" w:eastAsia="仿宋_GB2312"/>
                <w:sz w:val="24"/>
                <w:color w:val="000000"/>
              </w:rPr>
              <w:t>《建筑与市政工程防水通用规范》</w:t>
            </w:r>
            <w:r>
              <w:rPr>
                <w:rFonts w:ascii="仿宋_GB2312" w:hAnsi="仿宋_GB2312" w:cs="仿宋_GB2312" w:eastAsia="仿宋_GB2312"/>
                <w:sz w:val="24"/>
                <w:color w:val="000000"/>
              </w:rPr>
              <w:t>GB55030-2022</w:t>
            </w:r>
          </w:p>
          <w:p>
            <w:pPr>
              <w:pStyle w:val="null3"/>
              <w:jc w:val="both"/>
            </w:pPr>
            <w:r>
              <w:rPr>
                <w:rFonts w:ascii="仿宋_GB2312" w:hAnsi="仿宋_GB2312" w:cs="仿宋_GB2312" w:eastAsia="仿宋_GB2312"/>
                <w:sz w:val="24"/>
                <w:color w:val="000000"/>
              </w:rPr>
              <w:t>《消防设施通用规范》</w:t>
            </w:r>
            <w:r>
              <w:rPr>
                <w:rFonts w:ascii="仿宋_GB2312" w:hAnsi="仿宋_GB2312" w:cs="仿宋_GB2312" w:eastAsia="仿宋_GB2312"/>
                <w:sz w:val="24"/>
                <w:color w:val="000000"/>
              </w:rPr>
              <w:t>GB55036-2022</w:t>
            </w:r>
          </w:p>
          <w:p>
            <w:pPr>
              <w:pStyle w:val="null3"/>
              <w:jc w:val="both"/>
            </w:pPr>
            <w:r>
              <w:rPr>
                <w:rFonts w:ascii="仿宋_GB2312" w:hAnsi="仿宋_GB2312" w:cs="仿宋_GB2312" w:eastAsia="仿宋_GB2312"/>
                <w:sz w:val="24"/>
                <w:color w:val="000000"/>
              </w:rPr>
              <w:t>《民用建筑设计统一标准》</w:t>
            </w:r>
            <w:r>
              <w:rPr>
                <w:rFonts w:ascii="仿宋_GB2312" w:hAnsi="仿宋_GB2312" w:cs="仿宋_GB2312" w:eastAsia="仿宋_GB2312"/>
                <w:sz w:val="24"/>
                <w:color w:val="000000"/>
              </w:rPr>
              <w:t>GB50352-2019</w:t>
            </w:r>
          </w:p>
          <w:p>
            <w:pPr>
              <w:pStyle w:val="null3"/>
              <w:jc w:val="both"/>
            </w:pPr>
            <w:r>
              <w:rPr>
                <w:rFonts w:ascii="仿宋_GB2312" w:hAnsi="仿宋_GB2312" w:cs="仿宋_GB2312" w:eastAsia="仿宋_GB2312"/>
                <w:sz w:val="24"/>
                <w:color w:val="000000"/>
              </w:rPr>
              <w:t>七、成果文件：</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成果文件的组成</w:t>
            </w:r>
            <w:r>
              <w:rPr>
                <w:rFonts w:ascii="仿宋_GB2312" w:hAnsi="仿宋_GB2312" w:cs="仿宋_GB2312" w:eastAsia="仿宋_GB2312"/>
                <w:sz w:val="24"/>
                <w:color w:val="000000"/>
              </w:rPr>
              <w:t>:包括施工图设计(含建筑、结构、给排水、暖通、电气等专业图纸)及预算文件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成果文件的深度</w:t>
            </w:r>
            <w:r>
              <w:rPr>
                <w:rFonts w:ascii="仿宋_GB2312" w:hAnsi="仿宋_GB2312" w:cs="仿宋_GB2312" w:eastAsia="仿宋_GB2312"/>
                <w:sz w:val="24"/>
                <w:color w:val="000000"/>
              </w:rPr>
              <w:t>:达到国家及行业和地方现行技术规范和技术标准要求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成果文件的格式要求，文字内容采用</w:t>
            </w:r>
            <w:r>
              <w:rPr>
                <w:rFonts w:ascii="仿宋_GB2312" w:hAnsi="仿宋_GB2312" w:cs="仿宋_GB2312" w:eastAsia="仿宋_GB2312"/>
                <w:sz w:val="24"/>
                <w:color w:val="000000"/>
              </w:rPr>
              <w:t>WORD及PDF格式文件，设计图形文件采用CAD和PDF格式文件，全部设计成果均应制作成计算机文件，刻入U盘，预算提供广联达和PDF格式文件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成果文件的份数要求</w:t>
            </w:r>
            <w:r>
              <w:rPr>
                <w:rFonts w:ascii="仿宋_GB2312" w:hAnsi="仿宋_GB2312" w:cs="仿宋_GB2312" w:eastAsia="仿宋_GB2312"/>
                <w:sz w:val="24"/>
                <w:color w:val="000000"/>
              </w:rPr>
              <w:t>:提交设计成果文件4份，电子版1份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成果文件的载体要求：</w:t>
            </w:r>
          </w:p>
          <w:p>
            <w:pPr>
              <w:pStyle w:val="null3"/>
              <w:ind w:firstLine="480"/>
              <w:jc w:val="both"/>
            </w:pPr>
            <w:r>
              <w:rPr>
                <w:rFonts w:ascii="仿宋_GB2312" w:hAnsi="仿宋_GB2312" w:cs="仿宋_GB2312" w:eastAsia="仿宋_GB2312"/>
                <w:sz w:val="24"/>
                <w:color w:val="000000"/>
              </w:rPr>
              <w:t>1)纸质版的要求:标准图纸打印；2)电子版的要求:U盘</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⼈员配置符合项⽬需求，并设置⼀名项⽬负责⼈，负责项⽬整体的组织与协调（项⽬负责⼈要求详⻅资格要求）；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拟投⼊设备应符合项⽬需求，具备履⾏合同所必需的设备。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达到相关⾏业质量保修范围和保修期标准及⾏业相关规范要求。（供应商应提供良好的售后服务，积极配合采购⼈⼯作，项⽬成果⽂件交付采购⼈后，如果后期在项⽬实施过程中，确实需要对成果⽂件进⾏修改的，成交供应商应根据业主要求，配合业主完成修改⼯作，并质量达到符合国家及⾏业和地⽅相关规范要求。费⽤包含在本项⽬报价中。）</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①验收标准：需符合国家及行业和地方技术规范和技术标准要求，并满足采购人需求，设计成果资料通过专家审查合格。 ②验收方法： 项目所有内容完成并成果文件交付后，成交供应商提出验收申请，采购人收到验收申请后组织专家审查会验收，审查通过即合格。 ③验收依据：（1）合同文本及合同补充文件（条款）。（2）国家、行业、地方有关的验收标准及规范。（3）磋商文件。（4）成交单位的响应文件。（5）其他执行标准等。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进度款，乙方完成本项目全部设计任务，提交设计成果资料待甲方审核完成，达到付款条件起15个工作日内，支付合同总金额的50.0%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进度款，最终施工图及预算经财政评审后，达到付款条件起15个工作日内，支付合同总金额的10.0%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中标供应商未按合同要求提供服务或服务质量不能满足技术要求的，采购人有权终止合同，并对成交单位违约行为进行追究，同时按《中华人民共和国政府采购法》及实施条例的有关规定进行处罚。（具体约定详见供需双方签订的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政府采购促进中⼩企业发展管理办法》（财库〔2020〕46号）的有关规定，该办法所称中⼩企业，是指在中华⼈⺠共和国境内依法设⽴，依据国务院批准的中⼩企业划分标准确定的中型企业、⼩型企业和微型企业，但与⼤企业的负责⼈为同⼀⼈，或者与⼤企业存在直接控股、管理关系的除外。符合中⼩企业划分标准的个体⼯商⼾，在政府采购活动中视同中小企业。在政府采购活动中，供应商提供的货物、⼯程或者服务符合下列情形的，享受本办法规定的中⼩企业扶持政策：1）在货物采购项⽬中，货物由中⼩企业制造，即货物由中小企业⽣产且使⽤该中⼩企业商号或者注册商标；2）在⼯程采购项⽬中，⼯程由中⼩企业承建，即工程施⼯单位为中小企业；3）在服务采购项⽬中，服务由中小企业承接，即提供服务的⼈员为中⼩企业依照《中华⼈⺠共和国劳动合同法》订⽴劳动合同的从业⼈员。在货物采购项⽬中，供应商提供的货物既有中⼩企业 制造货物，也有⼤型企业制造货物的，不享受本办法规定的中⼩企业扶持政策。中小企业参加政府采购活动，应当出具本办法规定的《中⼩企业声明函》，否则不得享受相关中⼩企业扶持政策。(2)依照&lt;财政部、司法部关于政府采购⽀持监狱企业发展有关问题的通知&gt;（财库〔2014〕68号）之规定，在政府采购活动中，监狱企业视同⼩型、微型企业，享受预留份额、评审中价格扣除等政府采购促进中⼩企业发展的政府采购政策。监狱企业是指由司法部认定的为罪犯、戒毒⼈员提供⽣产项目和劳动对象，且全部产权属于司法部监狱管理局、戒毒管理局、直属煤矿管理局，各省、⾃治区、直辖市监狱管理局、戒毒管理局，各地（设区的市）监狱、强制隔离戒毒所、戒毒康复所，以及新疆⽣产建设兵团监狱管理局、戒毒管理局的企业。监狱企业参加政府采购活动时，应当提供由省级以上监狱管理局、 戒毒管理局（含新疆⽣产建设兵团）出具的属于监狱企业的证明⽂件，未提供或出具证明⽂件的单位不符合要求的，不视为⼩型、微型企业。(3)《财政部、⺠政部、中国残疾⼈联合会关于促进残疾⼈就业政府采购政策的通知》（财库〔2017〕141号）规定，在政府采购活动中，残疾⼈福利性单位视同⼩型、微型企业，享受预留份额、评审中价格扣除等促进中⼩企业发展的政府采购政策。符合该⽂件所述残疾⼈福利性单位条件的在参加政府采购活动时，应当提供《财政部、⺠政部、中国残疾⼈联合会关于促进残疾⼈就业政府采购政策的通知》（财库〔2017〕141号）规定的《残疾⼈福利性单位声明函》，并对声明的真实性负责。不提供的，在评审时不享受政府采购优惠政策。(4）其他落实的政府采购政策: 1)《政府采购促进中⼩企业发展管理办法》（财库〔2020〕46号）；2)财政部司法部关于政府采购⽀持监狱企业发展有关问题的通知--财库〔2014〕68号；3)《国务院办公厅关于建⽴政府强制采购节能产品制度的通知》--国办发〔2007〕51号；4)《节能产品政府采购实施意⻅》--（财库[2004]185号）；5)《环境标志产品政府采 购实施的意⻅》--财库[2006]90号；6)《财政部⺠政部中国残疾⼈联合会关于促进残疾⼈就业政府采购政策的通知》--财库 [2017]141号；7)《关于调整优化节能产品、环境标志产品政府采购执⾏机制的通知》（财库〔2019〕9号）；8)《财政部农业农村部国家乡村振兴局关于运⽤政府采购政策⽀持乡村产业振兴的通知》（财库〔2021〕19号）；9)陕西省财政厅关于印发《陕西省中⼩企业政府采购信⽤融资办法》（陕财办采〔2018〕23号）；10)《陕西省财政厅关于加快推进我省中⼩企业政府采购信⽤融资⼯作的通知》（陕财办采〔2020〕15号）；11)《关于进⼀步加⼤政府采购⽀持中⼩企业⼒度的通知》（财库〔2022〕19号）；12）《关于推动解决政府采购异常低价问题的通知》（财库〔2026〕2号）；13)其他需要落实的政府采购政策；(如有最新颁布的政府采购政策，按最新的⽂件执⾏。）(5）本项⽬专⻔⾯向中小企业采购。（6）本项目所属⾏业为其他未列明⾏业。企业规模划分标准按《⼯业和信息化部、国家统计 局、国家发展和改⾰ 委员会、财政部关于印发&lt;中⼩企业划型标准规定&gt;的通知》（⼯信部联企业【2011】300号）⽂。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且审计报告应当经过注册会计师行业统一监管平台备案赋码或提供响应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法定代表人授权书（附法定代表人及被授权人身份证复印件）（如法定代表人直接投标只须提交法定代表人身份证明并附身份证复印件）；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且审计报告应当经过注册会计师行业统一监管平台备案赋码或提供响应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供应商须具备工程设计综合资质甲级或工程设计建筑行业乙级及以上(含乙级)资质或工程设计建筑行业（建筑工程）专业乙级及以上(含乙级)资质；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拟派项目负责人须具备一级注册建筑师及以上执业资格(在本单位注册)；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提供非联合体承诺。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3.政府采购评审中出现下列情形之⼀的，评审委员会应当启动异常低价投标（响应）审查程序： （1）投标（响应）报价低于全部通过符合性审查供应商投标（响应）报价平均值50%的，即投标（响应）报价&lt;全部通过符合性审查供应商投标（响应）报价平均值×50%； （2）投 标（响应）报价低于通过符合性审查的次低报价供应商投标（响应）报价50%的，即投标（响应）报价&lt;通过符合性审查的次低报价供应商投标（响应）报价×50%； （3）投标（响应）报价低于采购项⽬最⾼限价45%的，即投标（响应）报价&lt;采购项⽬最⾼限价×45%； （4 ）评审委员会基于专业判断，认为供应商报价过低，有可能影响产品质量或者不能诚信履约的其他情形。 4.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为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供应商不能提供书⾯说明、证明材料，或者提供的书⾯说明、证明材料不能证明其报价合理性的，评审委员会应当将其作为⽆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有效性及响应性评审</w:t>
            </w:r>
          </w:p>
        </w:tc>
        <w:tc>
          <w:tcPr>
            <w:tcW w:type="dxa" w:w="3322"/>
          </w:tcPr>
          <w:p>
            <w:pPr>
              <w:pStyle w:val="null3"/>
            </w:pPr>
            <w:r>
              <w:rPr>
                <w:rFonts w:ascii="仿宋_GB2312" w:hAnsi="仿宋_GB2312" w:cs="仿宋_GB2312" w:eastAsia="仿宋_GB2312"/>
              </w:rPr>
              <w:t>（1）响应⽂件的签署盖章及格式：磋商⽂件要求必须响应的内容⻬全，有格式要求的按要求提供；供应商名称需与公章名称⼀致，要求签字或盖章的，按⽂件规定签字或盖章⻬全；（2）报价唯⼀：只能有⼀个有效报价，不得提交 选择性报价，且报价不超过采购预算和最⾼限价；（3）服务期限、服务地点： 应满⾜磋商⽂件的要求；（4）响应有效期：应满⾜磋商⽂件中的规定；（5）其他：不能有任何采购⼈不能接受的附加条件;（6）其他无效情形：无法律、法规和招标文件规定的其他无效情形</w:t>
            </w:r>
          </w:p>
        </w:tc>
        <w:tc>
          <w:tcPr>
            <w:tcW w:type="dxa" w:w="1661"/>
          </w:tcPr>
          <w:p>
            <w:pPr>
              <w:pStyle w:val="null3"/>
            </w:pPr>
            <w:r>
              <w:rPr>
                <w:rFonts w:ascii="仿宋_GB2312" w:hAnsi="仿宋_GB2312" w:cs="仿宋_GB2312" w:eastAsia="仿宋_GB2312"/>
              </w:rPr>
              <w:t>业绩.docx 针对本项目拟委任人员.docx 中小企业声明函 商务应答表 服务内容及服务要求应答表 报价表 响应文件封面 残疾人福利性单位声明函 拒绝政府采购领域商业贿赂承诺书.docx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项目的重点难点评审点</w:t>
            </w:r>
          </w:p>
        </w:tc>
        <w:tc>
          <w:tcPr>
            <w:tcW w:type="dxa" w:w="2492"/>
          </w:tcPr>
          <w:p>
            <w:pPr>
              <w:pStyle w:val="null3"/>
            </w:pPr>
            <w:r>
              <w:rPr>
                <w:rFonts w:ascii="仿宋_GB2312" w:hAnsi="仿宋_GB2312" w:cs="仿宋_GB2312" w:eastAsia="仿宋_GB2312"/>
              </w:rPr>
              <w:t>一、评审内容：①重点难点识别全面性②应对措施针对性③技术衔接与兼容性问题④建议可行性等。二、评审标准：以上内容切合本项目实际情况及实施要求，内容全面详细、阐述条理清晰详尽，符合本项目采购需求，能保障本项目实施的得8分。 评审内容任意一项缺项扣2 分。评审内容任意一项每有一个缺陷扣0.2 分，扣完为止。（缺陷是指：内容粗略不够全面、不够合理、可行性不足或缺少关键点；非专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设计依据、设计工作目标</w:t>
            </w:r>
          </w:p>
        </w:tc>
        <w:tc>
          <w:tcPr>
            <w:tcW w:type="dxa" w:w="2492"/>
          </w:tcPr>
          <w:p>
            <w:pPr>
              <w:pStyle w:val="null3"/>
            </w:pPr>
            <w:r>
              <w:rPr>
                <w:rFonts w:ascii="仿宋_GB2312" w:hAnsi="仿宋_GB2312" w:cs="仿宋_GB2312" w:eastAsia="仿宋_GB2312"/>
              </w:rPr>
              <w:t>一、评审内容：①对设计依据描述；②设计工作目标设置及描述。二、评审标准：以上内容切合本项目实际情况及实施要求，内容全面详细、阐述条理清晰详尽，符合本项目采购需求，能保障本项目实施的得6分。 评审内容任意一项缺项扣3分。评审内容任意一项每有一个缺陷扣0.2 分，扣完为止。（缺陷是指：内容粗略不够全面、不够合理、可行性不足或缺少关键点；非专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工作计划及进度保障措施</w:t>
            </w:r>
          </w:p>
        </w:tc>
        <w:tc>
          <w:tcPr>
            <w:tcW w:type="dxa" w:w="2492"/>
          </w:tcPr>
          <w:p>
            <w:pPr>
              <w:pStyle w:val="null3"/>
            </w:pPr>
            <w:r>
              <w:rPr>
                <w:rFonts w:ascii="仿宋_GB2312" w:hAnsi="仿宋_GB2312" w:cs="仿宋_GB2312" w:eastAsia="仿宋_GB2312"/>
              </w:rPr>
              <w:t>一、评审内容：①针对本项目的工作计划，包括但不限于计划内容及实施节点、进度目标等；②进度保障措施。③风险应对与动态调整；二、评审标准：以上内容切合本项目实际情况及实施要求，内容全面详细、阐述条理清晰详尽，符合本项目采购需求，能保障本项目实施的得6分。 评审内容任意一项缺项扣2 分。评审内容任意一项每有一个缺陷扣0.2 分，扣完为止。（缺陷是指：内容粗略不够全面、不够合理、可行性不足或缺少关键点；非专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设计质量及保障方案</w:t>
            </w:r>
          </w:p>
        </w:tc>
        <w:tc>
          <w:tcPr>
            <w:tcW w:type="dxa" w:w="2492"/>
          </w:tcPr>
          <w:p>
            <w:pPr>
              <w:pStyle w:val="null3"/>
            </w:pPr>
            <w:r>
              <w:rPr>
                <w:rFonts w:ascii="仿宋_GB2312" w:hAnsi="仿宋_GB2312" w:cs="仿宋_GB2312" w:eastAsia="仿宋_GB2312"/>
              </w:rPr>
              <w:t>一、评审内容：①规范执行与标准落地②全流程质量管控机制③专业协同与技术复核④质量追溯与动态优化等。二、评审标准：以上内容切合本项目实际情况及实施要求，内容全面详细、阐述条理清晰详尽，符合本项目采购需求，能保障本项目实施的得8分。 评审内容任意一项缺项扣2 分。评审内容任意一项每有一个缺陷扣0.2 分，扣完为止。（缺陷是指：内容粗略不够全面、不够合理、可行性不足或缺少关键点；非专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项目设计成本控制措施</w:t>
            </w:r>
          </w:p>
        </w:tc>
        <w:tc>
          <w:tcPr>
            <w:tcW w:type="dxa" w:w="2492"/>
          </w:tcPr>
          <w:p>
            <w:pPr>
              <w:pStyle w:val="null3"/>
            </w:pPr>
            <w:r>
              <w:rPr>
                <w:rFonts w:ascii="仿宋_GB2312" w:hAnsi="仿宋_GB2312" w:cs="仿宋_GB2312" w:eastAsia="仿宋_GB2312"/>
              </w:rPr>
              <w:t>一、评审内容：针对本项目的项目设计成本控制措施，包括但不限于①限额设计与目标分解②方案比选与技术经济论证③全流程成本管控节点④动态监控与偏差调整等。二、评审标准：以上内容切合本项目实际情况及实施要求，内容全面详细、阐述条理清晰详尽，符合本项目采购需求，能保障本项目实施的得8分。 评审内容任意一项缺项扣2 分。评审内容任意一项每有一个缺陷扣0.2 分，扣完为止。（缺陷是指：内容粗略不够全面、不够合理、可行性不足或缺少关键点；非专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响应及时性保障②设计变更管理及后期服务跟进等。二、评审标准：以上内容切合本项目实际情况及实施要求，内容全面详细、阐述条理清晰详尽，符合本项目采购需求，能保障本项目实施的得4分。 评审内容任意一项缺项扣2 分。评审内容任意一项每有一个缺陷扣0.2 分，扣完为止。（缺陷是指：内容粗略不够全面、不够合理、可行性不足或缺少关键点；非专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1、拟派项目负责人具有建筑工程相关专业高级职称的得4分，中级职称的得2分；以响应文件中提供的职称证复印件或扫描件加盖公章为准。 2、拟派项目负责人具有类似业绩（2023年7月1日 至今）一个得3分，最高得6分，以合同协议书或中标通知书为准。（中标通知书或合同协议书上应体现项目负责人姓名，若未体现项目负责人姓名，则应提供其他有效证明资料，相关证明材料包括但不限于相关网站中标公示截图等）复印件并加盖公章。 注：不提供者不得分。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拟派项目团队人员情况</w:t>
            </w:r>
          </w:p>
        </w:tc>
        <w:tc>
          <w:tcPr>
            <w:tcW w:type="dxa" w:w="2492"/>
          </w:tcPr>
          <w:p>
            <w:pPr>
              <w:pStyle w:val="null3"/>
            </w:pPr>
            <w:r>
              <w:rPr>
                <w:rFonts w:ascii="仿宋_GB2312" w:hAnsi="仿宋_GB2312" w:cs="仿宋_GB2312" w:eastAsia="仿宋_GB2312"/>
              </w:rPr>
              <w:t>1、拟派项目团队人员（不含项目负责人）：具有建筑工程相关专业高级工程师职称专业人员的，每有一名得4分，具有建筑工程相关专业中级工程师职称专业人员的，每有一名得2分；同一人多证不重复得分，此项最多得12分。 2、拟派项目组成员中具有建筑工程相关专业注册执业资格，每有1人的得 2分，最高得8分。 注：须提供以上人员相应职称证、注册证、身份证及在本单位的任职证明并加盖公章。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针对本项目拟委任人员.docx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2023年07月01日至今类似项目业绩，每提供一份得2分，最高10分。 评审依据：以加盖投标单位公章的业绩合同或协议复印件或扫描件为准，时间以合同或协议签订日期为准。响应文件中所附合同或协议复印件或扫描件需清晰完整，否则造成的不予认可结果投标供应商自负。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（即20%）×100（保留小数点后两位）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详见附件：针对本项目拟委任人员.docx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