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版本号：慧科ZX-CG04004BS20260615001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国家级高技能人才培训基地设备采购及实训场地改造项目（实训场地改造）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慧科ZX-CG04004BS</w:t>
      </w:r>
      <w:r>
        <w:br/>
      </w:r>
      <w:r>
        <w:br/>
      </w:r>
      <w:r>
        <w:br/>
      </w:r>
    </w:p>
    <w:p>
      <w:pPr>
        <w:pStyle w:val="null3"/>
        <w:jc w:val="center"/>
        <w:outlineLvl w:val="2"/>
      </w:pPr>
      <w:r>
        <w:rPr>
          <w:rFonts w:ascii="仿宋_GB2312" w:hAnsi="仿宋_GB2312" w:cs="仿宋_GB2312" w:eastAsia="仿宋_GB2312"/>
          <w:sz w:val="28"/>
          <w:b/>
        </w:rPr>
        <w:t>西安商贸旅游技师学院</w:t>
      </w:r>
    </w:p>
    <w:p>
      <w:pPr>
        <w:pStyle w:val="null3"/>
        <w:jc w:val="center"/>
        <w:outlineLvl w:val="2"/>
      </w:pPr>
      <w:r>
        <w:rPr>
          <w:rFonts w:ascii="仿宋_GB2312" w:hAnsi="仿宋_GB2312" w:cs="仿宋_GB2312" w:eastAsia="仿宋_GB2312"/>
          <w:sz w:val="28"/>
          <w:b/>
        </w:rPr>
        <w:t>陕西慧科工程管理咨询有限公司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陕西慧科工程管理咨询有限公司</w:t>
      </w:r>
      <w:r>
        <w:rPr>
          <w:rFonts w:ascii="仿宋_GB2312" w:hAnsi="仿宋_GB2312" w:cs="仿宋_GB2312" w:eastAsia="仿宋_GB2312"/>
        </w:rPr>
        <w:t>（以下简称“代理机构”）受</w:t>
      </w:r>
      <w:r>
        <w:rPr>
          <w:rFonts w:ascii="仿宋_GB2312" w:hAnsi="仿宋_GB2312" w:cs="仿宋_GB2312" w:eastAsia="仿宋_GB2312"/>
        </w:rPr>
        <w:t>西安商贸旅游技师学院</w:t>
      </w:r>
      <w:r>
        <w:rPr>
          <w:rFonts w:ascii="仿宋_GB2312" w:hAnsi="仿宋_GB2312" w:cs="仿宋_GB2312" w:eastAsia="仿宋_GB2312"/>
        </w:rPr>
        <w:t>委托，拟对</w:t>
      </w:r>
      <w:r>
        <w:rPr>
          <w:rFonts w:ascii="仿宋_GB2312" w:hAnsi="仿宋_GB2312" w:cs="仿宋_GB2312" w:eastAsia="仿宋_GB2312"/>
        </w:rPr>
        <w:t>国家级高技能人才培训基地设备采购及实训场地改造项目（实训场地改造）</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慧科ZX-CG04004BS</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国家级高技能人才培训基地设备采购及实训场地改造项目（实训场地改造）</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西安商贸旅游技师学院国家级高技能人才培训基地设备采购及实训场地改造项目（实训场地改造）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采购包1（西安商贸旅游技师学院国家级高技能人才培训基地设备采购及实训场地改造项目（实训场地改造））：属于专门面向中小企业采购。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2、财务状况报告：提供2024年度或2025年度经审计的完整财务报告或磋商日期前三个月内其基本存款账户开户银行出具的资信证明。（如提供资信证明，须同时提供基本存款账户开户许可证或基本账户信息表）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3、税收缴纳证明：提供2025年11月至今已缴纳的至少一个月的税收缴纳证明（时间以税款所属日期为准)，依法免税的单位应提供相关证明材料</w:t>
      </w:r>
    </w:p>
    <w:p>
      <w:pPr>
        <w:pStyle w:val="null3"/>
      </w:pPr>
      <w:r>
        <w:rPr>
          <w:rFonts w:ascii="仿宋_GB2312" w:hAnsi="仿宋_GB2312" w:cs="仿宋_GB2312" w:eastAsia="仿宋_GB2312"/>
        </w:rPr>
        <w:t>4、社会保障资金缴纳证明：提供2025年11月至今已缴存的至少一个月的社会保障资金缴存单据或社保机构开具的社会保险参保缴费情况证明，依法不需要缴纳社会保障资金的单位应提供相关证明材料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5、提供具有履行本合同所必需的设备和专业技术能力的书面声明：提供具有履行本合同所必需的设备和专业技术能力的书面声明</w:t>
      </w:r>
    </w:p>
    <w:p>
      <w:pPr>
        <w:pStyle w:val="null3"/>
      </w:pPr>
      <w:r>
        <w:rPr>
          <w:rFonts w:ascii="仿宋_GB2312" w:hAnsi="仿宋_GB2312" w:cs="仿宋_GB2312" w:eastAsia="仿宋_GB2312"/>
        </w:rPr>
        <w:t>6、参加本次政府采购活动前三年内在经营活动中没有重大违法记录：参加本次政府采购活动前三年内在经营活动中没有重大违法记录</w:t>
      </w:r>
    </w:p>
    <w:p>
      <w:pPr>
        <w:pStyle w:val="null3"/>
      </w:pPr>
      <w:r>
        <w:rPr>
          <w:rFonts w:ascii="仿宋_GB2312" w:hAnsi="仿宋_GB2312" w:cs="仿宋_GB2312" w:eastAsia="仿宋_GB2312"/>
        </w:rPr>
        <w:t>7、信用记录：未被列入信用中国网站(www.creditchina.gov.cn)“失信被执行人、重大税收违法失信主体”；未被列入信用中国网站(www.creditchina.gov.cn)“失信被执行人、重大税收违法失信主体”；未被列入中国政府采购网(www.ccgp.gov.cn)“政府采购严重违法失信行为信息记录”名单中</w:t>
      </w:r>
    </w:p>
    <w:p>
      <w:pPr>
        <w:pStyle w:val="null3"/>
      </w:pPr>
      <w:r>
        <w:rPr>
          <w:rFonts w:ascii="仿宋_GB2312" w:hAnsi="仿宋_GB2312" w:cs="仿宋_GB2312" w:eastAsia="仿宋_GB2312"/>
        </w:rPr>
        <w:t>8、法定代表人授权委托书：法定代表人授权委托书、被授权人身份证(法定代表人参加磋商时,只需提供法定代表人身份证；被授权人参加磋商时，需提供磋商响应截止时间前三个月至少一个月的基本养老保险参保缴费证明）</w:t>
      </w:r>
    </w:p>
    <w:p>
      <w:pPr>
        <w:pStyle w:val="null3"/>
      </w:pPr>
      <w:r>
        <w:rPr>
          <w:rFonts w:ascii="仿宋_GB2312" w:hAnsi="仿宋_GB2312" w:cs="仿宋_GB2312" w:eastAsia="仿宋_GB2312"/>
        </w:rPr>
        <w:t>9、供应商资质要求：供应商须具备建设行政主管部门颁发的建筑工程施工总承包三级及以上资质证书或建筑装修装饰工程专业二级及以上资质证书，同时具备合格有效的安全生产许可证</w:t>
      </w:r>
    </w:p>
    <w:p>
      <w:pPr>
        <w:pStyle w:val="null3"/>
      </w:pPr>
      <w:r>
        <w:rPr>
          <w:rFonts w:ascii="仿宋_GB2312" w:hAnsi="仿宋_GB2312" w:cs="仿宋_GB2312" w:eastAsia="仿宋_GB2312"/>
        </w:rPr>
        <w:t>10、项目经理资格要求：拟派项目经理具备建筑工程专业二级或以上注册建造师资格，具有有效的安全生产考核合格证书(建安B证)，在本单位注册且无在建工程</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西安商贸旅游技师学院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西安市南关正街99号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029-61819113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陕西慧科工程管理咨询有限公司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陕西省西安市雁塔区曲江文创中心双子座7号楼1702室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丁工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17782975313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代理服务费收费标准：以成交金额为基数，参照《招标代理服务收费管理暂行办法》（计价格[2002]1980号）和《关于招标代理服务收费有关问题的通知》（发改办价格[2003]857号）的有关规定下浮20%执行。 成交单位在领取成交通知书前，须向采购代理机构一次性支付代理服务费。 招标代理服务费缴纳账户： 开户名称：陕西慧科工程管理咨询有限公司 开户银行：交通银行股份有限公司西安光华路支行 银行账号：6113 0113 5013 0018 4142 8</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西安商贸旅游技师学院</w:t>
      </w:r>
      <w:r>
        <w:rPr>
          <w:rFonts w:ascii="仿宋_GB2312" w:hAnsi="仿宋_GB2312" w:cs="仿宋_GB2312" w:eastAsia="仿宋_GB2312"/>
        </w:rPr>
        <w:t>和</w:t>
      </w:r>
      <w:r>
        <w:rPr>
          <w:rFonts w:ascii="仿宋_GB2312" w:hAnsi="仿宋_GB2312" w:cs="仿宋_GB2312" w:eastAsia="仿宋_GB2312"/>
        </w:rPr>
        <w:t>陕西慧科工程管理咨询有限公司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西安商贸旅游技师学院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陕西慧科工程管理咨询有限公司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西安商贸旅游技师学院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陕西慧科工程管理咨询有限公司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完工后，工程质量必须达到合格标淮，双方对工程质量如有争议，可请有关质量监督部门仲裁，仲裁费用及因此造成的损失，由败诉方承担。工程具备竣工验收条件，乙方按国家工程竣工有关规定，向甲方项目负责人提供完整的竣工资料和竣工验收报告。甲方收到竣工验收报告后，在7个工作日内组织验收，并在验收后7个工作日内给予批准或提出修改意见，乙方按要求进行修改，并承担由自身原因造成修改的费用。如甲方在规定时间内未能组织验收，需及时通知乙方，另定验收日期。竣工日期为甲方在乙方送交竣工验收报告上签字的日期，需修改后才能达到竣工要求的，竣工日期应为乙方修改后提请甲方验收且甲方签字的日期。</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联系人：丁工</w:t>
      </w:r>
    </w:p>
    <w:p>
      <w:pPr>
        <w:pStyle w:val="null3"/>
      </w:pPr>
      <w:r>
        <w:rPr>
          <w:rFonts w:ascii="仿宋_GB2312" w:hAnsi="仿宋_GB2312" w:cs="仿宋_GB2312" w:eastAsia="仿宋_GB2312"/>
        </w:rPr>
        <w:t>联系电话：17782975313</w:t>
      </w:r>
    </w:p>
    <w:p>
      <w:pPr>
        <w:pStyle w:val="null3"/>
      </w:pPr>
      <w:r>
        <w:rPr>
          <w:rFonts w:ascii="仿宋_GB2312" w:hAnsi="仿宋_GB2312" w:cs="仿宋_GB2312" w:eastAsia="仿宋_GB2312"/>
        </w:rPr>
        <w:t>地址：陕西省西安市雁塔区曲江文创中心双子座7号楼1702室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1,950,000.00</w:t>
      </w:r>
    </w:p>
    <w:p>
      <w:pPr>
        <w:pStyle w:val="null3"/>
      </w:pPr>
      <w:r>
        <w:rPr>
          <w:rFonts w:ascii="仿宋_GB2312" w:hAnsi="仿宋_GB2312" w:cs="仿宋_GB2312" w:eastAsia="仿宋_GB2312"/>
        </w:rPr>
        <w:t>采购包最高限价（元）: 1,949,886.09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实训场地改造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标的名称：实训场地改造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本工程以安全牢固，人性化为本。</w:t>
            </w:r>
          </w:p>
          <w:p>
            <w:pPr>
              <w:pStyle w:val="null3"/>
              <w:jc w:val="both"/>
            </w:pPr>
            <w:r>
              <w:rPr>
                <w:rFonts w:ascii="仿宋_GB2312" w:hAnsi="仿宋_GB2312" w:cs="仿宋_GB2312" w:eastAsia="仿宋_GB2312"/>
                <w:b/>
              </w:rPr>
              <w:t>供应商须承诺所供全部工程材料均符合国家建筑装饰装修各项标准。相关资质及检验资料由供应商自行保管备查，本次不要求提交。（若承诺不实，供应商自行承担一切违约责任与相应法律责任）。</w:t>
            </w:r>
          </w:p>
          <w:p>
            <w:pPr>
              <w:pStyle w:val="null3"/>
              <w:jc w:val="both"/>
            </w:pPr>
            <w:r>
              <w:rPr>
                <w:rFonts w:ascii="仿宋_GB2312" w:hAnsi="仿宋_GB2312" w:cs="仿宋_GB2312" w:eastAsia="仿宋_GB2312"/>
              </w:rPr>
              <w:t>一、所有工程材料的品种、规格、燃烧性能和质量均符合设计要求和国家现行标准的规定。</w:t>
            </w:r>
          </w:p>
          <w:p>
            <w:pPr>
              <w:pStyle w:val="null3"/>
              <w:jc w:val="both"/>
            </w:pPr>
            <w:r>
              <w:rPr>
                <w:rFonts w:ascii="仿宋_GB2312" w:hAnsi="仿宋_GB2312" w:cs="仿宋_GB2312" w:eastAsia="仿宋_GB2312"/>
              </w:rPr>
              <w:t>二、所有材料的有害物质含量均不得超过国家有关建筑材料的限量标准（如放射性元素、甲醛、笨等）。</w:t>
            </w:r>
          </w:p>
          <w:p>
            <w:pPr>
              <w:pStyle w:val="null3"/>
              <w:jc w:val="both"/>
            </w:pPr>
            <w:r>
              <w:rPr>
                <w:rFonts w:ascii="仿宋_GB2312" w:hAnsi="仿宋_GB2312" w:cs="仿宋_GB2312" w:eastAsia="仿宋_GB2312"/>
              </w:rPr>
              <w:t>三、相关材料必须经过防火、防腐、防漏电处理。</w:t>
            </w:r>
          </w:p>
          <w:p>
            <w:pPr>
              <w:pStyle w:val="null3"/>
              <w:jc w:val="both"/>
            </w:pPr>
            <w:r>
              <w:rPr>
                <w:rFonts w:ascii="仿宋_GB2312" w:hAnsi="仿宋_GB2312" w:cs="仿宋_GB2312" w:eastAsia="仿宋_GB2312"/>
              </w:rPr>
              <w:t>四、拆除要求</w:t>
            </w:r>
          </w:p>
          <w:p>
            <w:pPr>
              <w:pStyle w:val="null3"/>
              <w:jc w:val="both"/>
            </w:pPr>
            <w:r>
              <w:rPr>
                <w:rFonts w:ascii="仿宋_GB2312" w:hAnsi="仿宋_GB2312" w:cs="仿宋_GB2312" w:eastAsia="仿宋_GB2312"/>
              </w:rPr>
              <w:t>4.1、教室摄像头保护好，建设完后恢复原位，并保证正常使用，不得损坏，否则照价赔偿。</w:t>
            </w:r>
          </w:p>
          <w:p>
            <w:pPr>
              <w:pStyle w:val="null3"/>
              <w:jc w:val="both"/>
            </w:pPr>
            <w:r>
              <w:rPr>
                <w:rFonts w:ascii="仿宋_GB2312" w:hAnsi="仿宋_GB2312" w:cs="仿宋_GB2312" w:eastAsia="仿宋_GB2312"/>
              </w:rPr>
              <w:t>4.2、燃气报警器保护好，建设完后恢复原位，并保证正常使用，不得损坏，否则照价赔偿。</w:t>
            </w:r>
          </w:p>
          <w:p>
            <w:pPr>
              <w:pStyle w:val="null3"/>
              <w:jc w:val="both"/>
            </w:pPr>
            <w:r>
              <w:rPr>
                <w:rFonts w:ascii="仿宋_GB2312" w:hAnsi="仿宋_GB2312" w:cs="仿宋_GB2312" w:eastAsia="仿宋_GB2312"/>
              </w:rPr>
              <w:t>4.3、天然气管道及连接口保护好，建设完后保证正常使用。</w:t>
            </w:r>
          </w:p>
          <w:p>
            <w:pPr>
              <w:pStyle w:val="null3"/>
              <w:jc w:val="both"/>
            </w:pPr>
            <w:r>
              <w:rPr>
                <w:rFonts w:ascii="仿宋_GB2312" w:hAnsi="仿宋_GB2312" w:cs="仿宋_GB2312" w:eastAsia="仿宋_GB2312"/>
              </w:rPr>
              <w:t>4.4、拆除设备都为学校固定资产，需堆放到学校指定地方，做好围挡防护，不得私自处理。建筑垃圾及地下室废品在工程竣工后必须运走，费用由成交供应商承担。</w:t>
            </w:r>
          </w:p>
          <w:p>
            <w:pPr>
              <w:pStyle w:val="null3"/>
            </w:pPr>
            <w:r>
              <w:rPr>
                <w:rFonts w:ascii="仿宋_GB2312" w:hAnsi="仿宋_GB2312" w:cs="仿宋_GB2312" w:eastAsia="仿宋_GB2312"/>
              </w:rPr>
              <w:t>五、主材及施工要求：</w:t>
            </w:r>
          </w:p>
          <w:p>
            <w:pPr>
              <w:pStyle w:val="null3"/>
            </w:pPr>
            <w:r>
              <w:rPr>
                <w:rFonts w:ascii="仿宋_GB2312" w:hAnsi="仿宋_GB2312" w:cs="仿宋_GB2312" w:eastAsia="仿宋_GB2312"/>
              </w:rPr>
              <w:t>一、建筑部分主料及要求：</w:t>
            </w:r>
          </w:p>
          <w:p>
            <w:pPr>
              <w:pStyle w:val="null3"/>
              <w:jc w:val="both"/>
            </w:pPr>
            <w:r>
              <w:rPr>
                <w:rFonts w:ascii="仿宋_GB2312" w:hAnsi="仿宋_GB2312" w:cs="仿宋_GB2312" w:eastAsia="仿宋_GB2312"/>
              </w:rPr>
              <w:t>（一）水、电部分：</w:t>
            </w:r>
          </w:p>
          <w:p>
            <w:pPr>
              <w:pStyle w:val="null3"/>
              <w:jc w:val="both"/>
            </w:pPr>
            <w:r>
              <w:rPr>
                <w:rFonts w:ascii="仿宋_GB2312" w:hAnsi="仿宋_GB2312" w:cs="仿宋_GB2312" w:eastAsia="仿宋_GB2312"/>
              </w:rPr>
              <w:t>1、给水管道的要求：</w:t>
            </w:r>
          </w:p>
          <w:p>
            <w:pPr>
              <w:pStyle w:val="null3"/>
              <w:jc w:val="both"/>
            </w:pPr>
            <w:r>
              <w:rPr>
                <w:rFonts w:ascii="仿宋_GB2312" w:hAnsi="仿宋_GB2312" w:cs="仿宋_GB2312" w:eastAsia="仿宋_GB2312"/>
              </w:rPr>
              <w:t>1.1、采用ppr及pe热熔管道，壁厚须达到4mm及以上。</w:t>
            </w:r>
          </w:p>
          <w:p>
            <w:pPr>
              <w:pStyle w:val="null3"/>
              <w:jc w:val="both"/>
            </w:pPr>
            <w:r>
              <w:rPr>
                <w:rFonts w:ascii="仿宋_GB2312" w:hAnsi="仿宋_GB2312" w:cs="仿宋_GB2312" w:eastAsia="仿宋_GB2312"/>
              </w:rPr>
              <w:t>1.2、教室外管道安装时要按照规范要求施工，穿墙时须套管，教室内暗埋部分必须使用带金属的嵌入件。</w:t>
            </w:r>
          </w:p>
          <w:p>
            <w:pPr>
              <w:pStyle w:val="null3"/>
              <w:jc w:val="both"/>
            </w:pPr>
            <w:r>
              <w:rPr>
                <w:rFonts w:ascii="仿宋_GB2312" w:hAnsi="仿宋_GB2312" w:cs="仿宋_GB2312" w:eastAsia="仿宋_GB2312"/>
              </w:rPr>
              <w:t>1.3、墙面打洞后需套管，并保持洞口平顺。</w:t>
            </w:r>
          </w:p>
          <w:p>
            <w:pPr>
              <w:pStyle w:val="null3"/>
              <w:jc w:val="both"/>
            </w:pPr>
            <w:r>
              <w:rPr>
                <w:rFonts w:ascii="仿宋_GB2312" w:hAnsi="仿宋_GB2312" w:cs="仿宋_GB2312" w:eastAsia="仿宋_GB2312"/>
              </w:rPr>
              <w:t>1.4、出地面管道需采用镀锌钢管。</w:t>
            </w:r>
          </w:p>
          <w:p>
            <w:pPr>
              <w:pStyle w:val="null3"/>
              <w:jc w:val="both"/>
            </w:pPr>
            <w:r>
              <w:rPr>
                <w:rFonts w:ascii="仿宋_GB2312" w:hAnsi="仿宋_GB2312" w:cs="仿宋_GB2312" w:eastAsia="仿宋_GB2312"/>
              </w:rPr>
              <w:t>2、排水管道的要求：</w:t>
            </w:r>
          </w:p>
          <w:p>
            <w:pPr>
              <w:pStyle w:val="null3"/>
              <w:jc w:val="both"/>
            </w:pPr>
            <w:r>
              <w:rPr>
                <w:rFonts w:ascii="仿宋_GB2312" w:hAnsi="仿宋_GB2312" w:cs="仿宋_GB2312" w:eastAsia="仿宋_GB2312"/>
              </w:rPr>
              <w:t>2.1、采用pvc降噪音双层管，穿墙部分必须套钢管。</w:t>
            </w:r>
          </w:p>
          <w:p>
            <w:pPr>
              <w:pStyle w:val="null3"/>
              <w:jc w:val="both"/>
            </w:pPr>
            <w:r>
              <w:rPr>
                <w:rFonts w:ascii="仿宋_GB2312" w:hAnsi="仿宋_GB2312" w:cs="仿宋_GB2312" w:eastAsia="仿宋_GB2312"/>
              </w:rPr>
              <w:t>3、电缆、电线、空开、配电箱、线管的要求：</w:t>
            </w:r>
          </w:p>
          <w:p>
            <w:pPr>
              <w:pStyle w:val="null3"/>
              <w:jc w:val="both"/>
            </w:pPr>
            <w:r>
              <w:rPr>
                <w:rFonts w:ascii="仿宋_GB2312" w:hAnsi="仿宋_GB2312" w:cs="仿宋_GB2312" w:eastAsia="仿宋_GB2312"/>
              </w:rPr>
              <w:t>3.1、电线（铜芯单股）、空开必须具有国家强制性产品认证证书及国家电线电缆质量监督检验报告。</w:t>
            </w:r>
          </w:p>
          <w:p>
            <w:pPr>
              <w:pStyle w:val="null3"/>
              <w:jc w:val="both"/>
            </w:pPr>
            <w:r>
              <w:rPr>
                <w:rFonts w:ascii="仿宋_GB2312" w:hAnsi="仿宋_GB2312" w:cs="仿宋_GB2312" w:eastAsia="仿宋_GB2312"/>
              </w:rPr>
              <w:t>3.2、所有产品必须选正规的厂家，符合国家标准，具备环保认证。</w:t>
            </w:r>
          </w:p>
          <w:p>
            <w:pPr>
              <w:pStyle w:val="null3"/>
              <w:jc w:val="both"/>
            </w:pPr>
            <w:r>
              <w:rPr>
                <w:rFonts w:ascii="仿宋_GB2312" w:hAnsi="仿宋_GB2312" w:cs="仿宋_GB2312" w:eastAsia="仿宋_GB2312"/>
              </w:rPr>
              <w:t>3.3、配电箱、线管安装时必须按照国家操作规范进行施工。</w:t>
            </w:r>
          </w:p>
          <w:p>
            <w:pPr>
              <w:pStyle w:val="null3"/>
              <w:jc w:val="both"/>
            </w:pPr>
            <w:r>
              <w:rPr>
                <w:rFonts w:ascii="仿宋_GB2312" w:hAnsi="仿宋_GB2312" w:cs="仿宋_GB2312" w:eastAsia="仿宋_GB2312"/>
              </w:rPr>
              <w:t>3.4、空开必须具备漏电保护功能。</w:t>
            </w:r>
          </w:p>
          <w:p>
            <w:pPr>
              <w:pStyle w:val="null3"/>
              <w:jc w:val="both"/>
            </w:pPr>
            <w:r>
              <w:rPr>
                <w:rFonts w:ascii="仿宋_GB2312" w:hAnsi="仿宋_GB2312" w:cs="仿宋_GB2312" w:eastAsia="仿宋_GB2312"/>
              </w:rPr>
              <w:t>3.5、配电箱箱体厚度需达到1.5mm厚。</w:t>
            </w:r>
          </w:p>
          <w:p>
            <w:pPr>
              <w:pStyle w:val="null3"/>
              <w:jc w:val="both"/>
            </w:pPr>
            <w:r>
              <w:rPr>
                <w:rFonts w:ascii="仿宋_GB2312" w:hAnsi="仿宋_GB2312" w:cs="仿宋_GB2312" w:eastAsia="仿宋_GB2312"/>
              </w:rPr>
              <w:t>3.6、所有的电线一律采用PVC线管及线槽穿线施工，电箱箱体、空气开关和电箱盖板安装完毕后必须平整，不得出现歪扭状况。</w:t>
            </w:r>
          </w:p>
          <w:p>
            <w:pPr>
              <w:pStyle w:val="null3"/>
              <w:jc w:val="both"/>
            </w:pPr>
            <w:r>
              <w:rPr>
                <w:rFonts w:ascii="仿宋_GB2312" w:hAnsi="仿宋_GB2312" w:cs="仿宋_GB2312" w:eastAsia="仿宋_GB2312"/>
              </w:rPr>
              <w:t>4、插座及灯具的要求：</w:t>
            </w:r>
          </w:p>
          <w:p>
            <w:pPr>
              <w:pStyle w:val="null3"/>
              <w:jc w:val="both"/>
            </w:pPr>
            <w:r>
              <w:rPr>
                <w:rFonts w:ascii="仿宋_GB2312" w:hAnsi="仿宋_GB2312" w:cs="仿宋_GB2312" w:eastAsia="仿宋_GB2312"/>
              </w:rPr>
              <w:t>4.1、86型开关、阻燃PC，线芯材质锡磷青铜。</w:t>
            </w:r>
          </w:p>
          <w:p>
            <w:pPr>
              <w:pStyle w:val="null3"/>
              <w:jc w:val="both"/>
            </w:pPr>
            <w:r>
              <w:rPr>
                <w:rFonts w:ascii="仿宋_GB2312" w:hAnsi="仿宋_GB2312" w:cs="仿宋_GB2312" w:eastAsia="仿宋_GB2312"/>
              </w:rPr>
              <w:t>4.2、LED灯采灯罩材质亚克力、灯身材质铝合金、必须采用进口芯片，电阻电容、IC等元器件。</w:t>
            </w:r>
          </w:p>
          <w:p>
            <w:pPr>
              <w:pStyle w:val="null3"/>
              <w:jc w:val="both"/>
            </w:pPr>
            <w:r>
              <w:rPr>
                <w:rFonts w:ascii="仿宋_GB2312" w:hAnsi="仿宋_GB2312" w:cs="仿宋_GB2312" w:eastAsia="仿宋_GB2312"/>
              </w:rPr>
              <w:t>4.3、led防水防尘灯规格参数：72W，照度4000K。</w:t>
            </w:r>
          </w:p>
          <w:p>
            <w:pPr>
              <w:pStyle w:val="null3"/>
              <w:jc w:val="both"/>
            </w:pPr>
            <w:r>
              <w:rPr>
                <w:rFonts w:ascii="仿宋_GB2312" w:hAnsi="仿宋_GB2312" w:cs="仿宋_GB2312" w:eastAsia="仿宋_GB2312"/>
              </w:rPr>
              <w:t>4.4、应急灯采用led充电款。应急照明在120分钟以上。</w:t>
            </w:r>
          </w:p>
          <w:p>
            <w:pPr>
              <w:pStyle w:val="null3"/>
              <w:jc w:val="both"/>
            </w:pPr>
            <w:r>
              <w:rPr>
                <w:rFonts w:ascii="仿宋_GB2312" w:hAnsi="仿宋_GB2312" w:cs="仿宋_GB2312" w:eastAsia="仿宋_GB2312"/>
              </w:rPr>
              <w:t>5、暖气的要求：</w:t>
            </w:r>
          </w:p>
          <w:p>
            <w:pPr>
              <w:pStyle w:val="null3"/>
              <w:jc w:val="both"/>
            </w:pPr>
            <w:r>
              <w:rPr>
                <w:rFonts w:ascii="仿宋_GB2312" w:hAnsi="仿宋_GB2312" w:cs="仿宋_GB2312" w:eastAsia="仿宋_GB2312"/>
              </w:rPr>
              <w:t>5.1、暖气片采用钢制暖气片，厚度达到2.5mm。</w:t>
            </w:r>
          </w:p>
          <w:p>
            <w:pPr>
              <w:pStyle w:val="null3"/>
              <w:jc w:val="both"/>
            </w:pPr>
            <w:r>
              <w:rPr>
                <w:rFonts w:ascii="仿宋_GB2312" w:hAnsi="仿宋_GB2312" w:cs="仿宋_GB2312" w:eastAsia="仿宋_GB2312"/>
              </w:rPr>
              <w:t>5.2、施工采取镀锌管连接的方式，要求暖气有进水阀门和出水阀门。</w:t>
            </w:r>
          </w:p>
          <w:p>
            <w:pPr>
              <w:pStyle w:val="null3"/>
            </w:pPr>
            <w:r>
              <w:rPr>
                <w:rFonts w:ascii="仿宋_GB2312" w:hAnsi="仿宋_GB2312" w:cs="仿宋_GB2312" w:eastAsia="仿宋_GB2312"/>
              </w:rPr>
              <w:t>（二）土建部分</w:t>
            </w:r>
          </w:p>
          <w:p>
            <w:pPr>
              <w:pStyle w:val="null3"/>
              <w:jc w:val="both"/>
            </w:pPr>
            <w:r>
              <w:rPr>
                <w:rFonts w:ascii="仿宋_GB2312" w:hAnsi="仿宋_GB2312" w:cs="仿宋_GB2312" w:eastAsia="仿宋_GB2312"/>
              </w:rPr>
              <w:t>1、乳胶漆的要求：</w:t>
            </w:r>
          </w:p>
          <w:p>
            <w:pPr>
              <w:pStyle w:val="null3"/>
              <w:jc w:val="both"/>
            </w:pPr>
            <w:r>
              <w:rPr>
                <w:rFonts w:ascii="仿宋_GB2312" w:hAnsi="仿宋_GB2312" w:cs="仿宋_GB2312" w:eastAsia="仿宋_GB2312"/>
              </w:rPr>
              <w:t>2.1、颜色：以提供样品为准。</w:t>
            </w:r>
          </w:p>
          <w:p>
            <w:pPr>
              <w:pStyle w:val="null3"/>
              <w:jc w:val="both"/>
            </w:pPr>
            <w:r>
              <w:rPr>
                <w:rFonts w:ascii="仿宋_GB2312" w:hAnsi="仿宋_GB2312" w:cs="仿宋_GB2312" w:eastAsia="仿宋_GB2312"/>
              </w:rPr>
              <w:t>2.2、必须具有国家涂料产品质量监督检测中心和中国环境标志产品认证出具的证书或报告。</w:t>
            </w:r>
          </w:p>
          <w:p>
            <w:pPr>
              <w:pStyle w:val="null3"/>
              <w:jc w:val="both"/>
            </w:pPr>
            <w:r>
              <w:rPr>
                <w:rFonts w:ascii="仿宋_GB2312" w:hAnsi="仿宋_GB2312" w:cs="仿宋_GB2312" w:eastAsia="仿宋_GB2312"/>
              </w:rPr>
              <w:t>2、瓷砖的要求：</w:t>
            </w:r>
          </w:p>
          <w:p>
            <w:pPr>
              <w:pStyle w:val="null3"/>
              <w:jc w:val="both"/>
            </w:pPr>
            <w:r>
              <w:rPr>
                <w:rFonts w:ascii="仿宋_GB2312" w:hAnsi="仿宋_GB2312" w:cs="仿宋_GB2312" w:eastAsia="仿宋_GB2312"/>
              </w:rPr>
              <w:t>2.1、符合国家生产及环保、功能的国家规范，确保铺设完成后无异味、无脱色及耐酸腐蚀。</w:t>
            </w:r>
          </w:p>
          <w:p>
            <w:pPr>
              <w:pStyle w:val="null3"/>
              <w:jc w:val="both"/>
            </w:pPr>
            <w:r>
              <w:rPr>
                <w:rFonts w:ascii="仿宋_GB2312" w:hAnsi="仿宋_GB2312" w:cs="仿宋_GB2312" w:eastAsia="仿宋_GB2312"/>
              </w:rPr>
              <w:t>2.2、瓷砖厚度必须达到12mm。</w:t>
            </w:r>
          </w:p>
          <w:p>
            <w:pPr>
              <w:pStyle w:val="null3"/>
              <w:jc w:val="both"/>
            </w:pPr>
            <w:r>
              <w:rPr>
                <w:rFonts w:ascii="仿宋_GB2312" w:hAnsi="仿宋_GB2312" w:cs="仿宋_GB2312" w:eastAsia="仿宋_GB2312"/>
              </w:rPr>
              <w:t>2.3、铺设完成后地板平整度及十字缝必须均匀，地板不得出现翘边及开胶的现象。</w:t>
            </w:r>
          </w:p>
          <w:p>
            <w:pPr>
              <w:pStyle w:val="null3"/>
              <w:jc w:val="both"/>
            </w:pPr>
            <w:r>
              <w:rPr>
                <w:rFonts w:ascii="仿宋_GB2312" w:hAnsi="仿宋_GB2312" w:cs="仿宋_GB2312" w:eastAsia="仿宋_GB2312"/>
              </w:rPr>
              <w:t>2.4、防水施工前要求施工场地平整、清洁，高分子涂膜防水层需刷够厚度，铺设瓷砖前，做72小时闭水试验。</w:t>
            </w:r>
          </w:p>
          <w:p>
            <w:pPr>
              <w:pStyle w:val="null3"/>
              <w:jc w:val="both"/>
            </w:pPr>
            <w:r>
              <w:rPr>
                <w:rFonts w:ascii="仿宋_GB2312" w:hAnsi="仿宋_GB2312" w:cs="仿宋_GB2312" w:eastAsia="仿宋_GB2312"/>
              </w:rPr>
              <w:t>2.5、基层施工时垫层需做好找平后再进行施工。</w:t>
            </w:r>
          </w:p>
          <w:p>
            <w:pPr>
              <w:pStyle w:val="null3"/>
              <w:jc w:val="both"/>
            </w:pPr>
            <w:r>
              <w:rPr>
                <w:rFonts w:ascii="仿宋_GB2312" w:hAnsi="仿宋_GB2312" w:cs="仿宋_GB2312" w:eastAsia="仿宋_GB2312"/>
              </w:rPr>
              <w:t>2.6、全抛釉抗油污定制墙、地面砖（提供质检报告），墙面做墙固，贴制时需加背胶，防止时间长了脱落，存在安全隐患。防滑耐磨。地面通铺。破坏强度≥1000N，摩擦系数单个值不小于0.7，耐污染性5级、吸水率≤0.5%。</w:t>
            </w:r>
          </w:p>
          <w:p>
            <w:pPr>
              <w:pStyle w:val="null3"/>
              <w:jc w:val="both"/>
            </w:pPr>
            <w:r>
              <w:rPr>
                <w:rFonts w:ascii="仿宋_GB2312" w:hAnsi="仿宋_GB2312" w:cs="仿宋_GB2312" w:eastAsia="仿宋_GB2312"/>
              </w:rPr>
              <w:t>3、吊顶的要求：</w:t>
            </w:r>
          </w:p>
          <w:p>
            <w:pPr>
              <w:pStyle w:val="null3"/>
              <w:jc w:val="both"/>
            </w:pPr>
            <w:r>
              <w:rPr>
                <w:rFonts w:ascii="仿宋_GB2312" w:hAnsi="仿宋_GB2312" w:cs="仿宋_GB2312" w:eastAsia="仿宋_GB2312"/>
              </w:rPr>
              <w:t>3.1、轻钢龙骨材料要符合国家标准，主料厚度必须达到1.2mm，辅料厚度必须达到1.0mm。</w:t>
            </w:r>
          </w:p>
          <w:p>
            <w:pPr>
              <w:pStyle w:val="null3"/>
              <w:jc w:val="both"/>
            </w:pPr>
            <w:r>
              <w:rPr>
                <w:rFonts w:ascii="仿宋_GB2312" w:hAnsi="仿宋_GB2312" w:cs="仿宋_GB2312" w:eastAsia="仿宋_GB2312"/>
              </w:rPr>
              <w:t>3.2、铝扣板厚度1.0mm。</w:t>
            </w:r>
          </w:p>
          <w:p>
            <w:pPr>
              <w:pStyle w:val="null3"/>
              <w:jc w:val="both"/>
            </w:pPr>
            <w:r>
              <w:rPr>
                <w:rFonts w:ascii="仿宋_GB2312" w:hAnsi="仿宋_GB2312" w:cs="仿宋_GB2312" w:eastAsia="仿宋_GB2312"/>
              </w:rPr>
              <w:t>4、防水SBS防水卷材铺设要求：</w:t>
            </w:r>
          </w:p>
          <w:p>
            <w:pPr>
              <w:pStyle w:val="null3"/>
              <w:jc w:val="both"/>
            </w:pPr>
            <w:r>
              <w:rPr>
                <w:rFonts w:ascii="仿宋_GB2312" w:hAnsi="仿宋_GB2312" w:cs="仿宋_GB2312" w:eastAsia="仿宋_GB2312"/>
              </w:rPr>
              <w:t>4.1、防水卷材--40°，厚度4mm。</w:t>
            </w:r>
          </w:p>
          <w:p>
            <w:pPr>
              <w:pStyle w:val="null3"/>
              <w:jc w:val="both"/>
            </w:pPr>
            <w:r>
              <w:rPr>
                <w:rFonts w:ascii="仿宋_GB2312" w:hAnsi="仿宋_GB2312" w:cs="仿宋_GB2312" w:eastAsia="仿宋_GB2312"/>
              </w:rPr>
              <w:t>4.2、铺设前要求施工场地平整、清洁，底层刷地板油2遍。</w:t>
            </w:r>
          </w:p>
          <w:p>
            <w:pPr>
              <w:pStyle w:val="null3"/>
              <w:jc w:val="both"/>
            </w:pPr>
            <w:r>
              <w:rPr>
                <w:rFonts w:ascii="仿宋_GB2312" w:hAnsi="仿宋_GB2312" w:cs="仿宋_GB2312" w:eastAsia="仿宋_GB2312"/>
              </w:rPr>
              <w:t>4.3、搭接需10cm，翻边后岔口需热熔牢固。</w:t>
            </w:r>
          </w:p>
          <w:p>
            <w:pPr>
              <w:pStyle w:val="null3"/>
              <w:jc w:val="both"/>
            </w:pPr>
            <w:r>
              <w:rPr>
                <w:rFonts w:ascii="仿宋_GB2312" w:hAnsi="仿宋_GB2312" w:cs="仿宋_GB2312" w:eastAsia="仿宋_GB2312"/>
              </w:rPr>
              <w:t>4、墙面打洞后需套管，并保持洞口平顺。</w:t>
            </w:r>
          </w:p>
          <w:p>
            <w:pPr>
              <w:pStyle w:val="null3"/>
              <w:jc w:val="both"/>
            </w:pPr>
            <w:r>
              <w:rPr>
                <w:rFonts w:ascii="仿宋_GB2312" w:hAnsi="仿宋_GB2312" w:cs="仿宋_GB2312" w:eastAsia="仿宋_GB2312"/>
              </w:rPr>
              <w:t>5、下水道及盖板要求：</w:t>
            </w:r>
          </w:p>
          <w:p>
            <w:pPr>
              <w:pStyle w:val="null3"/>
              <w:jc w:val="both"/>
            </w:pPr>
            <w:r>
              <w:rPr>
                <w:rFonts w:ascii="仿宋_GB2312" w:hAnsi="仿宋_GB2312" w:cs="仿宋_GB2312" w:eastAsia="仿宋_GB2312"/>
              </w:rPr>
              <w:t>5.1、全AISI304不锈钢板制造，具高耐腐蚀性，盖板厚度为实厚不小于3.0mm。</w:t>
            </w:r>
          </w:p>
          <w:p>
            <w:pPr>
              <w:pStyle w:val="null3"/>
              <w:jc w:val="both"/>
            </w:pPr>
            <w:r>
              <w:rPr>
                <w:rFonts w:ascii="仿宋_GB2312" w:hAnsi="仿宋_GB2312" w:cs="仿宋_GB2312" w:eastAsia="仿宋_GB2312"/>
              </w:rPr>
              <w:t>5.2、表面为电解抛光处理，光洁度高且耐腐蚀能力强。</w:t>
            </w:r>
          </w:p>
          <w:p>
            <w:pPr>
              <w:pStyle w:val="null3"/>
              <w:jc w:val="both"/>
            </w:pPr>
            <w:r>
              <w:rPr>
                <w:rFonts w:ascii="仿宋_GB2312" w:hAnsi="仿宋_GB2312" w:cs="仿宋_GB2312" w:eastAsia="仿宋_GB2312"/>
              </w:rPr>
              <w:t>5.3、可拆式隔栅型防滑盖板，强化凹槽，无锐边安全边框设计，盖板下需用角铁固定，放置水平，防止时间长后出现摇摆松动。</w:t>
            </w:r>
          </w:p>
          <w:p>
            <w:pPr>
              <w:pStyle w:val="null3"/>
              <w:jc w:val="both"/>
            </w:pPr>
            <w:r>
              <w:rPr>
                <w:rFonts w:ascii="仿宋_GB2312" w:hAnsi="仿宋_GB2312" w:cs="仿宋_GB2312" w:eastAsia="仿宋_GB2312"/>
              </w:rPr>
              <w:t>5.4、下水沟道采用成品，不锈钢面层实厚不小于0.5mm。</w:t>
            </w:r>
          </w:p>
          <w:p>
            <w:pPr>
              <w:pStyle w:val="null3"/>
              <w:jc w:val="both"/>
            </w:pPr>
            <w:r>
              <w:rPr>
                <w:rFonts w:ascii="仿宋_GB2312" w:hAnsi="仿宋_GB2312" w:cs="仿宋_GB2312" w:eastAsia="仿宋_GB2312"/>
              </w:rPr>
              <w:t>5.5、盖板厚度为25mm，盖板保持与地面一个高度。</w:t>
            </w:r>
          </w:p>
          <w:p>
            <w:pPr>
              <w:pStyle w:val="null3"/>
              <w:jc w:val="both"/>
            </w:pPr>
            <w:r>
              <w:rPr>
                <w:rFonts w:ascii="仿宋_GB2312" w:hAnsi="仿宋_GB2312" w:cs="仿宋_GB2312" w:eastAsia="仿宋_GB2312"/>
              </w:rPr>
              <w:t>6、防盗门要求：</w:t>
            </w:r>
          </w:p>
          <w:p>
            <w:pPr>
              <w:pStyle w:val="null3"/>
              <w:jc w:val="both"/>
            </w:pPr>
            <w:r>
              <w:rPr>
                <w:rFonts w:ascii="仿宋_GB2312" w:hAnsi="仿宋_GB2312" w:cs="仿宋_GB2312" w:eastAsia="仿宋_GB2312"/>
              </w:rPr>
              <w:t>6.1、要求甲级防盗门，明铰链。</w:t>
            </w:r>
          </w:p>
          <w:p>
            <w:pPr>
              <w:pStyle w:val="null3"/>
              <w:jc w:val="both"/>
            </w:pPr>
            <w:r>
              <w:rPr>
                <w:rFonts w:ascii="仿宋_GB2312" w:hAnsi="仿宋_GB2312" w:cs="仿宋_GB2312" w:eastAsia="仿宋_GB2312"/>
              </w:rPr>
              <w:t>6.2、内左右开（部分根据现场情况商定）、内带边、内外挂扣锁、内扣拉手。</w:t>
            </w:r>
          </w:p>
          <w:p>
            <w:pPr>
              <w:pStyle w:val="null3"/>
              <w:jc w:val="both"/>
            </w:pPr>
            <w:r>
              <w:rPr>
                <w:rFonts w:ascii="仿宋_GB2312" w:hAnsi="仿宋_GB2312" w:cs="仿宋_GB2312" w:eastAsia="仿宋_GB2312"/>
              </w:rPr>
              <w:t>7、不锈钢门的要求：</w:t>
            </w:r>
          </w:p>
          <w:p>
            <w:pPr>
              <w:pStyle w:val="null3"/>
              <w:jc w:val="both"/>
            </w:pPr>
            <w:r>
              <w:rPr>
                <w:rFonts w:ascii="仿宋_GB2312" w:hAnsi="仿宋_GB2312" w:cs="仿宋_GB2312" w:eastAsia="仿宋_GB2312"/>
              </w:rPr>
              <w:t>7.1、全部采用304不锈钢，厚度达到1.5mm。</w:t>
            </w:r>
          </w:p>
          <w:p>
            <w:pPr>
              <w:pStyle w:val="null3"/>
              <w:jc w:val="both"/>
            </w:pPr>
            <w:r>
              <w:rPr>
                <w:rFonts w:ascii="仿宋_GB2312" w:hAnsi="仿宋_GB2312" w:cs="仿宋_GB2312" w:eastAsia="仿宋_GB2312"/>
              </w:rPr>
              <w:t>7.2、不锈钢门方管采用60*60的主框架。</w:t>
            </w:r>
          </w:p>
          <w:p>
            <w:pPr>
              <w:pStyle w:val="null3"/>
              <w:jc w:val="both"/>
            </w:pPr>
            <w:r>
              <w:rPr>
                <w:rFonts w:ascii="仿宋_GB2312" w:hAnsi="仿宋_GB2312" w:cs="仿宋_GB2312" w:eastAsia="仿宋_GB2312"/>
              </w:rPr>
              <w:t>7.3、轮子采用铁质双轴承铁滚轮，进行关闭。</w:t>
            </w:r>
          </w:p>
          <w:p>
            <w:pPr>
              <w:pStyle w:val="null3"/>
              <w:jc w:val="both"/>
            </w:pPr>
            <w:r>
              <w:rPr>
                <w:rFonts w:ascii="仿宋_GB2312" w:hAnsi="仿宋_GB2312" w:cs="仿宋_GB2312" w:eastAsia="仿宋_GB2312"/>
              </w:rPr>
              <w:t>8、断桥铝窗的要求：</w:t>
            </w:r>
          </w:p>
          <w:p>
            <w:pPr>
              <w:pStyle w:val="null3"/>
              <w:jc w:val="both"/>
            </w:pPr>
            <w:r>
              <w:rPr>
                <w:rFonts w:ascii="仿宋_GB2312" w:hAnsi="仿宋_GB2312" w:cs="仿宋_GB2312" w:eastAsia="仿宋_GB2312"/>
              </w:rPr>
              <w:t>8.1、要求5mm双层钢化中空钢化、采用品牌五金及PA66尼龙条、壁厚1.8mm 以上</w:t>
            </w:r>
            <w:r>
              <w:rPr>
                <w:rFonts w:ascii="仿宋_GB2312" w:hAnsi="仿宋_GB2312" w:cs="仿宋_GB2312" w:eastAsia="仿宋_GB2312"/>
              </w:rPr>
              <w:t xml:space="preserve"> </w:t>
            </w:r>
            <w:r>
              <w:rPr>
                <w:rFonts w:ascii="仿宋_GB2312" w:hAnsi="仿宋_GB2312" w:cs="仿宋_GB2312" w:eastAsia="仿宋_GB2312"/>
              </w:rPr>
              <w:t>。</w:t>
            </w:r>
          </w:p>
          <w:p>
            <w:pPr>
              <w:pStyle w:val="null3"/>
              <w:jc w:val="both"/>
            </w:pPr>
            <w:r>
              <w:rPr>
                <w:rFonts w:ascii="仿宋_GB2312" w:hAnsi="仿宋_GB2312" w:cs="仿宋_GB2312" w:eastAsia="仿宋_GB2312"/>
              </w:rPr>
              <w:t>8.2、采用三元乙丙三道进行密封，关窗后密封严实无漏水。</w:t>
            </w:r>
          </w:p>
          <w:p>
            <w:pPr>
              <w:pStyle w:val="null3"/>
              <w:jc w:val="both"/>
            </w:pPr>
            <w:r>
              <w:rPr>
                <w:rFonts w:ascii="仿宋_GB2312" w:hAnsi="仿宋_GB2312" w:cs="仿宋_GB2312" w:eastAsia="仿宋_GB2312"/>
              </w:rPr>
              <w:t>9、隐形防盗网（精钢网）：</w:t>
            </w:r>
          </w:p>
          <w:p>
            <w:pPr>
              <w:pStyle w:val="null3"/>
              <w:jc w:val="both"/>
            </w:pPr>
            <w:r>
              <w:rPr>
                <w:rFonts w:ascii="仿宋_GB2312" w:hAnsi="仿宋_GB2312" w:cs="仿宋_GB2312" w:eastAsia="仿宋_GB2312"/>
              </w:rPr>
              <w:t>9.1、采用304不锈钢丝网编制而成，线径0.8mm，每扇需带暗锁。</w:t>
            </w:r>
          </w:p>
          <w:p>
            <w:pPr>
              <w:pStyle w:val="null3"/>
              <w:jc w:val="both"/>
            </w:pPr>
            <w:r>
              <w:rPr>
                <w:rFonts w:ascii="仿宋_GB2312" w:hAnsi="仿宋_GB2312" w:cs="仿宋_GB2312" w:eastAsia="仿宋_GB2312"/>
              </w:rPr>
              <w:t>10、板材的要求：</w:t>
            </w:r>
          </w:p>
          <w:p>
            <w:pPr>
              <w:pStyle w:val="null3"/>
              <w:jc w:val="both"/>
            </w:pPr>
            <w:r>
              <w:rPr>
                <w:rFonts w:ascii="仿宋_GB2312" w:hAnsi="仿宋_GB2312" w:cs="仿宋_GB2312" w:eastAsia="仿宋_GB2312"/>
              </w:rPr>
              <w:t>10.1、板材采用优质环保板材，基材符合E0标准经过防虫，防腐，防火特殊处理抗弯力强，不易变形：封边为近色封边，底部需316不锈钢内外制作地脚线.</w:t>
            </w:r>
          </w:p>
          <w:p>
            <w:pPr>
              <w:pStyle w:val="null3"/>
              <w:jc w:val="both"/>
            </w:pPr>
            <w:r>
              <w:rPr>
                <w:rFonts w:ascii="仿宋_GB2312" w:hAnsi="仿宋_GB2312" w:cs="仿宋_GB2312" w:eastAsia="仿宋_GB2312"/>
              </w:rPr>
              <w:t>10.2、采用国内知名品牌抽屉轨道及柜锁五金件。</w:t>
            </w:r>
          </w:p>
          <w:p>
            <w:pPr>
              <w:pStyle w:val="null3"/>
              <w:jc w:val="both"/>
            </w:pPr>
            <w:r>
              <w:rPr>
                <w:rFonts w:ascii="仿宋_GB2312" w:hAnsi="仿宋_GB2312" w:cs="仿宋_GB2312" w:eastAsia="仿宋_GB2312"/>
              </w:rPr>
              <w:t>10.3、板材要严格经过蒸压煮、烘干、杀菌、杀虫处理，不会变形，不带有害气味。</w:t>
            </w:r>
          </w:p>
          <w:p>
            <w:pPr>
              <w:pStyle w:val="null3"/>
              <w:jc w:val="both"/>
            </w:pPr>
            <w:r>
              <w:rPr>
                <w:rFonts w:ascii="仿宋_GB2312" w:hAnsi="仿宋_GB2312" w:cs="仿宋_GB2312" w:eastAsia="仿宋_GB2312"/>
              </w:rPr>
              <w:t>11、空调支架的要求：</w:t>
            </w:r>
          </w:p>
          <w:p>
            <w:pPr>
              <w:pStyle w:val="null3"/>
              <w:jc w:val="both"/>
            </w:pPr>
            <w:r>
              <w:rPr>
                <w:rFonts w:ascii="仿宋_GB2312" w:hAnsi="仿宋_GB2312" w:cs="仿宋_GB2312" w:eastAsia="仿宋_GB2312"/>
              </w:rPr>
              <w:t>11.1、空调支架需焊接牢固，室内空调抬高支架需采用防水、防锈材料并具备减震等措施，要求美观大方。</w:t>
            </w:r>
          </w:p>
          <w:p>
            <w:pPr>
              <w:pStyle w:val="null3"/>
              <w:jc w:val="both"/>
            </w:pPr>
            <w:r>
              <w:rPr>
                <w:rFonts w:ascii="仿宋_GB2312" w:hAnsi="仿宋_GB2312" w:cs="仿宋_GB2312" w:eastAsia="仿宋_GB2312"/>
              </w:rPr>
              <w:t>（</w:t>
            </w:r>
            <w:r>
              <w:rPr>
                <w:rFonts w:ascii="仿宋_GB2312" w:hAnsi="仿宋_GB2312" w:cs="仿宋_GB2312" w:eastAsia="仿宋_GB2312"/>
              </w:rPr>
              <w:t>三</w:t>
            </w:r>
            <w:r>
              <w:rPr>
                <w:rFonts w:ascii="仿宋_GB2312" w:hAnsi="仿宋_GB2312" w:cs="仿宋_GB2312" w:eastAsia="仿宋_GB2312"/>
              </w:rPr>
              <w:t>）辅材</w:t>
            </w:r>
          </w:p>
          <w:p>
            <w:pPr>
              <w:pStyle w:val="null3"/>
              <w:jc w:val="both"/>
            </w:pPr>
            <w:r>
              <w:rPr>
                <w:rFonts w:ascii="仿宋_GB2312" w:hAnsi="仿宋_GB2312" w:cs="仿宋_GB2312" w:eastAsia="仿宋_GB2312"/>
              </w:rPr>
              <w:t>所有辅材必须符合国家及行业标准。</w:t>
            </w:r>
          </w:p>
          <w:p>
            <w:pPr>
              <w:pStyle w:val="null3"/>
              <w:jc w:val="both"/>
            </w:pPr>
            <w:r>
              <w:rPr>
                <w:rFonts w:ascii="仿宋_GB2312" w:hAnsi="仿宋_GB2312" w:cs="仿宋_GB2312" w:eastAsia="仿宋_GB2312"/>
              </w:rPr>
              <w:t>使用的主要材料及设备均需甲方、乙方及监理单位三方</w:t>
            </w:r>
            <w:r>
              <w:rPr>
                <w:rFonts w:ascii="仿宋_GB2312" w:hAnsi="仿宋_GB2312" w:cs="仿宋_GB2312" w:eastAsia="仿宋_GB2312"/>
              </w:rPr>
              <w:t>共同对其进行验收，确认材料的产地、规格、质量。</w:t>
            </w:r>
          </w:p>
          <w:p>
            <w:pPr>
              <w:pStyle w:val="null3"/>
              <w:jc w:val="both"/>
            </w:pPr>
            <w:r>
              <w:rPr>
                <w:rFonts w:ascii="仿宋_GB2312" w:hAnsi="仿宋_GB2312" w:cs="仿宋_GB2312" w:eastAsia="仿宋_GB2312"/>
              </w:rPr>
              <w:t>六、相关要求</w:t>
            </w:r>
          </w:p>
          <w:p>
            <w:pPr>
              <w:pStyle w:val="null3"/>
              <w:jc w:val="both"/>
            </w:pPr>
            <w:r>
              <w:rPr>
                <w:rFonts w:ascii="仿宋_GB2312" w:hAnsi="仿宋_GB2312" w:cs="仿宋_GB2312" w:eastAsia="仿宋_GB2312"/>
              </w:rPr>
              <w:t>6.</w:t>
            </w:r>
            <w:r>
              <w:rPr>
                <w:rFonts w:ascii="仿宋_GB2312" w:hAnsi="仿宋_GB2312" w:cs="仿宋_GB2312" w:eastAsia="仿宋_GB2312"/>
              </w:rPr>
              <w:t>1、</w:t>
            </w:r>
            <w:r>
              <w:rPr>
                <w:rFonts w:ascii="仿宋_GB2312" w:hAnsi="仿宋_GB2312" w:cs="仿宋_GB2312" w:eastAsia="仿宋_GB2312"/>
              </w:rPr>
              <w:t>成交供应商在施工过程中使用或参考上述标准、规范以外的技术标准、规范时，应征得发标或发标单位指定代表人的同意。</w:t>
            </w:r>
          </w:p>
          <w:p>
            <w:pPr>
              <w:pStyle w:val="null3"/>
              <w:jc w:val="both"/>
            </w:pPr>
            <w:r>
              <w:rPr>
                <w:rFonts w:ascii="仿宋_GB2312" w:hAnsi="仿宋_GB2312" w:cs="仿宋_GB2312" w:eastAsia="仿宋_GB2312"/>
              </w:rPr>
              <w:t>6.</w:t>
            </w:r>
            <w:r>
              <w:rPr>
                <w:rFonts w:ascii="仿宋_GB2312" w:hAnsi="仿宋_GB2312" w:cs="仿宋_GB2312" w:eastAsia="仿宋_GB2312"/>
              </w:rPr>
              <w:t>2、</w:t>
            </w:r>
            <w:r>
              <w:rPr>
                <w:rFonts w:ascii="仿宋_GB2312" w:hAnsi="仿宋_GB2312" w:cs="仿宋_GB2312" w:eastAsia="仿宋_GB2312"/>
              </w:rPr>
              <w:t>在施工过程中，如果国家或有关部门颁布了新的技术标准或规范，则承包人应采用新的标准或规范进行施工。</w:t>
            </w:r>
          </w:p>
          <w:p>
            <w:pPr>
              <w:pStyle w:val="null3"/>
              <w:jc w:val="both"/>
            </w:pPr>
            <w:r>
              <w:rPr>
                <w:rFonts w:ascii="仿宋_GB2312" w:hAnsi="仿宋_GB2312" w:cs="仿宋_GB2312" w:eastAsia="仿宋_GB2312"/>
              </w:rPr>
              <w:t>6.</w:t>
            </w:r>
            <w:r>
              <w:rPr>
                <w:rFonts w:ascii="仿宋_GB2312" w:hAnsi="仿宋_GB2312" w:cs="仿宋_GB2312" w:eastAsia="仿宋_GB2312"/>
              </w:rPr>
              <w:t>3、由于本项目</w:t>
            </w:r>
            <w:r>
              <w:rPr>
                <w:rFonts w:ascii="仿宋_GB2312" w:hAnsi="仿宋_GB2312" w:cs="仿宋_GB2312" w:eastAsia="仿宋_GB2312"/>
              </w:rPr>
              <w:t>与</w:t>
            </w:r>
            <w:r>
              <w:rPr>
                <w:rFonts w:ascii="仿宋_GB2312" w:hAnsi="仿宋_GB2312" w:cs="仿宋_GB2312" w:eastAsia="仿宋_GB2312"/>
              </w:rPr>
              <w:t>设备</w:t>
            </w:r>
            <w:r>
              <w:rPr>
                <w:rFonts w:ascii="仿宋_GB2312" w:hAnsi="仿宋_GB2312" w:cs="仿宋_GB2312" w:eastAsia="仿宋_GB2312"/>
              </w:rPr>
              <w:t>安装有节点交叉，施工过程中的部分点位需要相互协同，安装设施设备时，土建需及时调整工期或工作内容，在接到通知的情况下，继续施工的需拆除部分费用由土建中标方承担。（供应商须对此条内容进行承诺，未按要求承诺的按无效磋商处理）</w:t>
            </w:r>
          </w:p>
          <w:p>
            <w:pPr>
              <w:pStyle w:val="null3"/>
              <w:jc w:val="both"/>
            </w:pPr>
            <w:r>
              <w:rPr>
                <w:rFonts w:ascii="仿宋_GB2312" w:hAnsi="仿宋_GB2312" w:cs="仿宋_GB2312" w:eastAsia="仿宋_GB2312"/>
              </w:rPr>
              <w:t>七、编制依据</w:t>
            </w:r>
          </w:p>
          <w:p>
            <w:pPr>
              <w:pStyle w:val="null3"/>
              <w:jc w:val="both"/>
            </w:pPr>
            <w:r>
              <w:rPr>
                <w:rFonts w:ascii="仿宋_GB2312" w:hAnsi="仿宋_GB2312" w:cs="仿宋_GB2312" w:eastAsia="仿宋_GB2312"/>
              </w:rPr>
              <w:t>1、</w:t>
            </w:r>
            <w:r>
              <w:rPr>
                <w:rFonts w:ascii="仿宋_GB2312" w:hAnsi="仿宋_GB2312" w:cs="仿宋_GB2312" w:eastAsia="仿宋_GB2312"/>
              </w:rPr>
              <w:t>西安商贸旅游技师学院国家级高技能人才培训基地设备采购及实训场地改造项目（实训场地改造）</w:t>
            </w:r>
            <w:r>
              <w:rPr>
                <w:rFonts w:ascii="仿宋_GB2312" w:hAnsi="仿宋_GB2312" w:cs="仿宋_GB2312" w:eastAsia="仿宋_GB2312"/>
              </w:rPr>
              <w:t>设计图纸、相关标准图集；</w:t>
            </w:r>
          </w:p>
          <w:p>
            <w:pPr>
              <w:pStyle w:val="null3"/>
              <w:jc w:val="both"/>
            </w:pPr>
            <w:r>
              <w:rPr>
                <w:rFonts w:ascii="仿宋_GB2312" w:hAnsi="仿宋_GB2312" w:cs="仿宋_GB2312" w:eastAsia="仿宋_GB2312"/>
              </w:rPr>
              <w:t>2、《陕西省建设工程计价标准》（2025）；</w:t>
            </w:r>
          </w:p>
          <w:p>
            <w:pPr>
              <w:pStyle w:val="null3"/>
              <w:jc w:val="both"/>
            </w:pPr>
            <w:r>
              <w:rPr>
                <w:rFonts w:ascii="仿宋_GB2312" w:hAnsi="仿宋_GB2312" w:cs="仿宋_GB2312" w:eastAsia="仿宋_GB2312"/>
              </w:rPr>
              <w:t>3、《陕西房屋建筑与装饰工程工程量计算标准》（2025）；</w:t>
            </w:r>
          </w:p>
          <w:p>
            <w:pPr>
              <w:pStyle w:val="null3"/>
              <w:jc w:val="both"/>
            </w:pPr>
            <w:r>
              <w:rPr>
                <w:rFonts w:ascii="仿宋_GB2312" w:hAnsi="仿宋_GB2312" w:cs="仿宋_GB2312" w:eastAsia="仿宋_GB2312"/>
              </w:rPr>
              <w:t>4、《陕西省通用安装工程工程量计算标准》（2025）；</w:t>
            </w:r>
          </w:p>
          <w:p>
            <w:pPr>
              <w:pStyle w:val="null3"/>
              <w:jc w:val="both"/>
            </w:pPr>
            <w:r>
              <w:rPr>
                <w:rFonts w:ascii="仿宋_GB2312" w:hAnsi="仿宋_GB2312" w:cs="仿宋_GB2312" w:eastAsia="仿宋_GB2312"/>
              </w:rPr>
              <w:t>5、《陕西省市政工程工程量计算标准》（2025）；</w:t>
            </w:r>
          </w:p>
          <w:p>
            <w:pPr>
              <w:pStyle w:val="null3"/>
              <w:jc w:val="both"/>
            </w:pPr>
            <w:r>
              <w:rPr>
                <w:rFonts w:ascii="仿宋_GB2312" w:hAnsi="仿宋_GB2312" w:cs="仿宋_GB2312" w:eastAsia="仿宋_GB2312"/>
              </w:rPr>
              <w:t>6、《陕西省建设工程费用定额》（2025）；</w:t>
            </w:r>
          </w:p>
          <w:p>
            <w:pPr>
              <w:pStyle w:val="null3"/>
              <w:jc w:val="both"/>
            </w:pPr>
            <w:r>
              <w:rPr>
                <w:rFonts w:ascii="仿宋_GB2312" w:hAnsi="仿宋_GB2312" w:cs="仿宋_GB2312" w:eastAsia="仿宋_GB2312"/>
              </w:rPr>
              <w:t>7、建设工程设计文件及相关资料；</w:t>
            </w:r>
          </w:p>
          <w:p>
            <w:pPr>
              <w:pStyle w:val="null3"/>
              <w:jc w:val="both"/>
            </w:pPr>
            <w:r>
              <w:rPr>
                <w:rFonts w:ascii="仿宋_GB2312" w:hAnsi="仿宋_GB2312" w:cs="仿宋_GB2312" w:eastAsia="仿宋_GB2312"/>
              </w:rPr>
              <w:t>8、与建设工程有关的标准、规范及技术资料；</w:t>
            </w:r>
          </w:p>
          <w:p>
            <w:pPr>
              <w:pStyle w:val="null3"/>
              <w:jc w:val="both"/>
            </w:pPr>
            <w:r>
              <w:rPr>
                <w:rFonts w:ascii="仿宋_GB2312" w:hAnsi="仿宋_GB2312" w:cs="仿宋_GB2312" w:eastAsia="仿宋_GB2312"/>
              </w:rPr>
              <w:t>9、施工现场情况 地期水文资料、工程特点及施工方案；</w:t>
            </w:r>
          </w:p>
          <w:p>
            <w:pPr>
              <w:pStyle w:val="null3"/>
              <w:jc w:val="both"/>
            </w:pPr>
            <w:r>
              <w:rPr>
                <w:rFonts w:ascii="仿宋_GB2312" w:hAnsi="仿宋_GB2312" w:cs="仿宋_GB2312" w:eastAsia="仿宋_GB2312"/>
              </w:rPr>
              <w:t>10、其他相关资料；</w:t>
            </w:r>
          </w:p>
          <w:p>
            <w:pPr>
              <w:pStyle w:val="null3"/>
              <w:jc w:val="both"/>
            </w:pPr>
            <w:r>
              <w:rPr>
                <w:rFonts w:ascii="仿宋_GB2312" w:hAnsi="仿宋_GB2312" w:cs="仿宋_GB2312" w:eastAsia="仿宋_GB2312"/>
              </w:rPr>
              <w:t>11、正常的施工工艺和施工方法；</w:t>
            </w:r>
          </w:p>
          <w:p>
            <w:pPr>
              <w:pStyle w:val="null3"/>
              <w:jc w:val="both"/>
            </w:pPr>
            <w:r>
              <w:rPr>
                <w:rFonts w:ascii="仿宋_GB2312" w:hAnsi="仿宋_GB2312" w:cs="仿宋_GB2312" w:eastAsia="仿宋_GB2312"/>
              </w:rPr>
              <w:t>12、本工程计价软件及取费程序执行广联达软件GCCP7.0中的清单计价模式，软件版本为陕西7.5000.23.3。</w:t>
            </w:r>
          </w:p>
          <w:p>
            <w:pPr>
              <w:pStyle w:val="null3"/>
              <w:jc w:val="both"/>
            </w:pPr>
            <w:r>
              <w:rPr>
                <w:rFonts w:ascii="仿宋_GB2312" w:hAnsi="仿宋_GB2312" w:cs="仿宋_GB2312" w:eastAsia="仿宋_GB2312"/>
              </w:rPr>
              <w:t>八、工期：自合同签订之日起</w:t>
            </w:r>
            <w:r>
              <w:rPr>
                <w:rFonts w:ascii="仿宋_GB2312" w:hAnsi="仿宋_GB2312" w:cs="仿宋_GB2312" w:eastAsia="仿宋_GB2312"/>
              </w:rPr>
              <w:t>50日历天。</w:t>
            </w:r>
          </w:p>
          <w:p>
            <w:pPr>
              <w:pStyle w:val="null3"/>
              <w:jc w:val="both"/>
            </w:pPr>
            <w:r>
              <w:rPr>
                <w:rFonts w:ascii="仿宋_GB2312" w:hAnsi="仿宋_GB2312" w:cs="仿宋_GB2312" w:eastAsia="仿宋_GB2312"/>
              </w:rPr>
              <w:t>工程质量</w:t>
            </w:r>
            <w:r>
              <w:rPr>
                <w:rFonts w:ascii="仿宋_GB2312" w:hAnsi="仿宋_GB2312" w:cs="仿宋_GB2312" w:eastAsia="仿宋_GB2312"/>
              </w:rPr>
              <w:t>：符合国家现行有关施工质量验收规范要求</w:t>
            </w:r>
            <w:r>
              <w:rPr>
                <w:rFonts w:ascii="仿宋_GB2312" w:hAnsi="仿宋_GB2312" w:cs="仿宋_GB2312" w:eastAsia="仿宋_GB2312"/>
              </w:rPr>
              <w:t>“合格”标准</w:t>
            </w:r>
          </w:p>
          <w:p>
            <w:pPr>
              <w:pStyle w:val="null3"/>
              <w:jc w:val="both"/>
            </w:pPr>
            <w:r>
              <w:rPr>
                <w:rFonts w:ascii="仿宋_GB2312" w:hAnsi="仿宋_GB2312" w:cs="仿宋_GB2312" w:eastAsia="仿宋_GB2312"/>
              </w:rPr>
              <w:t>付款方式：合同签订后</w:t>
            </w:r>
            <w:r>
              <w:rPr>
                <w:rFonts w:ascii="仿宋_GB2312" w:hAnsi="仿宋_GB2312" w:cs="仿宋_GB2312" w:eastAsia="仿宋_GB2312"/>
              </w:rPr>
              <w:t>7日内支付合同总价款的40%；施工完毕，运营正常后7日内支付合同总价款的50%；验收合格后7日内支付合同总价款的10%。每次付款前乙方需向甲方提供合法有效的等额税务发票</w:t>
            </w:r>
            <w:r>
              <w:rPr>
                <w:rFonts w:ascii="仿宋_GB2312" w:hAnsi="仿宋_GB2312" w:cs="仿宋_GB2312" w:eastAsia="仿宋_GB2312"/>
              </w:rPr>
              <w:t>。</w:t>
            </w:r>
          </w:p>
          <w:p>
            <w:pPr>
              <w:pStyle w:val="null3"/>
              <w:jc w:val="both"/>
            </w:pPr>
            <w:r>
              <w:rPr>
                <w:rFonts w:ascii="仿宋_GB2312" w:hAnsi="仿宋_GB2312" w:cs="仿宋_GB2312" w:eastAsia="仿宋_GB2312"/>
              </w:rPr>
              <w:t>保修期：</w:t>
            </w:r>
          </w:p>
          <w:p>
            <w:pPr>
              <w:pStyle w:val="null3"/>
              <w:jc w:val="both"/>
            </w:pPr>
            <w:r>
              <w:rPr>
                <w:rFonts w:ascii="仿宋_GB2312" w:hAnsi="仿宋_GB2312" w:cs="仿宋_GB2312" w:eastAsia="仿宋_GB2312"/>
              </w:rPr>
              <w:t>①屋面防水工程、有防水要求的房间和外墙面的防渗为5年；</w:t>
            </w:r>
          </w:p>
          <w:p>
            <w:pPr>
              <w:pStyle w:val="null3"/>
              <w:jc w:val="both"/>
            </w:pPr>
            <w:r>
              <w:rPr>
                <w:rFonts w:ascii="仿宋_GB2312" w:hAnsi="仿宋_GB2312" w:cs="仿宋_GB2312" w:eastAsia="仿宋_GB2312"/>
              </w:rPr>
              <w:t>②装修工程为2年；</w:t>
            </w:r>
          </w:p>
          <w:p>
            <w:pPr>
              <w:pStyle w:val="null3"/>
              <w:jc w:val="both"/>
            </w:pPr>
            <w:r>
              <w:rPr>
                <w:rFonts w:ascii="仿宋_GB2312" w:hAnsi="仿宋_GB2312" w:cs="仿宋_GB2312" w:eastAsia="仿宋_GB2312"/>
              </w:rPr>
              <w:t>③电气管线、给排水管道、设备安装工程为2年。</w:t>
            </w:r>
          </w:p>
          <w:p>
            <w:pPr>
              <w:pStyle w:val="null3"/>
            </w:pPr>
            <w:r>
              <w:rPr>
                <w:rFonts w:ascii="仿宋_GB2312" w:hAnsi="仿宋_GB2312" w:cs="仿宋_GB2312" w:eastAsia="仿宋_GB2312"/>
                <w:sz w:val="21"/>
              </w:rPr>
              <w:t>九、工程量清单：详见附件。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工程质量符合国家现行有关施工质量验收规范要求“合格”标准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1、满足磋商文件、工程量清单要求。 2、本项目不组织集中现场踏勘活动。潜在供应商可根据自身需要自行开展现场踏勘工作，踏勘过程中产生的一切费用、安全责任及相关风险由供应商自行承担。现场踏勘咨询联系人：龚老师，联系电话：13991913369。</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1、采购标的对应的中小企业划分标准所属行业为建筑业。建筑业的划型标准为：营业收入80000万元以下或资产总额 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2、落实的政府采购政策：（1）《政府采购促进中小企业发展管理办法》（财库〔2020〕46号）；（2）《关于进一步加大政府采购支持中小企业力度的通知》（财库〔2022〕19号）；（3）《财政部 司法部关于政府采购支持监狱企业发展有关问题的通知》（财库〔2014〕68号）；（4）《国务院办公厅关于建立政府强制采购节能产品制度的通知》（国办发〔2007〕51号）；（5）《财政部 民政部 中国残疾人联合会关于促进残疾人就业政府采购政策的通知》（财库〔2017〕141号）；（6）《财政部 发展改革委 生态环境部 市场监管总局关于调整优化节能产品、环境标志产品政府采购执行机制的通知》（财库〔2019〕9号）；（7）《关于印发环境标志产品政府采购品目清单的通知》（财库〔2019〕18号）；（8）《关于印发节能产品政府采购品目清单的通知》（财库〔2019〕19号）；（9）陕西省财政厅关于进一步加强政府绿色采购有关问题的通知--陕财办采〔2021〕29号；（10）《财政部 农业农村部 国家乡村振兴局关于运用政府采购政策支持乡村产业振兴的通知》财库〔2021〕19号；（11）《陕西省财政厅关于印发陕西省中小企业政府采购信用融资办法》（陕财办采〔2018〕23号）；（12）《陕西省财政厅关于加快推进我省中小企业政府采购信用融资工作的通知》（陕财办采〔2020〕15号）；（13）其他需要落实的政府采购政策（如有最新颁布的政府采购政策，按最新的文件执行）。 3、各供应商所有分项报价（与最后磋商报价比例一致）同比例下浮。 4、本项目专门面向中小企业采购（残疾人福利性单位、监狱企业视同小型、微型企业）。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提供2025年11月至今已缴纳的至少一个月的税收缴纳证明（时间以税款所属日期为准)，依法免税的单位应提供相关证明材料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提供具有履行本合同所必需的设备和专业技术能力的书面声明</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参加本次政府采购活动前三年内在经营活动中没有重大违法记录</w:t>
            </w:r>
          </w:p>
        </w:tc>
        <w:tc>
          <w:tcPr>
            <w:tcW w:type="dxa" w:w="3322"/>
          </w:tcPr>
          <w:p>
            <w:pPr>
              <w:pStyle w:val="null3"/>
            </w:pPr>
            <w:r>
              <w:rPr>
                <w:rFonts w:ascii="仿宋_GB2312" w:hAnsi="仿宋_GB2312" w:cs="仿宋_GB2312" w:eastAsia="仿宋_GB2312"/>
              </w:rPr>
              <w:t>参加本次政府采购活动前三年内在经营活动中没有重大违法记录</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未被列入信用中国网站(www.creditchina.gov.cn)“失信被执行人、重大税收违法失信主体”；未被列入信用中国网站(www.creditchina.gov.cn)“失信被执行人、重大税收违法失信主体”；未被列入中国政府采购网(www.ccgp.gov.cn)“政府采购严重违法失信行为信息记录”名单中</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法定代表人授权委托书、被授权人身份证(法定代表人参加磋商时,只需提供法定代表人身份证；被授权人参加磋商时，需提供磋商响应截止时间前三个月至少一个月的基本养老保险参保缴费证明）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供应商须具备建设行政主管部门颁发的建筑工程施工总承包三级及以上资质证书或建筑装修装饰工程专业二级及以上资质证书，同时具备合格有效的安全生产许可证</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拟派项目经理具备建筑工程专业二级或以上注册建造师资格，具有有效的安全生产考核合格证书(建安B证)，在本单位注册且无在建工程</w:t>
            </w:r>
          </w:p>
        </w:tc>
        <w:tc>
          <w:tcPr>
            <w:tcW w:type="dxa" w:w="1661"/>
          </w:tcPr>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响应函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响应文件报价</w:t>
            </w:r>
          </w:p>
        </w:tc>
        <w:tc>
          <w:tcPr>
            <w:tcW w:type="dxa" w:w="1661"/>
          </w:tcPr>
          <w:p>
            <w:pPr>
              <w:pStyle w:val="null3"/>
            </w:pPr>
            <w:r>
              <w:rPr>
                <w:rFonts w:ascii="仿宋_GB2312" w:hAnsi="仿宋_GB2312" w:cs="仿宋_GB2312" w:eastAsia="仿宋_GB2312"/>
              </w:rPr>
              <w:t>已标价工程量清单 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响应文件递交截止之日起90日历日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磋商响应文件响应性</w:t>
            </w:r>
          </w:p>
        </w:tc>
        <w:tc>
          <w:tcPr>
            <w:tcW w:type="dxa" w:w="3322"/>
          </w:tcPr>
          <w:p>
            <w:pPr>
              <w:pStyle w:val="null3"/>
            </w:pPr>
            <w:r>
              <w:rPr>
                <w:rFonts w:ascii="仿宋_GB2312" w:hAnsi="仿宋_GB2312" w:cs="仿宋_GB2312" w:eastAsia="仿宋_GB2312"/>
              </w:rPr>
              <w:t>工期、保修期、付款进度响应磋商文件要求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 ①施工进度计划横道图 ②进度计划保证措施 ③工期保证措施。 二、评审标准 1、完整性：方案必须全面，对评审内容中的各项要求有详细描述； 2、可实施性：切合本项目实际情况，提出步骤清晰、合理的方案； 3、针对性：方案能够紧扣项目实际情况，内容科学合理。 三、赋分标准（满分4.5分） ①施工进度计划横道图：每完全满足一个评审标准得0.5分，满分1.5分； ②进度计划保证措施：每完全满足一个评审标准得0.5分，满分1.5分； ③工期保证措施：每完全满足一个评审标准得0.5分，满分1.5分。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 ①施工质量的检验制度②确保质量的技术组织措施③施工质量控制措施 二、评审标准 1、完整性：方案必须全面，对评审内容中的各项要求有详细描述； 2、可实施性：切合本项目实际情况，提出步骤清晰、合理的方案； 3、针对性：方案能够紧扣项目实际情况，内容科学合理。 三、赋分标准（满分7.5分） ①施工质量检验制度：每完全满足一个评审标准得0.5分，满分1.5分； ②确保质量的技术组织措施：每完全满足一个评审标准得1分，满分3分； ③施工质量控制措施：每完全满足一个评审标准得1 分，满分3分；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供应商针对本项目编制完善的资源配置计划，内容包含：①劳动力资源配置计划 ②施工机械设备投入计划 ③主要施工材料供应计划。 二、评审标准 1、完整性：方案必须全面，对评审内容中的各项要求有详细描述； 2、可实施性：切合本项目实际情况，提出步骤清晰、合理的方案； 3、针对性：方案能够紧扣项目实际情况，内容科学合理。 三、赋分标准（满分7.5分） ①劳动力资源配置计划：每完全满足一个评审标准得1分，满分3分； ②施工机械设备投入计划：每完全满足一个评审标准得1分，满分3分； ③主要施工材料供应计划：每完全满足一个评审标准得0.5分，满分1.5分。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供应商针对本项目编制完整的安全施工措施，内容包含：①安全生产管理制度②安全施工措施③安全应急预案④安全生产教育。 二、评审标准 1、完整性：方案必须全面，对评审内容中的各项要求有详细描述；2、可实施性：切合本项目实际情况，提出步骤清晰、合理的方案；3、针对性：方案能够紧扣项目实际情况，内容科学合理。 三、赋分标准（满分9分） ①安全生产管理制度：每完全满足一个评审标准得0.5分，满分1.5分； ②安全施工措施：每完全满足一个评审标准得1分，满分3分； ③安全应急预案：每完全满足一个评审标准得1分，满分3分； ④安全生产教育：每完全满足一个评审标准得0.5分，满分1.5分。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供应商针对本项目编制完整的文明施工措施，内容包含：①文明施工管理目标及技术措施 ②文明施工现场管理：材料管理、扰民措施。 二、评审标准 1、完整性：方案必须全面，对评审内容中的各项要求有详细描述；2、可实施性：切合本项目实际情况，提出步骤清晰、合理的方案； 3、针对性：方案能够紧扣项目实际情况，内容科学合理。 三、赋分标准（满分6分） ①文明施工管理目标及技术措施：每完全满足一个评审标准得1分，满分3分； ②文明施工现场管理：每完全满足一个评审标准得1分，满分3分。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 供应商针对本项目编制主要管理措施，内容包含：①成品保护措施 ②环境保护措施。 二、评审标准 1、完整性：方案必须全面，对评审内容中的各项要求有详细描述； 2、可实施性：切合本项目实际情况，提出步骤清晰、合理的方案； 3、针对性：方案能够紧扣项目实际情况，内容科学合理。 二、赋分标准（满分3分） ①成品保护措施：每完全满足一个评审标准得0.5分，满分1.5分； ②环境保护措施：每完全满足一个评审标准得0.5分，满分1.5分。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 ②施工准备：技术准备、材料准备、机械设备、机具准备 ③施工平面布置与安排。二、评审标准 1、完整性：方案必须全面，对评审内容中的各项要求有详细描述； 2、可实施性：切合本项目实际情况，提出步骤清晰、合理的方案； 3、针对性：方案能够紧扣项目实际情况，内容科学合理。 二、赋分标准（满分6分） ①施工目标：每完全满足一个评审标准得0.5分，满分1.5分； ②施工准备：每完全满足一个评审标准得0.5分，满分1.5分；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 供应商针对本项目编制完善的分部分项工程施工方案，内容包含：①工程重难点及解决措施 ②分部分项工程施工方法 ③施工质量通病防治措施。 二、评审标准 1、完整性：方案必须全面，对评审内容中的各项要求有详细描述；2、可实施性：切合本项目实际情况，提出步骤清晰、合理的方案； 3、针对性：方案能够紧扣项目实际情况，内容科学合理。 三、赋分标准（满分6分） ①工程重难点及解决措施：每完全满足一个评审标准得1分，满分3分； ②分部分项工程施工方法：每完全满足一个评审标准得0.5分，满分1.5分； ③施工质量通病防治措施：每完全满足一个评审标准得0.5分，满分1.5分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供应商针对本项目编制科学的项目管理机构，内容包含：①管理机构的配备计划②组织机构的岗位职责。二、评审标准 1、完整性：方案必须全面，对评审内容中的各项要求有详细描述； 2、可实施性：切合本项目实际情况，提出步骤清晰、合理的方案；3、针对性：方案能够紧扣项目实际情况，内容科学合理。三、赋分标准（满分4.5分） ①管理机构的配备计划：每完全满足一个评审标准得1分，满分3分；②组织机构的岗位职责：每完全满足一个评审标准得0.5分，满分1.5分。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1.具备工程类中级及以上技术职称得2分，其他不得分。 评审依据：以加盖申请人公章（或电子签章）的职称证书复印件为准。 2.具有本科及以上学历得2分；具有专科学历得1分； 评审依据：以加盖供应商公章（或电子签章）的毕业证书或学信网证明资料复印件为准。 3.供应商需提供2023年6月至今拟投入本项目的项目经理的类似业绩（以合同签订时间为准），每份得1分，满分3分。(提供合同复印件并加盖公章)。</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供应商提供2023年06月（以合同签订时间为准）至今类似项目业绩，每份得3分，满分9分。(提供合同复印件并加盖公章，可与以上项目经理业绩重复)。</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满足磋商文件要求且最后磋商报价最低的供应商的价格为磋商基准价，其价格分为满分。其他供应商的价格分统一按照下列公式计算：磋商报价得分=（磋商基准价/最后磋商报价）×30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