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32474">
      <w:pPr>
        <w:pStyle w:val="4"/>
        <w:spacing w:line="360" w:lineRule="auto"/>
        <w:rPr>
          <w:rStyle w:val="8"/>
          <w:rFonts w:hint="eastAsia" w:asciiTheme="minorEastAsia" w:hAnsiTheme="minorEastAsia" w:eastAsiaTheme="minorEastAsia" w:cstheme="minorEastAsia"/>
          <w:color w:val="auto"/>
          <w:sz w:val="21"/>
          <w:szCs w:val="21"/>
          <w:highlight w:val="none"/>
        </w:rPr>
      </w:pPr>
      <w:r>
        <w:rPr>
          <w:rStyle w:val="8"/>
          <w:rFonts w:hint="eastAsia" w:asciiTheme="minorEastAsia" w:hAnsiTheme="minorEastAsia" w:eastAsiaTheme="minorEastAsia" w:cstheme="minorEastAsia"/>
          <w:color w:val="auto"/>
          <w:sz w:val="21"/>
          <w:szCs w:val="21"/>
          <w:highlight w:val="none"/>
        </w:rPr>
        <w:t>拟签订的合同文本</w:t>
      </w:r>
    </w:p>
    <w:p w14:paraId="2AA942BE">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p>
    <w:p w14:paraId="054314EB">
      <w:pPr>
        <w:tabs>
          <w:tab w:val="left" w:pos="735"/>
        </w:tabs>
        <w:autoSpaceDE w:val="0"/>
        <w:autoSpaceDN w:val="0"/>
        <w:adjustRightInd w:val="0"/>
        <w:snapToGrid w:val="0"/>
        <w:spacing w:before="240" w:beforeLines="100" w:line="360" w:lineRule="auto"/>
        <w:rPr>
          <w:rFonts w:hint="eastAsia" w:asciiTheme="minorEastAsia" w:hAnsiTheme="minorEastAsia" w:eastAsiaTheme="minorEastAsia" w:cstheme="minorEastAsia"/>
          <w:b/>
          <w:bCs/>
          <w:color w:val="auto"/>
          <w:sz w:val="21"/>
          <w:szCs w:val="21"/>
          <w:highlight w:val="none"/>
          <w:lang w:val="zh-CN"/>
        </w:rPr>
      </w:pPr>
      <w:r>
        <w:rPr>
          <w:rFonts w:hint="eastAsia" w:asciiTheme="minorEastAsia" w:hAnsiTheme="minorEastAsia" w:eastAsiaTheme="minorEastAsia" w:cstheme="minorEastAsia"/>
          <w:b/>
          <w:bCs/>
          <w:color w:val="auto"/>
          <w:sz w:val="21"/>
          <w:szCs w:val="21"/>
          <w:highlight w:val="none"/>
          <w:lang w:val="zh-CN"/>
        </w:rPr>
        <w:t>甲方：</w:t>
      </w:r>
      <w:r>
        <w:rPr>
          <w:rFonts w:hint="eastAsia" w:asciiTheme="minorEastAsia" w:hAnsiTheme="minorEastAsia" w:eastAsiaTheme="minorEastAsia" w:cstheme="minorEastAsia"/>
          <w:bCs/>
          <w:color w:val="auto"/>
          <w:sz w:val="21"/>
          <w:szCs w:val="21"/>
          <w:highlight w:val="none"/>
          <w:lang w:val="zh-CN"/>
        </w:rPr>
        <w:t xml:space="preserve">（前款所称采购人）     </w:t>
      </w:r>
      <w:r>
        <w:rPr>
          <w:rFonts w:hint="eastAsia" w:asciiTheme="minorEastAsia" w:hAnsiTheme="minorEastAsia" w:eastAsiaTheme="minorEastAsia" w:cstheme="minorEastAsia"/>
          <w:bCs/>
          <w:color w:val="auto"/>
          <w:sz w:val="21"/>
          <w:szCs w:val="21"/>
          <w:highlight w:val="none"/>
        </w:rPr>
        <w:t xml:space="preserve">    </w:t>
      </w:r>
      <w:r>
        <w:rPr>
          <w:rFonts w:hint="eastAsia" w:asciiTheme="minorEastAsia" w:hAnsiTheme="minorEastAsia" w:eastAsiaTheme="minorEastAsia" w:cstheme="minorEastAsia"/>
          <w:bCs/>
          <w:color w:val="auto"/>
          <w:sz w:val="21"/>
          <w:szCs w:val="21"/>
          <w:highlight w:val="none"/>
          <w:lang w:val="zh-CN"/>
        </w:rPr>
        <w:t>住所：</w:t>
      </w:r>
    </w:p>
    <w:p w14:paraId="1370A47F">
      <w:pPr>
        <w:tabs>
          <w:tab w:val="left" w:pos="735"/>
        </w:tabs>
        <w:autoSpaceDE w:val="0"/>
        <w:autoSpaceDN w:val="0"/>
        <w:adjustRightInd w:val="0"/>
        <w:snapToGrid w:val="0"/>
        <w:spacing w:line="360" w:lineRule="auto"/>
        <w:rPr>
          <w:rFonts w:hint="eastAsia" w:asciiTheme="minorEastAsia" w:hAnsiTheme="minorEastAsia" w:eastAsiaTheme="minorEastAsia" w:cstheme="minorEastAsia"/>
          <w:bCs/>
          <w:color w:val="auto"/>
          <w:sz w:val="21"/>
          <w:szCs w:val="21"/>
          <w:highlight w:val="none"/>
          <w:lang w:val="zh-CN"/>
        </w:rPr>
      </w:pPr>
      <w:r>
        <w:rPr>
          <w:rFonts w:hint="eastAsia" w:asciiTheme="minorEastAsia" w:hAnsiTheme="minorEastAsia" w:eastAsiaTheme="minorEastAsia" w:cstheme="minorEastAsia"/>
          <w:b/>
          <w:bCs/>
          <w:color w:val="auto"/>
          <w:sz w:val="21"/>
          <w:szCs w:val="21"/>
          <w:highlight w:val="none"/>
          <w:lang w:val="zh-CN"/>
        </w:rPr>
        <w:t>乙方：</w:t>
      </w:r>
      <w:r>
        <w:rPr>
          <w:rFonts w:hint="eastAsia" w:asciiTheme="minorEastAsia" w:hAnsiTheme="minorEastAsia" w:eastAsiaTheme="minorEastAsia" w:cstheme="minorEastAsia"/>
          <w:bCs/>
          <w:color w:val="auto"/>
          <w:sz w:val="21"/>
          <w:szCs w:val="21"/>
          <w:highlight w:val="none"/>
          <w:lang w:val="zh-CN"/>
        </w:rPr>
        <w:t>（前款所称</w:t>
      </w:r>
      <w:r>
        <w:rPr>
          <w:rFonts w:hint="eastAsia" w:asciiTheme="minorEastAsia" w:hAnsiTheme="minorEastAsia" w:eastAsiaTheme="minorEastAsia" w:cstheme="minorEastAsia"/>
          <w:bCs/>
          <w:color w:val="auto"/>
          <w:sz w:val="21"/>
          <w:szCs w:val="21"/>
          <w:highlight w:val="none"/>
        </w:rPr>
        <w:t>成交供应商</w:t>
      </w:r>
      <w:r>
        <w:rPr>
          <w:rFonts w:hint="eastAsia" w:asciiTheme="minorEastAsia" w:hAnsiTheme="minorEastAsia" w:eastAsiaTheme="minorEastAsia" w:cstheme="minorEastAsia"/>
          <w:bCs/>
          <w:color w:val="auto"/>
          <w:sz w:val="21"/>
          <w:szCs w:val="21"/>
          <w:highlight w:val="none"/>
          <w:lang w:val="zh-CN"/>
        </w:rPr>
        <w:t>）     住所：</w:t>
      </w:r>
    </w:p>
    <w:p w14:paraId="29D20EF6">
      <w:pPr>
        <w:numPr>
          <w:ilvl w:val="0"/>
          <w:numId w:val="1"/>
        </w:num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bookmarkStart w:id="0" w:name="_Toc19515384"/>
      <w:r>
        <w:rPr>
          <w:rFonts w:hint="eastAsia" w:asciiTheme="minorEastAsia" w:hAnsiTheme="minorEastAsia" w:eastAsiaTheme="minorEastAsia" w:cstheme="minorEastAsia"/>
          <w:color w:val="auto"/>
          <w:sz w:val="21"/>
          <w:szCs w:val="21"/>
          <w:highlight w:val="none"/>
        </w:rPr>
        <w:t>合同内容</w:t>
      </w:r>
    </w:p>
    <w:bookmarkEnd w:id="0"/>
    <w:p w14:paraId="19C7631C">
      <w:pPr>
        <w:numPr>
          <w:ilvl w:val="0"/>
          <w:numId w:val="2"/>
        </w:num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服务范围：</w:t>
      </w:r>
    </w:p>
    <w:p w14:paraId="25D15E81">
      <w:pPr>
        <w:numPr>
          <w:ilvl w:val="0"/>
          <w:numId w:val="0"/>
        </w:num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2、服务内容和标准：</w:t>
      </w:r>
    </w:p>
    <w:p w14:paraId="26E10EFA">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bookmarkStart w:id="1" w:name="_Toc19515385"/>
      <w:r>
        <w:rPr>
          <w:rFonts w:hint="eastAsia" w:asciiTheme="minorEastAsia" w:hAnsiTheme="minorEastAsia" w:eastAsiaTheme="minorEastAsia" w:cstheme="minorEastAsia"/>
          <w:color w:val="auto"/>
          <w:sz w:val="21"/>
          <w:szCs w:val="21"/>
          <w:highlight w:val="none"/>
        </w:rPr>
        <w:t>二、合同价款</w:t>
      </w:r>
      <w:bookmarkEnd w:id="1"/>
    </w:p>
    <w:p w14:paraId="4D55B0DE">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1、合同总价：</w:t>
      </w:r>
      <w:r>
        <w:rPr>
          <w:rFonts w:hint="eastAsia" w:asciiTheme="minorEastAsia" w:hAnsiTheme="minorEastAsia" w:eastAsiaTheme="minorEastAsia" w:cstheme="minorEastAsia"/>
          <w:color w:val="auto"/>
          <w:sz w:val="21"/>
          <w:szCs w:val="21"/>
          <w:highlight w:val="none"/>
          <w:lang w:val="en-US" w:eastAsia="zh-CN"/>
        </w:rPr>
        <w:t>人民币大写：     （¥：）</w:t>
      </w:r>
    </w:p>
    <w:p w14:paraId="029AE540">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2、合同为固定总价合同，不受市场价变化的影响。</w:t>
      </w:r>
    </w:p>
    <w:p w14:paraId="1EF95772">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bookmarkStart w:id="2" w:name="_Toc19515386"/>
      <w:r>
        <w:rPr>
          <w:rFonts w:hint="eastAsia" w:asciiTheme="minorEastAsia" w:hAnsiTheme="minorEastAsia" w:eastAsiaTheme="minorEastAsia" w:cstheme="minorEastAsia"/>
          <w:color w:val="auto"/>
          <w:sz w:val="21"/>
          <w:szCs w:val="21"/>
          <w:highlight w:val="none"/>
        </w:rPr>
        <w:t>三、合同结算</w:t>
      </w:r>
      <w:bookmarkEnd w:id="2"/>
    </w:p>
    <w:p w14:paraId="6950386A">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lang w:eastAsia="zh-CN"/>
        </w:rPr>
      </w:pPr>
      <w:bookmarkStart w:id="3" w:name="_Toc19515387"/>
      <w:r>
        <w:rPr>
          <w:rFonts w:hint="eastAsia" w:asciiTheme="minorEastAsia" w:hAnsiTheme="minorEastAsia" w:eastAsiaTheme="minorEastAsia" w:cstheme="minorEastAsia"/>
          <w:color w:val="auto"/>
          <w:sz w:val="21"/>
          <w:szCs w:val="21"/>
          <w:highlight w:val="none"/>
        </w:rPr>
        <w:t>1、付款比例：按月付款，服务每满1个月，</w:t>
      </w:r>
      <w:r>
        <w:rPr>
          <w:rFonts w:hint="eastAsia" w:asciiTheme="minorEastAsia" w:hAnsiTheme="minorEastAsia" w:eastAsiaTheme="minorEastAsia" w:cstheme="minorEastAsia"/>
          <w:color w:val="auto"/>
          <w:sz w:val="21"/>
          <w:szCs w:val="21"/>
          <w:highlight w:val="none"/>
          <w:lang w:val="en-US" w:eastAsia="zh-CN"/>
        </w:rPr>
        <w:t>乙方</w:t>
      </w:r>
      <w:r>
        <w:rPr>
          <w:rFonts w:hint="eastAsia" w:asciiTheme="minorEastAsia" w:hAnsiTheme="minorEastAsia" w:eastAsiaTheme="minorEastAsia" w:cstheme="minorEastAsia"/>
          <w:color w:val="auto"/>
          <w:sz w:val="21"/>
          <w:szCs w:val="21"/>
          <w:highlight w:val="none"/>
        </w:rPr>
        <w:t>在</w:t>
      </w:r>
      <w:r>
        <w:rPr>
          <w:rFonts w:hint="eastAsia" w:asciiTheme="minorEastAsia" w:hAnsiTheme="minorEastAsia" w:eastAsiaTheme="minorEastAsia" w:cstheme="minorEastAsia"/>
          <w:color w:val="auto"/>
          <w:sz w:val="21"/>
          <w:szCs w:val="21"/>
          <w:highlight w:val="none"/>
          <w:lang w:eastAsia="zh-CN"/>
        </w:rPr>
        <w:t>次</w:t>
      </w:r>
      <w:r>
        <w:rPr>
          <w:rFonts w:hint="eastAsia" w:asciiTheme="minorEastAsia" w:hAnsiTheme="minorEastAsia" w:eastAsiaTheme="minorEastAsia" w:cstheme="minorEastAsia"/>
          <w:color w:val="auto"/>
          <w:sz w:val="21"/>
          <w:szCs w:val="21"/>
          <w:highlight w:val="none"/>
        </w:rPr>
        <w:t>月将全额发票交给</w:t>
      </w:r>
      <w:r>
        <w:rPr>
          <w:rFonts w:hint="eastAsia" w:asciiTheme="minorEastAsia" w:hAnsiTheme="minorEastAsia" w:eastAsiaTheme="minorEastAsia" w:cstheme="minorEastAsia"/>
          <w:color w:val="auto"/>
          <w:sz w:val="21"/>
          <w:szCs w:val="21"/>
          <w:highlight w:val="none"/>
          <w:lang w:val="en-US" w:eastAsia="zh-CN"/>
        </w:rPr>
        <w:t>甲方</w:t>
      </w:r>
      <w:r>
        <w:rPr>
          <w:rFonts w:hint="eastAsia" w:asciiTheme="minorEastAsia" w:hAnsiTheme="minorEastAsia" w:eastAsiaTheme="minorEastAsia" w:cstheme="minorEastAsia"/>
          <w:color w:val="auto"/>
          <w:sz w:val="21"/>
          <w:szCs w:val="21"/>
          <w:highlight w:val="none"/>
        </w:rPr>
        <w:t>后，</w:t>
      </w:r>
      <w:r>
        <w:rPr>
          <w:rFonts w:hint="eastAsia" w:asciiTheme="minorEastAsia" w:hAnsiTheme="minorEastAsia" w:eastAsiaTheme="minorEastAsia" w:cstheme="minorEastAsia"/>
          <w:color w:val="auto"/>
          <w:sz w:val="21"/>
          <w:szCs w:val="21"/>
          <w:highlight w:val="none"/>
          <w:lang w:val="en-US" w:eastAsia="zh-CN"/>
        </w:rPr>
        <w:t>甲方</w:t>
      </w:r>
      <w:r>
        <w:rPr>
          <w:rFonts w:hint="eastAsia" w:asciiTheme="minorEastAsia" w:hAnsiTheme="minorEastAsia" w:eastAsiaTheme="minorEastAsia" w:cstheme="minorEastAsia"/>
          <w:color w:val="auto"/>
          <w:sz w:val="21"/>
          <w:szCs w:val="21"/>
          <w:highlight w:val="none"/>
        </w:rPr>
        <w:t>在15个工作日内完成付款。</w:t>
      </w:r>
    </w:p>
    <w:p w14:paraId="24AD6DC8">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2、结算方式：银行转账。</w:t>
      </w:r>
    </w:p>
    <w:p w14:paraId="5C25CC78">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3、结算单位：由</w:t>
      </w:r>
      <w:r>
        <w:rPr>
          <w:rFonts w:hint="eastAsia" w:asciiTheme="minorEastAsia" w:hAnsiTheme="minorEastAsia" w:eastAsiaTheme="minorEastAsia" w:cstheme="minorEastAsia"/>
          <w:color w:val="auto"/>
          <w:sz w:val="21"/>
          <w:szCs w:val="21"/>
          <w:highlight w:val="none"/>
          <w:u w:val="none"/>
          <w:lang w:val="en-US" w:eastAsia="zh-CN"/>
        </w:rPr>
        <w:t>甲方</w:t>
      </w:r>
      <w:r>
        <w:rPr>
          <w:rFonts w:hint="eastAsia" w:asciiTheme="minorEastAsia" w:hAnsiTheme="minorEastAsia" w:eastAsiaTheme="minorEastAsia" w:cstheme="minorEastAsia"/>
          <w:color w:val="auto"/>
          <w:sz w:val="21"/>
          <w:szCs w:val="21"/>
          <w:highlight w:val="none"/>
        </w:rPr>
        <w:t>负责结算，乙方开具全额发票交采购人。</w:t>
      </w:r>
    </w:p>
    <w:p w14:paraId="0D658B20">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四、履行期限、地点</w:t>
      </w:r>
      <w:bookmarkEnd w:id="3"/>
    </w:p>
    <w:p w14:paraId="29CD9492">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1、履行期限：</w:t>
      </w:r>
    </w:p>
    <w:p w14:paraId="08419BCA">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根据《财政部关于推进和完善服务项目政府采购有关问题的通知》（财库〔2014〕37 号）有关规定，本项目在合同期满前， 采购人将对中标供应商进行考核，根据服务满意程度，采购人有权决定是否续签合同，累计合同履行期限不超过 3 年。</w:t>
      </w:r>
    </w:p>
    <w:p w14:paraId="7E0284AD">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2、地点：</w:t>
      </w:r>
      <w:r>
        <w:rPr>
          <w:rFonts w:hint="eastAsia" w:asciiTheme="minorEastAsia" w:hAnsiTheme="minorEastAsia" w:eastAsiaTheme="minorEastAsia" w:cstheme="minorEastAsia"/>
          <w:color w:val="auto"/>
          <w:sz w:val="21"/>
          <w:szCs w:val="21"/>
          <w:highlight w:val="none"/>
          <w:lang w:val="en-US" w:eastAsia="zh-CN"/>
        </w:rPr>
        <w:t>西安理工大学金花校区</w:t>
      </w:r>
    </w:p>
    <w:p w14:paraId="52047013">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bookmarkStart w:id="4" w:name="_Toc19515390"/>
      <w:r>
        <w:rPr>
          <w:rFonts w:hint="eastAsia" w:asciiTheme="minorEastAsia" w:hAnsiTheme="minorEastAsia" w:eastAsiaTheme="minorEastAsia" w:cstheme="minorEastAsia"/>
          <w:color w:val="auto"/>
          <w:sz w:val="21"/>
          <w:szCs w:val="21"/>
          <w:highlight w:val="none"/>
        </w:rPr>
        <w:t>五、</w:t>
      </w:r>
      <w:bookmarkEnd w:id="4"/>
      <w:r>
        <w:rPr>
          <w:rFonts w:hint="eastAsia" w:asciiTheme="minorEastAsia" w:hAnsiTheme="minorEastAsia" w:eastAsiaTheme="minorEastAsia" w:cstheme="minorEastAsia"/>
          <w:color w:val="auto"/>
          <w:sz w:val="21"/>
          <w:szCs w:val="21"/>
          <w:highlight w:val="none"/>
          <w:lang w:val="en-US" w:eastAsia="zh-CN"/>
        </w:rPr>
        <w:t>履约保证金</w:t>
      </w:r>
    </w:p>
    <w:p w14:paraId="762F8C91">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1、乙方</w:t>
      </w:r>
      <w:r>
        <w:rPr>
          <w:rFonts w:hint="eastAsia" w:asciiTheme="minorEastAsia" w:hAnsiTheme="minorEastAsia" w:eastAsiaTheme="minorEastAsia" w:cstheme="minorEastAsia"/>
          <w:color w:val="auto"/>
          <w:sz w:val="21"/>
          <w:szCs w:val="21"/>
          <w:highlight w:val="none"/>
        </w:rPr>
        <w:t>须在签订合同后十日内向</w:t>
      </w:r>
      <w:r>
        <w:rPr>
          <w:rFonts w:hint="eastAsia" w:asciiTheme="minorEastAsia" w:hAnsiTheme="minorEastAsia" w:eastAsiaTheme="minorEastAsia" w:cstheme="minorEastAsia"/>
          <w:color w:val="auto"/>
          <w:sz w:val="21"/>
          <w:szCs w:val="21"/>
          <w:highlight w:val="none"/>
          <w:lang w:val="en-US" w:eastAsia="zh-CN"/>
        </w:rPr>
        <w:t>甲方</w:t>
      </w:r>
      <w:r>
        <w:rPr>
          <w:rFonts w:hint="eastAsia" w:asciiTheme="minorEastAsia" w:hAnsiTheme="minorEastAsia" w:eastAsiaTheme="minorEastAsia" w:cstheme="minorEastAsia"/>
          <w:color w:val="auto"/>
          <w:sz w:val="21"/>
          <w:szCs w:val="21"/>
          <w:highlight w:val="none"/>
        </w:rPr>
        <w:t>缴纳</w:t>
      </w:r>
      <w:r>
        <w:rPr>
          <w:rFonts w:hint="eastAsia" w:asciiTheme="minorEastAsia" w:hAnsiTheme="minorEastAsia" w:eastAsiaTheme="minorEastAsia" w:cstheme="minorEastAsia"/>
          <w:color w:val="auto"/>
          <w:sz w:val="21"/>
          <w:szCs w:val="21"/>
          <w:highlight w:val="none"/>
          <w:lang w:val="en-US" w:eastAsia="zh-CN"/>
        </w:rPr>
        <w:t>5万元的</w:t>
      </w:r>
      <w:r>
        <w:rPr>
          <w:rFonts w:hint="eastAsia" w:asciiTheme="minorEastAsia" w:hAnsiTheme="minorEastAsia" w:eastAsiaTheme="minorEastAsia" w:cstheme="minorEastAsia"/>
          <w:color w:val="auto"/>
          <w:sz w:val="21"/>
          <w:szCs w:val="21"/>
          <w:highlight w:val="none"/>
        </w:rPr>
        <w:t>履约保证金</w:t>
      </w:r>
      <w:r>
        <w:rPr>
          <w:rFonts w:hint="eastAsia" w:asciiTheme="minorEastAsia" w:hAnsiTheme="minorEastAsia" w:eastAsiaTheme="minorEastAsia" w:cstheme="minorEastAsia"/>
          <w:color w:val="auto"/>
          <w:sz w:val="21"/>
          <w:szCs w:val="21"/>
          <w:highlight w:val="none"/>
          <w:lang w:eastAsia="zh-CN"/>
        </w:rPr>
        <w:t>。</w:t>
      </w:r>
    </w:p>
    <w:p w14:paraId="7431DF16">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2、乙方</w:t>
      </w:r>
      <w:r>
        <w:rPr>
          <w:rFonts w:hint="eastAsia" w:asciiTheme="minorEastAsia" w:hAnsiTheme="minorEastAsia" w:eastAsiaTheme="minorEastAsia" w:cstheme="minorEastAsia"/>
          <w:color w:val="auto"/>
          <w:sz w:val="21"/>
          <w:szCs w:val="21"/>
          <w:highlight w:val="none"/>
        </w:rPr>
        <w:t>按要求完成各项工作，且考核合格，服务期结束后</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lang w:val="en-US" w:eastAsia="zh-CN"/>
        </w:rPr>
        <w:t>日</w:t>
      </w:r>
      <w:r>
        <w:rPr>
          <w:rFonts w:hint="eastAsia" w:asciiTheme="minorEastAsia" w:hAnsiTheme="minorEastAsia" w:eastAsiaTheme="minorEastAsia" w:cstheme="minorEastAsia"/>
          <w:color w:val="auto"/>
          <w:sz w:val="21"/>
          <w:szCs w:val="21"/>
          <w:highlight w:val="none"/>
        </w:rPr>
        <w:t>内由</w:t>
      </w:r>
      <w:r>
        <w:rPr>
          <w:rFonts w:hint="eastAsia" w:asciiTheme="minorEastAsia" w:hAnsiTheme="minorEastAsia" w:eastAsiaTheme="minorEastAsia" w:cstheme="minorEastAsia"/>
          <w:color w:val="auto"/>
          <w:sz w:val="21"/>
          <w:szCs w:val="21"/>
          <w:highlight w:val="none"/>
          <w:lang w:val="en-US" w:eastAsia="zh-CN"/>
        </w:rPr>
        <w:t>甲方</w:t>
      </w:r>
      <w:r>
        <w:rPr>
          <w:rFonts w:hint="eastAsia" w:asciiTheme="minorEastAsia" w:hAnsiTheme="minorEastAsia" w:eastAsiaTheme="minorEastAsia" w:cstheme="minorEastAsia"/>
          <w:color w:val="auto"/>
          <w:sz w:val="21"/>
          <w:szCs w:val="21"/>
          <w:highlight w:val="none"/>
        </w:rPr>
        <w:t>向</w:t>
      </w:r>
      <w:r>
        <w:rPr>
          <w:rFonts w:hint="eastAsia" w:asciiTheme="minorEastAsia" w:hAnsiTheme="minorEastAsia" w:eastAsiaTheme="minorEastAsia" w:cstheme="minorEastAsia"/>
          <w:color w:val="auto"/>
          <w:sz w:val="21"/>
          <w:szCs w:val="21"/>
          <w:highlight w:val="none"/>
          <w:lang w:val="en-US" w:eastAsia="zh-CN"/>
        </w:rPr>
        <w:t>乙方</w:t>
      </w:r>
      <w:r>
        <w:rPr>
          <w:rFonts w:hint="eastAsia" w:asciiTheme="minorEastAsia" w:hAnsiTheme="minorEastAsia" w:eastAsiaTheme="minorEastAsia" w:cstheme="minorEastAsia"/>
          <w:color w:val="auto"/>
          <w:sz w:val="21"/>
          <w:szCs w:val="21"/>
          <w:highlight w:val="none"/>
        </w:rPr>
        <w:t>全额无息退还履约保证金。</w:t>
      </w:r>
    </w:p>
    <w:p w14:paraId="18B3683B">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3、履约保证金缴纳形式：支票、汇票、本票、保函等非现金形式缴纳。</w:t>
      </w:r>
    </w:p>
    <w:p w14:paraId="3B8E0EB7">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bookmarkStart w:id="5" w:name="_Toc19515391"/>
      <w:r>
        <w:rPr>
          <w:rFonts w:hint="eastAsia" w:asciiTheme="minorEastAsia" w:hAnsiTheme="minorEastAsia" w:eastAsiaTheme="minorEastAsia" w:cstheme="minorEastAsia"/>
          <w:color w:val="auto"/>
          <w:sz w:val="21"/>
          <w:szCs w:val="21"/>
          <w:highlight w:val="none"/>
        </w:rPr>
        <w:t>六、验收</w:t>
      </w:r>
      <w:bookmarkEnd w:id="5"/>
    </w:p>
    <w:p w14:paraId="2A366CF5">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1、验收：</w:t>
      </w:r>
    </w:p>
    <w:p w14:paraId="1F83314B">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2、最终验收：</w:t>
      </w:r>
    </w:p>
    <w:p w14:paraId="0F856E49">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3、验收依据：</w:t>
      </w:r>
    </w:p>
    <w:p w14:paraId="72E2629D">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rPr>
        <w:t>合同文本、合同附件、竞争性磋商文件、成交供应商的响应文件。</w:t>
      </w:r>
    </w:p>
    <w:p w14:paraId="3C7DD14F">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3.2</w:t>
      </w:r>
      <w:r>
        <w:rPr>
          <w:rFonts w:hint="eastAsia" w:asciiTheme="minorEastAsia" w:hAnsiTheme="minorEastAsia" w:eastAsiaTheme="minorEastAsia" w:cstheme="minorEastAsia"/>
          <w:color w:val="auto"/>
          <w:sz w:val="21"/>
          <w:szCs w:val="21"/>
          <w:highlight w:val="none"/>
        </w:rPr>
        <w:t>国内相应的标准、规范。</w:t>
      </w:r>
    </w:p>
    <w:p w14:paraId="081AEBFA">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3.3其他适用的依据。</w:t>
      </w:r>
    </w:p>
    <w:p w14:paraId="7AE9E574">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bookmarkStart w:id="6" w:name="_Toc19515392"/>
      <w:r>
        <w:rPr>
          <w:rFonts w:hint="eastAsia" w:asciiTheme="minorEastAsia" w:hAnsiTheme="minorEastAsia" w:eastAsiaTheme="minorEastAsia" w:cstheme="minorEastAsia"/>
          <w:color w:val="auto"/>
          <w:sz w:val="21"/>
          <w:szCs w:val="21"/>
          <w:highlight w:val="none"/>
          <w:lang w:val="en-US" w:eastAsia="zh-CN"/>
        </w:rPr>
        <w:t>七、双方的权利及义务</w:t>
      </w:r>
    </w:p>
    <w:p w14:paraId="43291E39">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1、甲方的权利义务</w:t>
      </w:r>
    </w:p>
    <w:p w14:paraId="099A0AA0">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1.1为保证合同期间</w:t>
      </w:r>
      <w:r>
        <w:rPr>
          <w:rFonts w:hint="eastAsia" w:asciiTheme="minorEastAsia" w:hAnsiTheme="minorEastAsia" w:eastAsiaTheme="minorEastAsia" w:cstheme="minorEastAsia"/>
          <w:color w:val="auto"/>
          <w:sz w:val="21"/>
          <w:szCs w:val="21"/>
          <w:highlight w:val="none"/>
          <w:lang w:val="en-US" w:eastAsia="zh-CN"/>
        </w:rPr>
        <w:t>绿化养护</w:t>
      </w:r>
      <w:r>
        <w:rPr>
          <w:rFonts w:hint="eastAsia" w:asciiTheme="minorEastAsia" w:hAnsiTheme="minorEastAsia" w:eastAsiaTheme="minorEastAsia" w:cstheme="minorEastAsia"/>
          <w:color w:val="auto"/>
          <w:sz w:val="21"/>
          <w:szCs w:val="21"/>
          <w:highlight w:val="none"/>
        </w:rPr>
        <w:t>质量，甲方有权对合同执行的全过程进行监督，随时就各项工程提出合理意见和要求，</w:t>
      </w:r>
      <w:r>
        <w:rPr>
          <w:rFonts w:hint="eastAsia" w:asciiTheme="minorEastAsia" w:hAnsiTheme="minorEastAsia" w:eastAsiaTheme="minorEastAsia" w:cstheme="minorEastAsia"/>
          <w:color w:val="auto"/>
          <w:sz w:val="21"/>
          <w:szCs w:val="21"/>
          <w:highlight w:val="none"/>
          <w:lang w:val="en-US" w:eastAsia="zh-CN"/>
        </w:rPr>
        <w:t>并按照附件：《西安理工大学绿化服务考核表（金花校区）》进行考核。</w:t>
      </w:r>
      <w:r>
        <w:rPr>
          <w:rFonts w:hint="eastAsia" w:asciiTheme="minorEastAsia" w:hAnsiTheme="minorEastAsia" w:eastAsiaTheme="minorEastAsia" w:cstheme="minorEastAsia"/>
          <w:color w:val="auto"/>
          <w:sz w:val="21"/>
          <w:szCs w:val="21"/>
          <w:highlight w:val="none"/>
        </w:rPr>
        <w:t>对未执行或执行不到位</w:t>
      </w:r>
      <w:r>
        <w:rPr>
          <w:rFonts w:hint="eastAsia" w:asciiTheme="minorEastAsia" w:hAnsiTheme="minorEastAsia" w:eastAsiaTheme="minorEastAsia" w:cstheme="minorEastAsia"/>
          <w:color w:val="auto"/>
          <w:sz w:val="21"/>
          <w:szCs w:val="21"/>
          <w:highlight w:val="none"/>
          <w:lang w:val="en-US" w:eastAsia="zh-CN"/>
        </w:rPr>
        <w:t>拒不改正</w:t>
      </w:r>
      <w:r>
        <w:rPr>
          <w:rFonts w:hint="eastAsia" w:asciiTheme="minorEastAsia" w:hAnsiTheme="minorEastAsia" w:eastAsiaTheme="minorEastAsia" w:cstheme="minorEastAsia"/>
          <w:color w:val="auto"/>
          <w:sz w:val="21"/>
          <w:szCs w:val="21"/>
          <w:highlight w:val="none"/>
        </w:rPr>
        <w:t>的，甲方有权安排</w:t>
      </w:r>
      <w:r>
        <w:rPr>
          <w:rFonts w:hint="eastAsia" w:asciiTheme="minorEastAsia" w:hAnsiTheme="minorEastAsia" w:eastAsiaTheme="minorEastAsia" w:cstheme="minorEastAsia"/>
          <w:color w:val="auto"/>
          <w:sz w:val="21"/>
          <w:szCs w:val="21"/>
          <w:highlight w:val="none"/>
          <w:lang w:eastAsia="zh-CN"/>
        </w:rPr>
        <w:t>其他</w:t>
      </w:r>
      <w:r>
        <w:rPr>
          <w:rFonts w:hint="eastAsia" w:asciiTheme="minorEastAsia" w:hAnsiTheme="minorEastAsia" w:eastAsiaTheme="minorEastAsia" w:cstheme="minorEastAsia"/>
          <w:color w:val="auto"/>
          <w:sz w:val="21"/>
          <w:szCs w:val="21"/>
          <w:highlight w:val="none"/>
        </w:rPr>
        <w:t>单位另行整改，整改费用在结算乙方当</w:t>
      </w:r>
      <w:r>
        <w:rPr>
          <w:rFonts w:hint="eastAsia" w:asciiTheme="minorEastAsia" w:hAnsiTheme="minorEastAsia" w:eastAsiaTheme="minorEastAsia" w:cstheme="minorEastAsia"/>
          <w:color w:val="auto"/>
          <w:sz w:val="21"/>
          <w:szCs w:val="21"/>
          <w:highlight w:val="none"/>
          <w:lang w:val="en-US" w:eastAsia="zh-CN"/>
        </w:rPr>
        <w:t>月</w:t>
      </w:r>
      <w:r>
        <w:rPr>
          <w:rFonts w:hint="eastAsia" w:asciiTheme="minorEastAsia" w:hAnsiTheme="minorEastAsia" w:eastAsiaTheme="minorEastAsia" w:cstheme="minorEastAsia"/>
          <w:color w:val="auto"/>
          <w:sz w:val="21"/>
          <w:szCs w:val="21"/>
          <w:highlight w:val="none"/>
        </w:rPr>
        <w:t>养护费时扣减</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由此造成的损失由乙方承担</w:t>
      </w:r>
      <w:r>
        <w:rPr>
          <w:rFonts w:hint="eastAsia" w:asciiTheme="minorEastAsia" w:hAnsiTheme="minorEastAsia" w:eastAsiaTheme="minorEastAsia" w:cstheme="minorEastAsia"/>
          <w:color w:val="auto"/>
          <w:sz w:val="21"/>
          <w:szCs w:val="21"/>
          <w:highlight w:val="none"/>
        </w:rPr>
        <w:t>。</w:t>
      </w:r>
    </w:p>
    <w:p w14:paraId="04F603D6">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1.2乙方的</w:t>
      </w:r>
      <w:r>
        <w:rPr>
          <w:rFonts w:hint="eastAsia" w:asciiTheme="minorEastAsia" w:hAnsiTheme="minorEastAsia" w:eastAsiaTheme="minorEastAsia" w:cstheme="minorEastAsia"/>
          <w:color w:val="auto"/>
          <w:sz w:val="21"/>
          <w:szCs w:val="21"/>
          <w:highlight w:val="none"/>
          <w:lang w:val="en-US" w:eastAsia="zh-CN"/>
        </w:rPr>
        <w:t>工作</w:t>
      </w:r>
      <w:r>
        <w:rPr>
          <w:rFonts w:hint="eastAsia" w:asciiTheme="minorEastAsia" w:hAnsiTheme="minorEastAsia" w:eastAsiaTheme="minorEastAsia" w:cstheme="minorEastAsia"/>
          <w:color w:val="auto"/>
          <w:sz w:val="21"/>
          <w:szCs w:val="21"/>
          <w:highlight w:val="none"/>
        </w:rPr>
        <w:t>质量连续3</w:t>
      </w:r>
      <w:r>
        <w:rPr>
          <w:rFonts w:hint="eastAsia" w:asciiTheme="minorEastAsia" w:hAnsiTheme="minorEastAsia" w:eastAsiaTheme="minorEastAsia" w:cstheme="minorEastAsia"/>
          <w:color w:val="auto"/>
          <w:sz w:val="21"/>
          <w:szCs w:val="21"/>
          <w:highlight w:val="none"/>
          <w:lang w:val="en-US" w:eastAsia="zh-CN"/>
        </w:rPr>
        <w:t>个月</w:t>
      </w:r>
      <w:r>
        <w:rPr>
          <w:rFonts w:hint="eastAsia" w:asciiTheme="minorEastAsia" w:hAnsiTheme="minorEastAsia" w:eastAsiaTheme="minorEastAsia" w:cstheme="minorEastAsia"/>
          <w:color w:val="auto"/>
          <w:sz w:val="21"/>
          <w:szCs w:val="21"/>
          <w:highlight w:val="none"/>
        </w:rPr>
        <w:t>不达标</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考核低于85分</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 xml:space="preserve">以书面通知为准），甲方有权解除合同。 </w:t>
      </w:r>
    </w:p>
    <w:p w14:paraId="63DF9E60">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1.3 对乙方雇员中不称职者，有权提出更换意见，对其中违规违纪人员提出处理意见。</w:t>
      </w:r>
    </w:p>
    <w:p w14:paraId="077FE1EF">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1.4甲方有义务为乙方提供工作上的方便，负责沟通协调各方的工作关系。</w:t>
      </w:r>
    </w:p>
    <w:p w14:paraId="5B944DA3">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1.5 按合同约定及时向乙方支付养护费用。</w:t>
      </w:r>
    </w:p>
    <w:p w14:paraId="729A6E40">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1.6乙方违法或违反本合同将工程转包的，甲方有权解除本合同，因此造成的一切损失由乙方承担。</w:t>
      </w:r>
    </w:p>
    <w:p w14:paraId="7D704D1A">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1.7甲方需要时，可能对施工做出某些限制和配合要求，乙方应积极配合。</w:t>
      </w:r>
    </w:p>
    <w:p w14:paraId="0D06BDA5">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2、乙方的权利义务</w:t>
      </w:r>
    </w:p>
    <w:p w14:paraId="0788787A">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2.1依据甲方用人条件及管理规定，自主选用管理人员和技术工人，并将拟定的用人对象、工作流程、管理制度、施工方案、工期安排等向甲方备案。</w:t>
      </w:r>
    </w:p>
    <w:p w14:paraId="271BE03B">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 乙方应教育员工遵循安全作业和文明作业的规定，采取严格的安全防范措施。对于工作过程中发生的一切人身伤亡事故及其他损害，由乙方承担所有责任。若因乙方原因累及甲方，造成甲方承担的有关法律责任，乙方应赔偿造成的一切损失。乙方在履行合同时需购买公众责任险。</w:t>
      </w:r>
    </w:p>
    <w:p w14:paraId="1DA99F98">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2.3 </w:t>
      </w:r>
      <w:r>
        <w:rPr>
          <w:rFonts w:hint="eastAsia" w:asciiTheme="minorEastAsia" w:hAnsiTheme="minorEastAsia" w:eastAsiaTheme="minorEastAsia" w:cstheme="minorEastAsia"/>
          <w:color w:val="auto"/>
          <w:sz w:val="21"/>
          <w:szCs w:val="21"/>
          <w:highlight w:val="none"/>
          <w:lang w:val="en-US" w:eastAsia="zh-CN"/>
        </w:rPr>
        <w:t>配足养护机械设备，</w:t>
      </w:r>
      <w:r>
        <w:rPr>
          <w:rFonts w:hint="eastAsia" w:asciiTheme="minorEastAsia" w:hAnsiTheme="minorEastAsia" w:eastAsiaTheme="minorEastAsia" w:cstheme="minorEastAsia"/>
          <w:color w:val="auto"/>
          <w:sz w:val="21"/>
          <w:szCs w:val="21"/>
          <w:highlight w:val="none"/>
        </w:rPr>
        <w:t>及时更换、维修养护机械设备，费用由乙方承担。</w:t>
      </w:r>
    </w:p>
    <w:p w14:paraId="66F8C89C">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2.4抓好员工岗前培训，教育员工爱护工作区域内的公共设施、财产，如因乙方原因所造成的损坏，应如数赔偿和修复。</w:t>
      </w:r>
    </w:p>
    <w:p w14:paraId="65229EC4">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2.5协助甲方做好养护、维护区域的绿化管</w:t>
      </w:r>
      <w:r>
        <w:rPr>
          <w:rFonts w:hint="eastAsia" w:asciiTheme="minorEastAsia" w:hAnsiTheme="minorEastAsia" w:eastAsiaTheme="minorEastAsia" w:cstheme="minorEastAsia"/>
          <w:color w:val="auto"/>
          <w:sz w:val="21"/>
          <w:szCs w:val="21"/>
          <w:highlight w:val="none"/>
          <w:lang w:eastAsia="zh-CN"/>
        </w:rPr>
        <w:t>理等</w:t>
      </w:r>
      <w:r>
        <w:rPr>
          <w:rFonts w:hint="eastAsia" w:asciiTheme="minorEastAsia" w:hAnsiTheme="minorEastAsia" w:eastAsiaTheme="minorEastAsia" w:cstheme="minorEastAsia"/>
          <w:color w:val="auto"/>
          <w:sz w:val="21"/>
          <w:szCs w:val="21"/>
          <w:highlight w:val="none"/>
        </w:rPr>
        <w:t>相关工作。对</w:t>
      </w:r>
      <w:r>
        <w:rPr>
          <w:rFonts w:hint="eastAsia" w:asciiTheme="minorEastAsia" w:hAnsiTheme="minorEastAsia" w:eastAsiaTheme="minorEastAsia" w:cstheme="minorEastAsia"/>
          <w:color w:val="auto"/>
          <w:sz w:val="21"/>
          <w:szCs w:val="21"/>
          <w:highlight w:val="none"/>
          <w:lang w:eastAsia="zh-CN"/>
        </w:rPr>
        <w:t>校园</w:t>
      </w:r>
      <w:r>
        <w:rPr>
          <w:rFonts w:hint="eastAsia" w:asciiTheme="minorEastAsia" w:hAnsiTheme="minorEastAsia" w:eastAsiaTheme="minorEastAsia" w:cstheme="minorEastAsia"/>
          <w:color w:val="auto"/>
          <w:sz w:val="21"/>
          <w:szCs w:val="21"/>
          <w:highlight w:val="none"/>
        </w:rPr>
        <w:t>绿化养护不到位的情况有义务向相关人员报告，并协助甲方监督相关单位进行整改。</w:t>
      </w:r>
    </w:p>
    <w:p w14:paraId="2B2CA912">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八</w:t>
      </w:r>
      <w:r>
        <w:rPr>
          <w:rFonts w:hint="eastAsia" w:asciiTheme="minorEastAsia" w:hAnsiTheme="minorEastAsia" w:eastAsiaTheme="minorEastAsia" w:cstheme="minorEastAsia"/>
          <w:color w:val="auto"/>
          <w:sz w:val="21"/>
          <w:szCs w:val="21"/>
          <w:highlight w:val="none"/>
        </w:rPr>
        <w:t>、违约责任</w:t>
      </w:r>
      <w:bookmarkEnd w:id="6"/>
    </w:p>
    <w:p w14:paraId="6028B476">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r>
        <w:rPr>
          <w:rFonts w:hint="eastAsia" w:asciiTheme="minorEastAsia" w:hAnsiTheme="minorEastAsia" w:eastAsiaTheme="minorEastAsia" w:cstheme="minorEastAsia"/>
          <w:color w:val="auto"/>
          <w:sz w:val="21"/>
          <w:szCs w:val="21"/>
          <w:highlight w:val="none"/>
          <w:lang w:eastAsia="zh-CN"/>
        </w:rPr>
        <w:t>按照《中华人民共和国</w:t>
      </w:r>
      <w:r>
        <w:rPr>
          <w:rFonts w:hint="eastAsia" w:asciiTheme="minorEastAsia" w:hAnsiTheme="minorEastAsia" w:eastAsiaTheme="minorEastAsia" w:cstheme="minorEastAsia"/>
          <w:color w:val="auto"/>
          <w:sz w:val="21"/>
          <w:szCs w:val="21"/>
          <w:highlight w:val="none"/>
        </w:rPr>
        <w:t>民法典》中的相关条款执行。</w:t>
      </w:r>
    </w:p>
    <w:p w14:paraId="20461C32">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2、乙方履约延误</w:t>
      </w:r>
    </w:p>
    <w:p w14:paraId="348D0893">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2-1、如乙方事先未征得甲方同意并得到甲方的谅解而单方面延迟执行合同，将按违约终止合同。</w:t>
      </w:r>
    </w:p>
    <w:p w14:paraId="5D342518">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w:t>
      </w:r>
    </w:p>
    <w:p w14:paraId="4BEC9ED1">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3、违约终止合同:1.乙方未按合同要求提供服务或不能满足技术要求，逾期整改、安全事故、服务不达标等违约条款，采购人有权解除政府采购合同，没收履约保证金。</w:t>
      </w:r>
    </w:p>
    <w:p w14:paraId="31856663">
      <w:pPr>
        <w:adjustRightInd w:val="0"/>
        <w:snapToGrid w:val="0"/>
        <w:spacing w:line="360" w:lineRule="auto"/>
        <w:ind w:firstLine="420" w:firstLineChars="200"/>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除不可抗力原因外，乙方因自身原因未按照甲方采购需求提供正常服务或因乙方原因甲方行使解除权解除合同，乙方除退还已收取的价款外，还应向甲方偿付合同总金额20%的违约金，并在甲方单位不再进行服务工作。</w:t>
      </w:r>
    </w:p>
    <w:p w14:paraId="14461E92">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甲方会同监督机构有权终止合同，对乙方违约行为进行追究，同时按政府采购法的有关规定进行相应的处罚。</w:t>
      </w:r>
    </w:p>
    <w:p w14:paraId="685FCF19">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3.1</w:t>
      </w:r>
      <w:r>
        <w:rPr>
          <w:rFonts w:hint="eastAsia" w:asciiTheme="minorEastAsia" w:hAnsiTheme="minorEastAsia" w:eastAsiaTheme="minorEastAsia" w:cstheme="minorEastAsia"/>
          <w:color w:val="auto"/>
          <w:sz w:val="21"/>
          <w:szCs w:val="21"/>
          <w:highlight w:val="none"/>
        </w:rPr>
        <w:t>考核不合格，拒不改正、影响服务质量或损害国家利益的。</w:t>
      </w:r>
    </w:p>
    <w:p w14:paraId="3E43C97A">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3.2</w:t>
      </w:r>
      <w:r>
        <w:rPr>
          <w:rFonts w:hint="eastAsia" w:asciiTheme="minorEastAsia" w:hAnsiTheme="minorEastAsia" w:eastAsiaTheme="minorEastAsia" w:cstheme="minorEastAsia"/>
          <w:color w:val="auto"/>
          <w:sz w:val="21"/>
          <w:szCs w:val="21"/>
          <w:highlight w:val="none"/>
        </w:rPr>
        <w:t>因</w:t>
      </w:r>
      <w:r>
        <w:rPr>
          <w:rFonts w:hint="eastAsia" w:asciiTheme="minorEastAsia" w:hAnsiTheme="minorEastAsia" w:eastAsiaTheme="minorEastAsia" w:cstheme="minorEastAsia"/>
          <w:color w:val="auto"/>
          <w:sz w:val="21"/>
          <w:szCs w:val="21"/>
          <w:highlight w:val="none"/>
          <w:lang w:val="en-US" w:eastAsia="zh-CN"/>
        </w:rPr>
        <w:t>乙方</w:t>
      </w:r>
      <w:r>
        <w:rPr>
          <w:rFonts w:hint="eastAsia" w:asciiTheme="minorEastAsia" w:hAnsiTheme="minorEastAsia" w:eastAsiaTheme="minorEastAsia" w:cstheme="minorEastAsia"/>
          <w:color w:val="auto"/>
          <w:sz w:val="21"/>
          <w:szCs w:val="21"/>
          <w:highlight w:val="none"/>
        </w:rPr>
        <w:t>原因导致重大火灾、伤亡、档案丢失等。</w:t>
      </w:r>
    </w:p>
    <w:p w14:paraId="1823A651">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3.3</w:t>
      </w:r>
      <w:r>
        <w:rPr>
          <w:rFonts w:hint="eastAsia" w:asciiTheme="minorEastAsia" w:hAnsiTheme="minorEastAsia" w:eastAsiaTheme="minorEastAsia" w:cstheme="minorEastAsia"/>
          <w:color w:val="auto"/>
          <w:sz w:val="21"/>
          <w:szCs w:val="21"/>
          <w:highlight w:val="none"/>
        </w:rPr>
        <w:t>发生重大安全事件隐瞒不报。</w:t>
      </w:r>
    </w:p>
    <w:p w14:paraId="0B3B5F3B">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3.4</w:t>
      </w:r>
      <w:r>
        <w:rPr>
          <w:rFonts w:hint="eastAsia" w:asciiTheme="minorEastAsia" w:hAnsiTheme="minorEastAsia" w:eastAsiaTheme="minorEastAsia" w:cstheme="minorEastAsia"/>
          <w:color w:val="auto"/>
          <w:sz w:val="21"/>
          <w:szCs w:val="21"/>
          <w:highlight w:val="none"/>
        </w:rPr>
        <w:t>其他违反</w:t>
      </w:r>
      <w:r>
        <w:rPr>
          <w:rFonts w:hint="eastAsia" w:asciiTheme="minorEastAsia" w:hAnsiTheme="minorEastAsia" w:eastAsiaTheme="minorEastAsia" w:cstheme="minorEastAsia"/>
          <w:color w:val="auto"/>
          <w:sz w:val="21"/>
          <w:szCs w:val="21"/>
          <w:highlight w:val="none"/>
          <w:lang w:eastAsia="zh-CN"/>
        </w:rPr>
        <w:t>法律法规</w:t>
      </w:r>
      <w:r>
        <w:rPr>
          <w:rFonts w:hint="eastAsia" w:asciiTheme="minorEastAsia" w:hAnsiTheme="minorEastAsia" w:eastAsiaTheme="minorEastAsia" w:cstheme="minorEastAsia"/>
          <w:color w:val="auto"/>
          <w:sz w:val="21"/>
          <w:szCs w:val="21"/>
          <w:highlight w:val="none"/>
        </w:rPr>
        <w:t>和规章制度行为，造成恶劣影响的。</w:t>
      </w:r>
    </w:p>
    <w:p w14:paraId="67202CAB">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3.5</w:t>
      </w:r>
      <w:r>
        <w:rPr>
          <w:rFonts w:hint="eastAsia" w:asciiTheme="minorEastAsia" w:hAnsiTheme="minorEastAsia" w:eastAsiaTheme="minorEastAsia" w:cstheme="minorEastAsia"/>
          <w:color w:val="auto"/>
          <w:sz w:val="21"/>
          <w:szCs w:val="21"/>
          <w:highlight w:val="none"/>
        </w:rPr>
        <w:t>未按本项目合同要求提供服务或服务质量不能满足合同要求，</w:t>
      </w:r>
      <w:r>
        <w:rPr>
          <w:rFonts w:hint="eastAsia" w:asciiTheme="minorEastAsia" w:hAnsiTheme="minorEastAsia" w:eastAsiaTheme="minorEastAsia" w:cstheme="minorEastAsia"/>
          <w:color w:val="auto"/>
          <w:sz w:val="21"/>
          <w:szCs w:val="21"/>
          <w:highlight w:val="none"/>
          <w:lang w:val="en-US" w:eastAsia="zh-CN"/>
        </w:rPr>
        <w:t>甲方</w:t>
      </w:r>
      <w:r>
        <w:rPr>
          <w:rFonts w:hint="eastAsia" w:asciiTheme="minorEastAsia" w:hAnsiTheme="minorEastAsia" w:eastAsiaTheme="minorEastAsia" w:cstheme="minorEastAsia"/>
          <w:color w:val="auto"/>
          <w:sz w:val="21"/>
          <w:szCs w:val="21"/>
          <w:highlight w:val="none"/>
        </w:rPr>
        <w:t>应当将服务违约的情况以及拟按合同约定以书面形式报政府采购监管部门，根据政府采购监管部门的处理意见，</w:t>
      </w:r>
      <w:r>
        <w:rPr>
          <w:rFonts w:hint="eastAsia" w:asciiTheme="minorEastAsia" w:hAnsiTheme="minorEastAsia" w:eastAsiaTheme="minorEastAsia" w:cstheme="minorEastAsia"/>
          <w:color w:val="auto"/>
          <w:sz w:val="21"/>
          <w:szCs w:val="21"/>
          <w:highlight w:val="none"/>
          <w:lang w:val="en-US" w:eastAsia="zh-CN"/>
        </w:rPr>
        <w:t>甲方</w:t>
      </w:r>
      <w:r>
        <w:rPr>
          <w:rFonts w:hint="eastAsia" w:asciiTheme="minorEastAsia" w:hAnsiTheme="minorEastAsia" w:eastAsiaTheme="minorEastAsia" w:cstheme="minorEastAsia"/>
          <w:color w:val="auto"/>
          <w:sz w:val="21"/>
          <w:szCs w:val="21"/>
          <w:highlight w:val="none"/>
        </w:rPr>
        <w:t>有权依据《</w:t>
      </w:r>
      <w:r>
        <w:rPr>
          <w:rFonts w:hint="eastAsia" w:asciiTheme="minorEastAsia" w:hAnsiTheme="minorEastAsia" w:eastAsiaTheme="minorEastAsia" w:cstheme="minorEastAsia"/>
          <w:color w:val="auto"/>
          <w:sz w:val="21"/>
          <w:szCs w:val="21"/>
          <w:highlight w:val="none"/>
          <w:lang w:eastAsia="zh-CN"/>
        </w:rPr>
        <w:t>中华人民共和国民法典</w:t>
      </w:r>
      <w:r>
        <w:rPr>
          <w:rFonts w:hint="eastAsia" w:asciiTheme="minorEastAsia" w:hAnsiTheme="minorEastAsia" w:eastAsiaTheme="minorEastAsia" w:cstheme="minorEastAsia"/>
          <w:color w:val="auto"/>
          <w:sz w:val="21"/>
          <w:szCs w:val="21"/>
          <w:highlight w:val="none"/>
        </w:rPr>
        <w:t>》有关条款及合同约定终止合同，并要求服务商承担违约责任。同时，政府采购监管部门有权依据《</w:t>
      </w:r>
      <w:r>
        <w:rPr>
          <w:rFonts w:hint="eastAsia" w:asciiTheme="minorEastAsia" w:hAnsiTheme="minorEastAsia" w:eastAsiaTheme="minorEastAsia" w:cstheme="minorEastAsia"/>
          <w:color w:val="auto"/>
          <w:sz w:val="21"/>
          <w:szCs w:val="21"/>
          <w:highlight w:val="none"/>
          <w:lang w:eastAsia="zh-CN"/>
        </w:rPr>
        <w:t>中华人民共和国政府采购法</w:t>
      </w:r>
      <w:r>
        <w:rPr>
          <w:rFonts w:hint="eastAsia" w:asciiTheme="minorEastAsia" w:hAnsiTheme="minorEastAsia" w:eastAsiaTheme="minorEastAsia" w:cstheme="minorEastAsia"/>
          <w:color w:val="auto"/>
          <w:sz w:val="21"/>
          <w:szCs w:val="21"/>
          <w:highlight w:val="none"/>
        </w:rPr>
        <w:t>》及相关法律法规对服务商的违法行为进行相应的处罚。</w:t>
      </w:r>
    </w:p>
    <w:p w14:paraId="13AB6C98">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bookmarkStart w:id="7" w:name="_Toc19515393"/>
      <w:r>
        <w:rPr>
          <w:rFonts w:hint="eastAsia" w:asciiTheme="minorEastAsia" w:hAnsiTheme="minorEastAsia" w:eastAsiaTheme="minorEastAsia" w:cstheme="minorEastAsia"/>
          <w:color w:val="auto"/>
          <w:sz w:val="21"/>
          <w:szCs w:val="21"/>
          <w:highlight w:val="none"/>
          <w:lang w:val="en-US" w:eastAsia="zh-CN"/>
        </w:rPr>
        <w:t>九</w:t>
      </w:r>
      <w:r>
        <w:rPr>
          <w:rFonts w:hint="eastAsia" w:asciiTheme="minorEastAsia" w:hAnsiTheme="minorEastAsia" w:eastAsiaTheme="minorEastAsia" w:cstheme="minorEastAsia"/>
          <w:color w:val="auto"/>
          <w:sz w:val="21"/>
          <w:szCs w:val="21"/>
          <w:highlight w:val="none"/>
        </w:rPr>
        <w:t>、合同组成</w:t>
      </w:r>
      <w:bookmarkEnd w:id="7"/>
    </w:p>
    <w:p w14:paraId="3F55C4AB">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1、合同文件</w:t>
      </w:r>
    </w:p>
    <w:p w14:paraId="3CA017CE">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2、成交通知书</w:t>
      </w:r>
    </w:p>
    <w:p w14:paraId="2F77AD2F">
      <w:pPr>
        <w:tabs>
          <w:tab w:val="left" w:pos="5597"/>
        </w:tabs>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3、国家相关规范及标准</w:t>
      </w:r>
      <w:r>
        <w:rPr>
          <w:rFonts w:hint="eastAsia" w:asciiTheme="minorEastAsia" w:hAnsiTheme="minorEastAsia" w:eastAsiaTheme="minorEastAsia" w:cstheme="minorEastAsia"/>
          <w:color w:val="auto"/>
          <w:sz w:val="21"/>
          <w:szCs w:val="21"/>
          <w:highlight w:val="none"/>
          <w:lang w:eastAsia="zh-CN"/>
        </w:rPr>
        <w:tab/>
      </w:r>
    </w:p>
    <w:p w14:paraId="31DDA4DA">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4、成交供应商的响应文件</w:t>
      </w:r>
    </w:p>
    <w:p w14:paraId="5C8166E7">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5、竞争性磋商文件</w:t>
      </w:r>
    </w:p>
    <w:p w14:paraId="0F52D352">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bookmarkStart w:id="8" w:name="_Toc19515394"/>
      <w:r>
        <w:rPr>
          <w:rFonts w:hint="eastAsia" w:asciiTheme="minorEastAsia" w:hAnsiTheme="minorEastAsia" w:eastAsiaTheme="minorEastAsia" w:cstheme="minorEastAsia"/>
          <w:color w:val="auto"/>
          <w:sz w:val="21"/>
          <w:szCs w:val="21"/>
          <w:highlight w:val="none"/>
          <w:lang w:val="en-US" w:eastAsia="zh-CN"/>
        </w:rPr>
        <w:t>十</w:t>
      </w:r>
      <w:r>
        <w:rPr>
          <w:rFonts w:hint="eastAsia" w:asciiTheme="minorEastAsia" w:hAnsiTheme="minorEastAsia" w:eastAsiaTheme="minorEastAsia" w:cstheme="minorEastAsia"/>
          <w:color w:val="auto"/>
          <w:sz w:val="21"/>
          <w:szCs w:val="21"/>
          <w:highlight w:val="none"/>
        </w:rPr>
        <w:t>、解决争议的方法</w:t>
      </w:r>
      <w:bookmarkEnd w:id="8"/>
    </w:p>
    <w:p w14:paraId="499699FA">
      <w:pPr>
        <w:widowControl/>
        <w:autoSpaceDE w:val="0"/>
        <w:autoSpaceDN w:val="0"/>
        <w:snapToGrid w:val="0"/>
        <w:spacing w:line="360" w:lineRule="auto"/>
        <w:ind w:right="-110" w:firstLine="420" w:firstLineChars="200"/>
        <w:textAlignment w:val="bottom"/>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凡因本合同引起的或与本合同有关的争议，双方应友好协商解决。协商不成时，双方均同意采用以下第（  ）种争议解决方式：</w:t>
      </w:r>
    </w:p>
    <w:p w14:paraId="016512D5">
      <w:pPr>
        <w:widowControl/>
        <w:autoSpaceDE w:val="0"/>
        <w:autoSpaceDN w:val="0"/>
        <w:snapToGrid w:val="0"/>
        <w:spacing w:line="360" w:lineRule="auto"/>
        <w:ind w:right="-110" w:firstLine="420" w:firstLineChars="200"/>
        <w:textAlignment w:val="bottom"/>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1、甲、乙双方均同意向（甲方所在地人民法院）提起诉讼。</w:t>
      </w:r>
    </w:p>
    <w:p w14:paraId="1BB579B5">
      <w:pPr>
        <w:widowControl/>
        <w:autoSpaceDE w:val="0"/>
        <w:autoSpaceDN w:val="0"/>
        <w:snapToGrid w:val="0"/>
        <w:spacing w:line="360" w:lineRule="auto"/>
        <w:ind w:right="-110" w:firstLine="420" w:firstLineChars="200"/>
        <w:textAlignment w:val="bottom"/>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2、甲、乙双方均同意向（</w:t>
      </w:r>
      <w:r>
        <w:rPr>
          <w:rFonts w:hint="eastAsia" w:asciiTheme="minorEastAsia" w:hAnsiTheme="minorEastAsia" w:eastAsiaTheme="minorEastAsia" w:cstheme="minorEastAsia"/>
          <w:color w:val="auto"/>
          <w:sz w:val="21"/>
          <w:szCs w:val="21"/>
          <w:highlight w:val="none"/>
        </w:rPr>
        <w:fldChar w:fldCharType="begin"/>
      </w:r>
      <w:r>
        <w:rPr>
          <w:rFonts w:hint="eastAsia" w:asciiTheme="minorEastAsia" w:hAnsiTheme="minorEastAsia" w:eastAsiaTheme="minorEastAsia" w:cstheme="minorEastAsia"/>
          <w:color w:val="auto"/>
          <w:sz w:val="21"/>
          <w:szCs w:val="21"/>
          <w:highlight w:val="none"/>
        </w:rPr>
        <w:instrText xml:space="preserve"> HYPERLINK "http://www.baidu.com/s?wd=%E4%BB%B2%E8%A3%81%E5%A7%94%E5%91%98%E4%BC%9A&amp;tn=SE_PcZhidaonwhc_ngpagmjz&amp;rsv_dl=gh_pc_zhidao" \t "_blank" </w:instrText>
      </w:r>
      <w:r>
        <w:rPr>
          <w:rFonts w:hint="eastAsia" w:asciiTheme="minorEastAsia" w:hAnsiTheme="minorEastAsia" w:eastAsiaTheme="minorEastAsia" w:cstheme="minorEastAsia"/>
          <w:color w:val="auto"/>
          <w:sz w:val="21"/>
          <w:szCs w:val="21"/>
          <w:highlight w:val="none"/>
        </w:rPr>
        <w:fldChar w:fldCharType="separate"/>
      </w:r>
      <w:r>
        <w:rPr>
          <w:rFonts w:hint="eastAsia" w:asciiTheme="minorEastAsia" w:hAnsiTheme="minorEastAsia" w:eastAsiaTheme="minorEastAsia" w:cstheme="minorEastAsia"/>
          <w:color w:val="auto"/>
          <w:kern w:val="0"/>
          <w:sz w:val="21"/>
          <w:szCs w:val="21"/>
          <w:highlight w:val="none"/>
        </w:rPr>
        <w:t>仲裁委员会</w:t>
      </w:r>
      <w:r>
        <w:rPr>
          <w:rFonts w:hint="eastAsia" w:asciiTheme="minorEastAsia" w:hAnsiTheme="minorEastAsia" w:eastAsiaTheme="minorEastAsia" w:cstheme="minorEastAsia"/>
          <w:color w:val="auto"/>
          <w:kern w:val="0"/>
          <w:sz w:val="21"/>
          <w:szCs w:val="21"/>
          <w:highlight w:val="none"/>
        </w:rPr>
        <w:fldChar w:fldCharType="end"/>
      </w:r>
      <w:r>
        <w:rPr>
          <w:rFonts w:hint="eastAsia" w:asciiTheme="minorEastAsia" w:hAnsiTheme="minorEastAsia" w:eastAsiaTheme="minorEastAsia" w:cstheme="minorEastAsia"/>
          <w:color w:val="auto"/>
          <w:kern w:val="0"/>
          <w:sz w:val="21"/>
          <w:szCs w:val="21"/>
          <w:highlight w:val="none"/>
        </w:rPr>
        <w:t>）提起仲裁。</w:t>
      </w:r>
    </w:p>
    <w:p w14:paraId="3C9D432E">
      <w:pPr>
        <w:adjustRightInd w:val="0"/>
        <w:snapToGrid w:val="0"/>
        <w:spacing w:line="360" w:lineRule="auto"/>
        <w:ind w:firstLine="420" w:firstLineChars="200"/>
        <w:rPr>
          <w:rFonts w:hint="eastAsia" w:asciiTheme="minorEastAsia" w:hAnsiTheme="minorEastAsia" w:eastAsiaTheme="minorEastAsia" w:cstheme="minorEastAsia"/>
          <w:color w:val="auto"/>
          <w:sz w:val="21"/>
          <w:szCs w:val="21"/>
          <w:highlight w:val="none"/>
        </w:rPr>
      </w:pPr>
      <w:bookmarkStart w:id="9" w:name="_Toc19515395"/>
      <w:r>
        <w:rPr>
          <w:rFonts w:hint="eastAsia" w:asciiTheme="minorEastAsia" w:hAnsiTheme="minorEastAsia" w:eastAsiaTheme="minorEastAsia" w:cstheme="minorEastAsia"/>
          <w:color w:val="auto"/>
          <w:sz w:val="21"/>
          <w:szCs w:val="21"/>
          <w:highlight w:val="none"/>
        </w:rPr>
        <w:t>十</w:t>
      </w:r>
      <w:r>
        <w:rPr>
          <w:rFonts w:hint="eastAsia" w:asciiTheme="minorEastAsia" w:hAnsiTheme="minorEastAsia" w:eastAsiaTheme="minorEastAsia" w:cstheme="minorEastAsia"/>
          <w:color w:val="auto"/>
          <w:sz w:val="21"/>
          <w:szCs w:val="21"/>
          <w:highlight w:val="none"/>
          <w:lang w:val="en-US" w:eastAsia="zh-CN"/>
        </w:rPr>
        <w:t>一</w:t>
      </w:r>
      <w:r>
        <w:rPr>
          <w:rFonts w:hint="eastAsia" w:asciiTheme="minorEastAsia" w:hAnsiTheme="minorEastAsia" w:eastAsiaTheme="minorEastAsia" w:cstheme="minorEastAsia"/>
          <w:color w:val="auto"/>
          <w:sz w:val="21"/>
          <w:szCs w:val="21"/>
          <w:highlight w:val="none"/>
        </w:rPr>
        <w:t>、合同生效及其</w:t>
      </w:r>
      <w:r>
        <w:rPr>
          <w:rFonts w:hint="eastAsia" w:asciiTheme="minorEastAsia" w:hAnsiTheme="minorEastAsia" w:eastAsiaTheme="minorEastAsia" w:cstheme="minorEastAsia"/>
          <w:color w:val="auto"/>
          <w:sz w:val="21"/>
          <w:szCs w:val="21"/>
          <w:highlight w:val="none"/>
          <w:lang w:eastAsia="zh-CN"/>
        </w:rPr>
        <w:t>他</w:t>
      </w:r>
      <w:bookmarkEnd w:id="9"/>
    </w:p>
    <w:p w14:paraId="77A0A6F2">
      <w:pPr>
        <w:widowControl/>
        <w:autoSpaceDE w:val="0"/>
        <w:autoSpaceDN w:val="0"/>
        <w:snapToGrid w:val="0"/>
        <w:spacing w:line="360" w:lineRule="auto"/>
        <w:ind w:right="-110" w:firstLine="420" w:firstLineChars="200"/>
        <w:textAlignment w:val="bottom"/>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1、合同未尽事宜、由甲、乙双方协商，作为合同补充，与原合同具有同等法律效力。</w:t>
      </w:r>
    </w:p>
    <w:p w14:paraId="2836D24C">
      <w:pPr>
        <w:widowControl/>
        <w:tabs>
          <w:tab w:val="left" w:pos="8391"/>
        </w:tabs>
        <w:autoSpaceDE w:val="0"/>
        <w:autoSpaceDN w:val="0"/>
        <w:snapToGrid w:val="0"/>
        <w:spacing w:line="360" w:lineRule="auto"/>
        <w:ind w:right="-69" w:firstLine="420" w:firstLineChars="200"/>
        <w:textAlignment w:val="bottom"/>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 本合同正本一式</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份，甲方、乙方双方分别执</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份，</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备案</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份。</w:t>
      </w:r>
    </w:p>
    <w:p w14:paraId="33617D3C">
      <w:pPr>
        <w:widowControl/>
        <w:tabs>
          <w:tab w:val="left" w:pos="8391"/>
        </w:tabs>
        <w:autoSpaceDE w:val="0"/>
        <w:autoSpaceDN w:val="0"/>
        <w:snapToGrid w:val="0"/>
        <w:spacing w:line="360" w:lineRule="auto"/>
        <w:ind w:right="-69" w:firstLine="420" w:firstLineChars="200"/>
        <w:textAlignment w:val="bottom"/>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3、合同经甲乙双方盖章、签字后生效，合同签订地点为</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w:t>
      </w:r>
    </w:p>
    <w:p w14:paraId="7941075D">
      <w:pPr>
        <w:widowControl/>
        <w:tabs>
          <w:tab w:val="left" w:pos="8391"/>
        </w:tabs>
        <w:autoSpaceDE w:val="0"/>
        <w:autoSpaceDN w:val="0"/>
        <w:snapToGrid w:val="0"/>
        <w:spacing w:line="360" w:lineRule="auto"/>
        <w:ind w:right="-69" w:firstLine="420" w:firstLineChars="200"/>
        <w:textAlignment w:val="bottom"/>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4、生效时间：</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年</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月</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日</w:t>
      </w:r>
    </w:p>
    <w:p w14:paraId="0FD0A76C">
      <w:pPr>
        <w:widowControl/>
        <w:tabs>
          <w:tab w:val="left" w:pos="8391"/>
        </w:tabs>
        <w:autoSpaceDE w:val="0"/>
        <w:autoSpaceDN w:val="0"/>
        <w:snapToGrid w:val="0"/>
        <w:spacing w:line="360" w:lineRule="auto"/>
        <w:ind w:right="-69" w:firstLine="735" w:firstLineChars="350"/>
        <w:textAlignment w:val="bottom"/>
        <w:rPr>
          <w:rFonts w:hint="eastAsia" w:asciiTheme="minorEastAsia" w:hAnsiTheme="minorEastAsia" w:eastAsiaTheme="minorEastAsia" w:cstheme="minorEastAsia"/>
          <w:color w:val="auto"/>
          <w:kern w:val="0"/>
          <w:sz w:val="21"/>
          <w:szCs w:val="21"/>
          <w:highlight w:val="none"/>
        </w:rPr>
      </w:pPr>
    </w:p>
    <w:tbl>
      <w:tblPr>
        <w:tblStyle w:val="5"/>
        <w:tblW w:w="0" w:type="auto"/>
        <w:jc w:val="center"/>
        <w:tblLayout w:type="fixed"/>
        <w:tblCellMar>
          <w:top w:w="0" w:type="dxa"/>
          <w:left w:w="108" w:type="dxa"/>
          <w:bottom w:w="0" w:type="dxa"/>
          <w:right w:w="108" w:type="dxa"/>
        </w:tblCellMar>
      </w:tblPr>
      <w:tblGrid>
        <w:gridCol w:w="4643"/>
        <w:gridCol w:w="4643"/>
      </w:tblGrid>
      <w:tr w14:paraId="2651BE7D">
        <w:tblPrEx>
          <w:tblCellMar>
            <w:top w:w="0" w:type="dxa"/>
            <w:left w:w="108" w:type="dxa"/>
            <w:bottom w:w="0" w:type="dxa"/>
            <w:right w:w="108" w:type="dxa"/>
          </w:tblCellMar>
        </w:tblPrEx>
        <w:trPr>
          <w:jc w:val="center"/>
        </w:trPr>
        <w:tc>
          <w:tcPr>
            <w:tcW w:w="4643" w:type="dxa"/>
            <w:noWrap w:val="0"/>
            <w:vAlign w:val="top"/>
          </w:tcPr>
          <w:p w14:paraId="4232E906">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甲方名称</w:t>
            </w:r>
            <w:r>
              <w:rPr>
                <w:rFonts w:hint="eastAsia" w:asciiTheme="minorEastAsia" w:hAnsiTheme="minorEastAsia" w:eastAsiaTheme="minorEastAsia" w:cstheme="minorEastAsia"/>
                <w:color w:val="auto"/>
                <w:spacing w:val="-20"/>
                <w:kern w:val="0"/>
                <w:sz w:val="21"/>
                <w:szCs w:val="21"/>
                <w:highlight w:val="none"/>
              </w:rPr>
              <w:t>（盖章）</w:t>
            </w:r>
            <w:r>
              <w:rPr>
                <w:rFonts w:hint="eastAsia" w:asciiTheme="minorEastAsia" w:hAnsiTheme="minorEastAsia" w:eastAsiaTheme="minorEastAsia" w:cstheme="minorEastAsia"/>
                <w:color w:val="auto"/>
                <w:kern w:val="0"/>
                <w:sz w:val="21"/>
                <w:szCs w:val="21"/>
                <w:highlight w:val="none"/>
              </w:rPr>
              <w:t>：</w:t>
            </w:r>
          </w:p>
          <w:p w14:paraId="7A2A0DED">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地址：</w:t>
            </w:r>
          </w:p>
          <w:p w14:paraId="0B629DDC">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代表人（签字）：</w:t>
            </w:r>
          </w:p>
          <w:p w14:paraId="79638F6B">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电话：</w:t>
            </w:r>
          </w:p>
          <w:p w14:paraId="44356353">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开户银行：</w:t>
            </w:r>
          </w:p>
          <w:p w14:paraId="0FB7C4CD">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账号：</w:t>
            </w:r>
          </w:p>
        </w:tc>
        <w:tc>
          <w:tcPr>
            <w:tcW w:w="4643" w:type="dxa"/>
            <w:noWrap w:val="0"/>
            <w:vAlign w:val="top"/>
          </w:tcPr>
          <w:p w14:paraId="34B1A150">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乙方名称</w:t>
            </w:r>
            <w:r>
              <w:rPr>
                <w:rFonts w:hint="eastAsia" w:asciiTheme="minorEastAsia" w:hAnsiTheme="minorEastAsia" w:eastAsiaTheme="minorEastAsia" w:cstheme="minorEastAsia"/>
                <w:color w:val="auto"/>
                <w:spacing w:val="-20"/>
                <w:kern w:val="0"/>
                <w:sz w:val="21"/>
                <w:szCs w:val="21"/>
                <w:highlight w:val="none"/>
              </w:rPr>
              <w:t>（盖章）</w:t>
            </w:r>
            <w:r>
              <w:rPr>
                <w:rFonts w:hint="eastAsia" w:asciiTheme="minorEastAsia" w:hAnsiTheme="minorEastAsia" w:eastAsiaTheme="minorEastAsia" w:cstheme="minorEastAsia"/>
                <w:color w:val="auto"/>
                <w:kern w:val="0"/>
                <w:sz w:val="21"/>
                <w:szCs w:val="21"/>
                <w:highlight w:val="none"/>
              </w:rPr>
              <w:t>：</w:t>
            </w:r>
          </w:p>
          <w:p w14:paraId="1538E1B6">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地址：</w:t>
            </w:r>
          </w:p>
          <w:p w14:paraId="1C477415">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代表人（签字）：</w:t>
            </w:r>
          </w:p>
          <w:p w14:paraId="1D6436CF">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电话：</w:t>
            </w:r>
          </w:p>
          <w:p w14:paraId="1ABA1060">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开户银行：</w:t>
            </w:r>
          </w:p>
          <w:p w14:paraId="6287DCA6">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账号：</w:t>
            </w:r>
          </w:p>
        </w:tc>
      </w:tr>
    </w:tbl>
    <w:p w14:paraId="05B9C68B">
      <w:pPr>
        <w:pStyle w:val="9"/>
        <w:spacing w:line="360" w:lineRule="auto"/>
        <w:rPr>
          <w:rFonts w:hint="eastAsia" w:asciiTheme="minorEastAsia" w:hAnsiTheme="minorEastAsia" w:eastAsiaTheme="minorEastAsia" w:cstheme="minorEastAsia"/>
          <w:sz w:val="21"/>
          <w:szCs w:val="21"/>
          <w:highlight w:val="none"/>
          <w:lang w:val="en-US" w:eastAsia="zh-Hans"/>
        </w:rPr>
      </w:pPr>
    </w:p>
    <w:p w14:paraId="38DABA69">
      <w:pPr>
        <w:pStyle w:val="3"/>
        <w:spacing w:line="360" w:lineRule="auto"/>
        <w:jc w:val="left"/>
        <w:rPr>
          <w:rFonts w:hint="eastAsia" w:asciiTheme="minorEastAsia" w:hAnsiTheme="minorEastAsia" w:eastAsiaTheme="minorEastAsia" w:cstheme="minorEastAsia"/>
          <w:sz w:val="21"/>
          <w:szCs w:val="21"/>
          <w:highlight w:val="none"/>
        </w:rPr>
      </w:pPr>
    </w:p>
    <w:p w14:paraId="684725E6">
      <w:pP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br w:type="page"/>
      </w:r>
    </w:p>
    <w:p w14:paraId="362735E4">
      <w:pPr>
        <w:spacing w:line="360" w:lineRule="auto"/>
        <w:jc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b/>
          <w:bCs/>
          <w:color w:val="auto"/>
          <w:sz w:val="21"/>
          <w:szCs w:val="21"/>
          <w:highlight w:val="none"/>
        </w:rPr>
        <w:t>西安理工大学绿</w:t>
      </w:r>
      <w:r>
        <w:rPr>
          <w:rFonts w:hint="eastAsia" w:asciiTheme="minorEastAsia" w:hAnsiTheme="minorEastAsia" w:eastAsiaTheme="minorEastAsia" w:cstheme="minorEastAsia"/>
          <w:b/>
          <w:bCs/>
          <w:color w:val="auto"/>
          <w:sz w:val="21"/>
          <w:szCs w:val="21"/>
          <w:highlight w:val="none"/>
          <w:lang w:eastAsia="zh-CN"/>
        </w:rPr>
        <w:t>化服务考核表（</w:t>
      </w:r>
      <w:r>
        <w:rPr>
          <w:rFonts w:hint="eastAsia" w:asciiTheme="minorEastAsia" w:hAnsiTheme="minorEastAsia" w:eastAsiaTheme="minorEastAsia" w:cstheme="minorEastAsia"/>
          <w:b/>
          <w:bCs/>
          <w:color w:val="auto"/>
          <w:sz w:val="21"/>
          <w:szCs w:val="21"/>
          <w:highlight w:val="none"/>
          <w:lang w:val="en-US" w:eastAsia="zh-CN"/>
        </w:rPr>
        <w:t>金花校区</w:t>
      </w:r>
      <w:r>
        <w:rPr>
          <w:rFonts w:hint="eastAsia" w:asciiTheme="minorEastAsia" w:hAnsiTheme="minorEastAsia" w:eastAsiaTheme="minorEastAsia" w:cstheme="minorEastAsia"/>
          <w:b/>
          <w:bCs/>
          <w:color w:val="auto"/>
          <w:sz w:val="21"/>
          <w:szCs w:val="21"/>
          <w:highlight w:val="none"/>
          <w:lang w:eastAsia="zh-CN"/>
        </w:rPr>
        <w:t>）</w:t>
      </w:r>
    </w:p>
    <w:tbl>
      <w:tblPr>
        <w:tblStyle w:val="5"/>
        <w:tblW w:w="91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6"/>
        <w:gridCol w:w="655"/>
        <w:gridCol w:w="4249"/>
        <w:gridCol w:w="1028"/>
      </w:tblGrid>
      <w:tr w14:paraId="4891B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3226" w:type="dxa"/>
            <w:noWrap w:val="0"/>
            <w:vAlign w:val="center"/>
          </w:tcPr>
          <w:p w14:paraId="6B539C55">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
                <w:bCs w:val="0"/>
                <w:sz w:val="21"/>
                <w:szCs w:val="21"/>
                <w:highlight w:val="none"/>
              </w:rPr>
            </w:pPr>
            <w:r>
              <w:rPr>
                <w:rFonts w:hint="eastAsia" w:asciiTheme="minorEastAsia" w:hAnsiTheme="minorEastAsia" w:eastAsiaTheme="minorEastAsia" w:cstheme="minorEastAsia"/>
                <w:b/>
                <w:bCs w:val="0"/>
                <w:sz w:val="21"/>
                <w:szCs w:val="21"/>
                <w:highlight w:val="none"/>
              </w:rPr>
              <w:t>项目</w:t>
            </w:r>
          </w:p>
        </w:tc>
        <w:tc>
          <w:tcPr>
            <w:tcW w:w="655" w:type="dxa"/>
            <w:noWrap w:val="0"/>
            <w:vAlign w:val="center"/>
          </w:tcPr>
          <w:p w14:paraId="1D394C41">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
                <w:bCs w:val="0"/>
                <w:sz w:val="21"/>
                <w:szCs w:val="21"/>
                <w:highlight w:val="none"/>
              </w:rPr>
            </w:pPr>
            <w:r>
              <w:rPr>
                <w:rFonts w:hint="eastAsia" w:asciiTheme="minorEastAsia" w:hAnsiTheme="minorEastAsia" w:eastAsiaTheme="minorEastAsia" w:cstheme="minorEastAsia"/>
                <w:b/>
                <w:bCs w:val="0"/>
                <w:sz w:val="21"/>
                <w:szCs w:val="21"/>
                <w:highlight w:val="none"/>
              </w:rPr>
              <w:t>总分</w:t>
            </w:r>
          </w:p>
        </w:tc>
        <w:tc>
          <w:tcPr>
            <w:tcW w:w="4249" w:type="dxa"/>
            <w:noWrap w:val="0"/>
            <w:vAlign w:val="center"/>
          </w:tcPr>
          <w:p w14:paraId="673B1123">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
                <w:bCs w:val="0"/>
                <w:sz w:val="21"/>
                <w:szCs w:val="21"/>
                <w:highlight w:val="none"/>
              </w:rPr>
            </w:pPr>
            <w:r>
              <w:rPr>
                <w:rFonts w:hint="eastAsia" w:asciiTheme="minorEastAsia" w:hAnsiTheme="minorEastAsia" w:eastAsiaTheme="minorEastAsia" w:cstheme="minorEastAsia"/>
                <w:b/>
                <w:bCs w:val="0"/>
                <w:sz w:val="21"/>
                <w:szCs w:val="21"/>
                <w:highlight w:val="none"/>
              </w:rPr>
              <w:t>检查内容</w:t>
            </w:r>
          </w:p>
        </w:tc>
        <w:tc>
          <w:tcPr>
            <w:tcW w:w="1028" w:type="dxa"/>
            <w:noWrap w:val="0"/>
            <w:vAlign w:val="center"/>
          </w:tcPr>
          <w:p w14:paraId="2EAE1CD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
                <w:bCs w:val="0"/>
                <w:sz w:val="21"/>
                <w:szCs w:val="21"/>
                <w:highlight w:val="none"/>
              </w:rPr>
            </w:pPr>
            <w:r>
              <w:rPr>
                <w:rFonts w:hint="eastAsia" w:asciiTheme="minorEastAsia" w:hAnsiTheme="minorEastAsia" w:eastAsiaTheme="minorEastAsia" w:cstheme="minorEastAsia"/>
                <w:b/>
                <w:bCs w:val="0"/>
                <w:sz w:val="21"/>
                <w:szCs w:val="21"/>
                <w:highlight w:val="none"/>
              </w:rPr>
              <w:t>得分</w:t>
            </w:r>
          </w:p>
        </w:tc>
      </w:tr>
      <w:tr w14:paraId="13B40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3226" w:type="dxa"/>
            <w:noWrap w:val="0"/>
            <w:vAlign w:val="center"/>
          </w:tcPr>
          <w:p w14:paraId="64C0CC34">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专业队伍与专业化管理</w:t>
            </w:r>
          </w:p>
        </w:tc>
        <w:tc>
          <w:tcPr>
            <w:tcW w:w="655" w:type="dxa"/>
            <w:noWrap w:val="0"/>
            <w:vAlign w:val="center"/>
          </w:tcPr>
          <w:p w14:paraId="35D7C05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rPr>
              <w:t>1</w:t>
            </w:r>
            <w:r>
              <w:rPr>
                <w:rFonts w:hint="eastAsia" w:asciiTheme="minorEastAsia" w:hAnsiTheme="minorEastAsia" w:eastAsiaTheme="minorEastAsia" w:cstheme="minorEastAsia"/>
                <w:bCs/>
                <w:sz w:val="21"/>
                <w:szCs w:val="21"/>
                <w:highlight w:val="none"/>
                <w:lang w:val="en-US" w:eastAsia="zh-CN"/>
              </w:rPr>
              <w:t>0</w:t>
            </w:r>
          </w:p>
        </w:tc>
        <w:tc>
          <w:tcPr>
            <w:tcW w:w="4249" w:type="dxa"/>
            <w:noWrap w:val="0"/>
            <w:vAlign w:val="top"/>
          </w:tcPr>
          <w:p w14:paraId="33D819F3">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Theme="minorEastAsia" w:hAnsiTheme="minorEastAsia" w:eastAsiaTheme="minorEastAsia" w:cstheme="minorEastAsia"/>
                <w:bCs/>
                <w:sz w:val="21"/>
                <w:szCs w:val="21"/>
                <w:highlight w:val="none"/>
                <w:lang w:eastAsia="zh-CN"/>
              </w:rPr>
            </w:pPr>
            <w:r>
              <w:rPr>
                <w:rFonts w:hint="eastAsia" w:asciiTheme="minorEastAsia" w:hAnsiTheme="minorEastAsia" w:eastAsiaTheme="minorEastAsia" w:cstheme="minorEastAsia"/>
                <w:bCs/>
                <w:sz w:val="21"/>
                <w:szCs w:val="21"/>
                <w:highlight w:val="none"/>
              </w:rPr>
              <w:t>员工培训</w:t>
            </w:r>
            <w:r>
              <w:rPr>
                <w:rFonts w:hint="eastAsia" w:asciiTheme="minorEastAsia" w:hAnsiTheme="minorEastAsia" w:eastAsiaTheme="minorEastAsia" w:cstheme="minorEastAsia"/>
                <w:bCs/>
                <w:sz w:val="21"/>
                <w:szCs w:val="21"/>
                <w:highlight w:val="none"/>
                <w:lang w:eastAsia="zh-CN"/>
              </w:rPr>
              <w:t>到位</w:t>
            </w:r>
            <w:r>
              <w:rPr>
                <w:rFonts w:hint="eastAsia" w:asciiTheme="minorEastAsia" w:hAnsiTheme="minorEastAsia" w:eastAsiaTheme="minorEastAsia" w:cstheme="minorEastAsia"/>
                <w:bCs/>
                <w:sz w:val="21"/>
                <w:szCs w:val="21"/>
                <w:highlight w:val="none"/>
              </w:rPr>
              <w:t>、员工责任心</w:t>
            </w:r>
            <w:r>
              <w:rPr>
                <w:rFonts w:hint="eastAsia" w:asciiTheme="minorEastAsia" w:hAnsiTheme="minorEastAsia" w:eastAsiaTheme="minorEastAsia" w:cstheme="minorEastAsia"/>
                <w:bCs/>
                <w:sz w:val="21"/>
                <w:szCs w:val="21"/>
                <w:highlight w:val="none"/>
                <w:lang w:eastAsia="zh-CN"/>
              </w:rPr>
              <w:t>强</w:t>
            </w:r>
            <w:r>
              <w:rPr>
                <w:rFonts w:hint="eastAsia" w:asciiTheme="minorEastAsia" w:hAnsiTheme="minorEastAsia" w:eastAsiaTheme="minorEastAsia" w:cstheme="minorEastAsia"/>
                <w:bCs/>
                <w:sz w:val="21"/>
                <w:szCs w:val="21"/>
                <w:highlight w:val="none"/>
              </w:rPr>
              <w:t>、业务水平</w:t>
            </w:r>
            <w:r>
              <w:rPr>
                <w:rFonts w:hint="eastAsia" w:asciiTheme="minorEastAsia" w:hAnsiTheme="minorEastAsia" w:eastAsiaTheme="minorEastAsia" w:cstheme="minorEastAsia"/>
                <w:bCs/>
                <w:sz w:val="21"/>
                <w:szCs w:val="21"/>
                <w:highlight w:val="none"/>
                <w:lang w:eastAsia="zh-CN"/>
              </w:rPr>
              <w:t>高，</w:t>
            </w:r>
            <w:r>
              <w:rPr>
                <w:rFonts w:hint="eastAsia" w:asciiTheme="minorEastAsia" w:hAnsiTheme="minorEastAsia" w:eastAsiaTheme="minorEastAsia" w:cstheme="minorEastAsia"/>
                <w:bCs/>
                <w:sz w:val="21"/>
                <w:szCs w:val="21"/>
                <w:highlight w:val="none"/>
                <w:lang w:val="en-US" w:eastAsia="zh-CN"/>
              </w:rPr>
              <w:t>身心健康。任务较重时，增派人员。</w:t>
            </w:r>
          </w:p>
        </w:tc>
        <w:tc>
          <w:tcPr>
            <w:tcW w:w="1028" w:type="dxa"/>
            <w:noWrap w:val="0"/>
            <w:vAlign w:val="top"/>
          </w:tcPr>
          <w:p w14:paraId="6250768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rPr>
            </w:pPr>
          </w:p>
        </w:tc>
      </w:tr>
      <w:tr w14:paraId="0269E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trPr>
        <w:tc>
          <w:tcPr>
            <w:tcW w:w="3226" w:type="dxa"/>
            <w:noWrap w:val="0"/>
            <w:vAlign w:val="center"/>
          </w:tcPr>
          <w:p w14:paraId="5025D862">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园林植物</w:t>
            </w:r>
          </w:p>
        </w:tc>
        <w:tc>
          <w:tcPr>
            <w:tcW w:w="655" w:type="dxa"/>
            <w:noWrap w:val="0"/>
            <w:vAlign w:val="center"/>
          </w:tcPr>
          <w:p w14:paraId="13A79B0E">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15</w:t>
            </w:r>
          </w:p>
        </w:tc>
        <w:tc>
          <w:tcPr>
            <w:tcW w:w="4249" w:type="dxa"/>
            <w:noWrap w:val="0"/>
            <w:vAlign w:val="top"/>
          </w:tcPr>
          <w:p w14:paraId="502C6058">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乔木树冠完整美观，分枝点合适，枝条粗壮，无枯枝死杈</w:t>
            </w:r>
            <w:r>
              <w:rPr>
                <w:rFonts w:hint="eastAsia" w:asciiTheme="minorEastAsia" w:hAnsiTheme="minorEastAsia" w:eastAsiaTheme="minorEastAsia" w:cstheme="minorEastAsia"/>
                <w:bCs/>
                <w:sz w:val="21"/>
                <w:szCs w:val="21"/>
                <w:highlight w:val="none"/>
                <w:lang w:eastAsia="zh-CN"/>
              </w:rPr>
              <w:t>。</w:t>
            </w:r>
            <w:r>
              <w:rPr>
                <w:rFonts w:hint="eastAsia" w:asciiTheme="minorEastAsia" w:hAnsiTheme="minorEastAsia" w:eastAsiaTheme="minorEastAsia" w:cstheme="minorEastAsia"/>
                <w:bCs/>
                <w:sz w:val="21"/>
                <w:szCs w:val="21"/>
                <w:highlight w:val="none"/>
              </w:rPr>
              <w:t>主侧枝分布匀称、数量适宜</w:t>
            </w:r>
            <w:r>
              <w:rPr>
                <w:rFonts w:hint="eastAsia" w:asciiTheme="minorEastAsia" w:hAnsiTheme="minorEastAsia" w:eastAsiaTheme="minorEastAsia" w:cstheme="minorEastAsia"/>
                <w:bCs/>
                <w:sz w:val="21"/>
                <w:szCs w:val="21"/>
                <w:highlight w:val="none"/>
                <w:lang w:eastAsia="zh-CN"/>
              </w:rPr>
              <w:t>。</w:t>
            </w:r>
            <w:r>
              <w:rPr>
                <w:rFonts w:hint="eastAsia" w:asciiTheme="minorEastAsia" w:hAnsiTheme="minorEastAsia" w:eastAsiaTheme="minorEastAsia" w:cstheme="minorEastAsia"/>
                <w:bCs/>
                <w:sz w:val="21"/>
                <w:szCs w:val="21"/>
                <w:highlight w:val="none"/>
              </w:rPr>
              <w:t>内膛不乱，通风透光。</w:t>
            </w:r>
          </w:p>
          <w:p w14:paraId="7C80DE52">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sz w:val="21"/>
                <w:szCs w:val="21"/>
                <w:highlight w:val="none"/>
                <w:lang w:eastAsia="zh-CN"/>
              </w:rPr>
              <w:t>新栽</w:t>
            </w:r>
            <w:r>
              <w:rPr>
                <w:rFonts w:hint="eastAsia" w:asciiTheme="minorEastAsia" w:hAnsiTheme="minorEastAsia" w:eastAsiaTheme="minorEastAsia" w:cstheme="minorEastAsia"/>
                <w:bCs/>
                <w:sz w:val="21"/>
                <w:szCs w:val="21"/>
                <w:highlight w:val="none"/>
              </w:rPr>
              <w:t>行道树树穴有平整盖板或种植地被植物，黄土不裸露，</w:t>
            </w:r>
            <w:r>
              <w:rPr>
                <w:rFonts w:hint="eastAsia" w:asciiTheme="minorEastAsia" w:hAnsiTheme="minorEastAsia" w:eastAsiaTheme="minorEastAsia" w:cstheme="minorEastAsia"/>
                <w:bCs/>
                <w:sz w:val="21"/>
                <w:szCs w:val="21"/>
                <w:highlight w:val="none"/>
                <w:lang w:eastAsia="zh-CN"/>
              </w:rPr>
              <w:t>支撑</w:t>
            </w:r>
            <w:r>
              <w:rPr>
                <w:rFonts w:hint="eastAsia" w:asciiTheme="minorEastAsia" w:hAnsiTheme="minorEastAsia" w:eastAsiaTheme="minorEastAsia" w:cstheme="minorEastAsia"/>
                <w:bCs/>
                <w:sz w:val="21"/>
                <w:szCs w:val="21"/>
                <w:highlight w:val="none"/>
              </w:rPr>
              <w:t>设施完好</w:t>
            </w:r>
            <w:r>
              <w:rPr>
                <w:rFonts w:hint="eastAsia" w:asciiTheme="minorEastAsia" w:hAnsiTheme="minorEastAsia" w:eastAsiaTheme="minorEastAsia" w:cstheme="minorEastAsia"/>
                <w:bCs/>
                <w:sz w:val="21"/>
                <w:szCs w:val="21"/>
                <w:highlight w:val="none"/>
                <w:lang w:eastAsia="zh-CN"/>
              </w:rPr>
              <w:t>稳定</w:t>
            </w:r>
            <w:r>
              <w:rPr>
                <w:rFonts w:hint="eastAsia" w:asciiTheme="minorEastAsia" w:hAnsiTheme="minorEastAsia" w:eastAsiaTheme="minorEastAsia" w:cstheme="minorEastAsia"/>
                <w:bCs/>
                <w:sz w:val="21"/>
                <w:szCs w:val="21"/>
                <w:highlight w:val="none"/>
              </w:rPr>
              <w:t>。</w:t>
            </w:r>
          </w:p>
          <w:p w14:paraId="4E86B586">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花灌木适时开花，</w:t>
            </w:r>
            <w:r>
              <w:rPr>
                <w:rFonts w:hint="eastAsia" w:asciiTheme="minorEastAsia" w:hAnsiTheme="minorEastAsia" w:eastAsiaTheme="minorEastAsia" w:cstheme="minorEastAsia"/>
                <w:bCs/>
                <w:sz w:val="21"/>
                <w:szCs w:val="21"/>
                <w:highlight w:val="none"/>
                <w:lang w:eastAsia="zh-CN"/>
              </w:rPr>
              <w:t>株型</w:t>
            </w:r>
            <w:r>
              <w:rPr>
                <w:rFonts w:hint="eastAsia" w:asciiTheme="minorEastAsia" w:hAnsiTheme="minorEastAsia" w:eastAsiaTheme="minorEastAsia" w:cstheme="minorEastAsia"/>
                <w:bCs/>
                <w:sz w:val="21"/>
                <w:szCs w:val="21"/>
                <w:highlight w:val="none"/>
              </w:rPr>
              <w:t>丰满，枝叶茂密，无缺株，花后修剪及时合理。绿篱、色块等修剪及时整齐一致。</w:t>
            </w:r>
          </w:p>
        </w:tc>
        <w:tc>
          <w:tcPr>
            <w:tcW w:w="1028" w:type="dxa"/>
            <w:noWrap w:val="0"/>
            <w:vAlign w:val="top"/>
          </w:tcPr>
          <w:p w14:paraId="6BDBDAE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rPr>
            </w:pPr>
          </w:p>
        </w:tc>
      </w:tr>
      <w:tr w14:paraId="4D58C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trPr>
        <w:tc>
          <w:tcPr>
            <w:tcW w:w="3226" w:type="dxa"/>
            <w:noWrap w:val="0"/>
            <w:vAlign w:val="center"/>
          </w:tcPr>
          <w:p w14:paraId="13B87FA8">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地被草坪</w:t>
            </w:r>
          </w:p>
        </w:tc>
        <w:tc>
          <w:tcPr>
            <w:tcW w:w="655" w:type="dxa"/>
            <w:noWrap w:val="0"/>
            <w:vAlign w:val="center"/>
          </w:tcPr>
          <w:p w14:paraId="57D339A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lang w:eastAsia="zh-CN"/>
              </w:rPr>
            </w:pPr>
            <w:r>
              <w:rPr>
                <w:rFonts w:hint="eastAsia" w:asciiTheme="minorEastAsia" w:hAnsiTheme="minorEastAsia" w:eastAsiaTheme="minorEastAsia" w:cstheme="minorEastAsia"/>
                <w:bCs/>
                <w:sz w:val="21"/>
                <w:szCs w:val="21"/>
                <w:highlight w:val="none"/>
              </w:rPr>
              <w:t>1</w:t>
            </w:r>
            <w:r>
              <w:rPr>
                <w:rFonts w:hint="eastAsia" w:asciiTheme="minorEastAsia" w:hAnsiTheme="minorEastAsia" w:eastAsiaTheme="minorEastAsia" w:cstheme="minorEastAsia"/>
                <w:bCs/>
                <w:sz w:val="21"/>
                <w:szCs w:val="21"/>
                <w:highlight w:val="none"/>
                <w:lang w:val="en-US" w:eastAsia="zh-CN"/>
              </w:rPr>
              <w:t>5</w:t>
            </w:r>
          </w:p>
        </w:tc>
        <w:tc>
          <w:tcPr>
            <w:tcW w:w="4249" w:type="dxa"/>
            <w:noWrap w:val="0"/>
            <w:vAlign w:val="top"/>
          </w:tcPr>
          <w:p w14:paraId="4752C048">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lang w:val="en-US" w:eastAsia="zh-CN"/>
              </w:rPr>
              <w:t>草坪覆盖率达到100%，无裸露黄土，修剪整齐美观。</w:t>
            </w:r>
            <w:r>
              <w:rPr>
                <w:rFonts w:hint="eastAsia" w:asciiTheme="minorEastAsia" w:hAnsiTheme="minorEastAsia" w:eastAsiaTheme="minorEastAsia" w:cstheme="minorEastAsia"/>
                <w:bCs/>
                <w:sz w:val="21"/>
                <w:szCs w:val="21"/>
                <w:highlight w:val="none"/>
              </w:rPr>
              <w:t>外观整齐，边缘线清晰，生长旺盛，草根不裸露，生长季节不枯黄，修剪及时，基本无杂草。</w:t>
            </w:r>
          </w:p>
        </w:tc>
        <w:tc>
          <w:tcPr>
            <w:tcW w:w="1028" w:type="dxa"/>
            <w:noWrap w:val="0"/>
            <w:vAlign w:val="top"/>
          </w:tcPr>
          <w:p w14:paraId="5AD66080">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rPr>
            </w:pPr>
          </w:p>
        </w:tc>
      </w:tr>
      <w:tr w14:paraId="21E4D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4" w:hRule="atLeast"/>
        </w:trPr>
        <w:tc>
          <w:tcPr>
            <w:tcW w:w="3226" w:type="dxa"/>
            <w:noWrap w:val="0"/>
            <w:vAlign w:val="center"/>
          </w:tcPr>
          <w:p w14:paraId="523B796B">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花坛花带</w:t>
            </w:r>
          </w:p>
        </w:tc>
        <w:tc>
          <w:tcPr>
            <w:tcW w:w="655" w:type="dxa"/>
            <w:noWrap w:val="0"/>
            <w:vAlign w:val="center"/>
          </w:tcPr>
          <w:p w14:paraId="1526DF9B">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10</w:t>
            </w:r>
          </w:p>
        </w:tc>
        <w:tc>
          <w:tcPr>
            <w:tcW w:w="4249" w:type="dxa"/>
            <w:noWrap w:val="0"/>
            <w:vAlign w:val="top"/>
          </w:tcPr>
          <w:p w14:paraId="42E49298">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轮廓清晰，整齐美观，色彩艳丽，无残缺，无残花败叶。花卉生长健壮，色彩鲜艳，株行距适宜，花期整齐，图案清晰。</w:t>
            </w:r>
          </w:p>
        </w:tc>
        <w:tc>
          <w:tcPr>
            <w:tcW w:w="1028" w:type="dxa"/>
            <w:noWrap w:val="0"/>
            <w:vAlign w:val="top"/>
          </w:tcPr>
          <w:p w14:paraId="5A70080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rPr>
            </w:pPr>
          </w:p>
        </w:tc>
      </w:tr>
      <w:tr w14:paraId="41456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7" w:hRule="atLeast"/>
        </w:trPr>
        <w:tc>
          <w:tcPr>
            <w:tcW w:w="3226" w:type="dxa"/>
            <w:noWrap w:val="0"/>
            <w:vAlign w:val="center"/>
          </w:tcPr>
          <w:p w14:paraId="5D6634A1">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病虫害防治</w:t>
            </w:r>
          </w:p>
        </w:tc>
        <w:tc>
          <w:tcPr>
            <w:tcW w:w="655" w:type="dxa"/>
            <w:noWrap w:val="0"/>
            <w:vAlign w:val="center"/>
          </w:tcPr>
          <w:p w14:paraId="0AF53F80">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lang w:eastAsia="zh-CN"/>
              </w:rPr>
            </w:pPr>
            <w:r>
              <w:rPr>
                <w:rFonts w:hint="eastAsia" w:asciiTheme="minorEastAsia" w:hAnsiTheme="minorEastAsia" w:eastAsiaTheme="minorEastAsia" w:cstheme="minorEastAsia"/>
                <w:bCs/>
                <w:sz w:val="21"/>
                <w:szCs w:val="21"/>
                <w:highlight w:val="none"/>
              </w:rPr>
              <w:t>1</w:t>
            </w:r>
            <w:r>
              <w:rPr>
                <w:rFonts w:hint="eastAsia" w:asciiTheme="minorEastAsia" w:hAnsiTheme="minorEastAsia" w:eastAsiaTheme="minorEastAsia" w:cstheme="minorEastAsia"/>
                <w:bCs/>
                <w:sz w:val="21"/>
                <w:szCs w:val="21"/>
                <w:highlight w:val="none"/>
                <w:lang w:val="en-US" w:eastAsia="zh-CN"/>
              </w:rPr>
              <w:t>0</w:t>
            </w:r>
          </w:p>
        </w:tc>
        <w:tc>
          <w:tcPr>
            <w:tcW w:w="4249" w:type="dxa"/>
            <w:noWrap w:val="0"/>
            <w:vAlign w:val="top"/>
          </w:tcPr>
          <w:p w14:paraId="02FB4EFA">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rPr>
              <w:t>病虫害防治技术措施完善，管理得当，病虫害控制及时，无明显病虫害发生。</w:t>
            </w:r>
            <w:r>
              <w:rPr>
                <w:rFonts w:hint="eastAsia" w:asciiTheme="minorEastAsia" w:hAnsiTheme="minorEastAsia" w:eastAsiaTheme="minorEastAsia" w:cstheme="minorEastAsia"/>
                <w:bCs/>
                <w:sz w:val="21"/>
                <w:szCs w:val="21"/>
                <w:highlight w:val="none"/>
                <w:lang w:val="en-US" w:eastAsia="zh-CN"/>
              </w:rPr>
              <w:t>各类植物整体虫株率控制在2%以下。</w:t>
            </w:r>
          </w:p>
          <w:p w14:paraId="36CD10E2">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lang w:val="en-US" w:eastAsia="zh-CN"/>
              </w:rPr>
              <w:t>施药精准，未出现施药不当对植物造成伤害。</w:t>
            </w:r>
          </w:p>
        </w:tc>
        <w:tc>
          <w:tcPr>
            <w:tcW w:w="1028" w:type="dxa"/>
            <w:noWrap w:val="0"/>
            <w:vAlign w:val="top"/>
          </w:tcPr>
          <w:p w14:paraId="00D6DC80">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rPr>
            </w:pPr>
          </w:p>
        </w:tc>
      </w:tr>
      <w:tr w14:paraId="4AD84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3226" w:type="dxa"/>
            <w:noWrap w:val="0"/>
            <w:vAlign w:val="center"/>
          </w:tcPr>
          <w:p w14:paraId="62CBDF20">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设施</w:t>
            </w:r>
            <w:r>
              <w:rPr>
                <w:rFonts w:hint="eastAsia" w:asciiTheme="minorEastAsia" w:hAnsiTheme="minorEastAsia" w:eastAsiaTheme="minorEastAsia" w:cstheme="minorEastAsia"/>
                <w:bCs/>
                <w:sz w:val="21"/>
                <w:szCs w:val="21"/>
                <w:highlight w:val="none"/>
                <w:lang w:eastAsia="zh-CN"/>
              </w:rPr>
              <w:t>保洁报修</w:t>
            </w:r>
          </w:p>
        </w:tc>
        <w:tc>
          <w:tcPr>
            <w:tcW w:w="655" w:type="dxa"/>
            <w:noWrap w:val="0"/>
            <w:vAlign w:val="center"/>
          </w:tcPr>
          <w:p w14:paraId="72E36E42">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10</w:t>
            </w:r>
          </w:p>
        </w:tc>
        <w:tc>
          <w:tcPr>
            <w:tcW w:w="4249" w:type="dxa"/>
            <w:noWrap w:val="0"/>
            <w:vAlign w:val="top"/>
          </w:tcPr>
          <w:p w14:paraId="219F486D">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Theme="minorEastAsia" w:hAnsiTheme="minorEastAsia" w:eastAsiaTheme="minorEastAsia" w:cstheme="minorEastAsia"/>
                <w:bCs/>
                <w:color w:val="auto"/>
                <w:sz w:val="21"/>
                <w:szCs w:val="21"/>
                <w:highlight w:val="none"/>
                <w:lang w:eastAsia="zh-CN"/>
              </w:rPr>
            </w:pPr>
            <w:r>
              <w:rPr>
                <w:rFonts w:hint="eastAsia" w:asciiTheme="minorEastAsia" w:hAnsiTheme="minorEastAsia" w:eastAsiaTheme="minorEastAsia" w:cstheme="minorEastAsia"/>
                <w:bCs/>
                <w:color w:val="auto"/>
                <w:sz w:val="21"/>
                <w:szCs w:val="21"/>
                <w:highlight w:val="none"/>
              </w:rPr>
              <w:t>园林建筑、雕塑喷泉、园路广场等校园绿地基础设施维护良好，桌椅、垃圾桶和指示牌等园林设施完整、安全，</w:t>
            </w:r>
            <w:r>
              <w:rPr>
                <w:rFonts w:hint="eastAsia" w:asciiTheme="minorEastAsia" w:hAnsiTheme="minorEastAsia" w:eastAsiaTheme="minorEastAsia" w:cstheme="minorEastAsia"/>
                <w:bCs/>
                <w:color w:val="auto"/>
                <w:sz w:val="21"/>
                <w:szCs w:val="21"/>
                <w:highlight w:val="none"/>
                <w:lang w:eastAsia="zh-CN"/>
              </w:rPr>
              <w:t>排查</w:t>
            </w:r>
            <w:r>
              <w:rPr>
                <w:rFonts w:hint="eastAsia" w:asciiTheme="minorEastAsia" w:hAnsiTheme="minorEastAsia" w:eastAsiaTheme="minorEastAsia" w:cstheme="minorEastAsia"/>
                <w:bCs/>
                <w:color w:val="auto"/>
                <w:sz w:val="21"/>
                <w:szCs w:val="21"/>
                <w:highlight w:val="none"/>
              </w:rPr>
              <w:t>维护</w:t>
            </w:r>
            <w:r>
              <w:rPr>
                <w:rFonts w:hint="eastAsia" w:asciiTheme="minorEastAsia" w:hAnsiTheme="minorEastAsia" w:eastAsiaTheme="minorEastAsia" w:cstheme="minorEastAsia"/>
                <w:bCs/>
                <w:color w:val="auto"/>
                <w:sz w:val="21"/>
                <w:szCs w:val="21"/>
                <w:highlight w:val="none"/>
                <w:lang w:eastAsia="zh-CN"/>
              </w:rPr>
              <w:t>得当，问题</w:t>
            </w:r>
            <w:r>
              <w:rPr>
                <w:rFonts w:hint="eastAsia" w:asciiTheme="minorEastAsia" w:hAnsiTheme="minorEastAsia" w:eastAsiaTheme="minorEastAsia" w:cstheme="minorEastAsia"/>
                <w:bCs/>
                <w:color w:val="auto"/>
                <w:sz w:val="21"/>
                <w:szCs w:val="21"/>
                <w:highlight w:val="none"/>
              </w:rPr>
              <w:t>及时</w:t>
            </w:r>
            <w:r>
              <w:rPr>
                <w:rFonts w:hint="eastAsia" w:asciiTheme="minorEastAsia" w:hAnsiTheme="minorEastAsia" w:eastAsiaTheme="minorEastAsia" w:cstheme="minorEastAsia"/>
                <w:bCs/>
                <w:color w:val="auto"/>
                <w:sz w:val="21"/>
                <w:szCs w:val="21"/>
                <w:highlight w:val="none"/>
                <w:lang w:eastAsia="zh-CN"/>
              </w:rPr>
              <w:t>报修</w:t>
            </w:r>
            <w:r>
              <w:rPr>
                <w:rFonts w:hint="eastAsia" w:asciiTheme="minorEastAsia" w:hAnsiTheme="minorEastAsia" w:eastAsiaTheme="minorEastAsia" w:cstheme="minorEastAsia"/>
                <w:bCs/>
                <w:color w:val="auto"/>
                <w:sz w:val="21"/>
                <w:szCs w:val="21"/>
                <w:highlight w:val="none"/>
              </w:rPr>
              <w:t>。</w:t>
            </w:r>
            <w:r>
              <w:rPr>
                <w:rFonts w:hint="eastAsia" w:asciiTheme="minorEastAsia" w:hAnsiTheme="minorEastAsia" w:eastAsiaTheme="minorEastAsia" w:cstheme="minorEastAsia"/>
                <w:bCs/>
                <w:color w:val="auto"/>
                <w:sz w:val="21"/>
                <w:szCs w:val="21"/>
                <w:highlight w:val="none"/>
                <w:lang w:eastAsia="zh-CN"/>
              </w:rPr>
              <w:t>绿地内井盖问题报修及时。</w:t>
            </w:r>
          </w:p>
          <w:p w14:paraId="5850AF4F">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bCs/>
                <w:color w:val="auto"/>
                <w:sz w:val="21"/>
                <w:szCs w:val="21"/>
                <w:highlight w:val="none"/>
                <w:lang w:val="en-US" w:eastAsia="zh-CN"/>
              </w:rPr>
              <w:t>金花校区花房24小时有人值班，花房工作人员培育花木技能强，熟练掌握温室锅炉操作技能。维持花房安全稳定工作。</w:t>
            </w:r>
          </w:p>
        </w:tc>
        <w:tc>
          <w:tcPr>
            <w:tcW w:w="1028" w:type="dxa"/>
            <w:noWrap w:val="0"/>
            <w:vAlign w:val="top"/>
          </w:tcPr>
          <w:p w14:paraId="0D7BC11B">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rPr>
            </w:pPr>
          </w:p>
        </w:tc>
      </w:tr>
      <w:tr w14:paraId="77BD5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8" w:hRule="atLeast"/>
        </w:trPr>
        <w:tc>
          <w:tcPr>
            <w:tcW w:w="3226" w:type="dxa"/>
            <w:noWrap w:val="0"/>
            <w:vAlign w:val="center"/>
          </w:tcPr>
          <w:p w14:paraId="090727C4">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Theme="minorEastAsia" w:hAnsiTheme="minorEastAsia" w:eastAsiaTheme="minorEastAsia" w:cstheme="minorEastAsia"/>
                <w:bCs/>
                <w:kern w:val="2"/>
                <w:sz w:val="21"/>
                <w:szCs w:val="21"/>
                <w:highlight w:val="none"/>
                <w:lang w:val="en-US" w:eastAsia="zh-CN" w:bidi="ar-SA"/>
              </w:rPr>
            </w:pPr>
            <w:r>
              <w:rPr>
                <w:rFonts w:hint="eastAsia" w:asciiTheme="minorEastAsia" w:hAnsiTheme="minorEastAsia" w:eastAsiaTheme="minorEastAsia" w:cstheme="minorEastAsia"/>
                <w:bCs/>
                <w:sz w:val="21"/>
                <w:szCs w:val="21"/>
                <w:highlight w:val="none"/>
                <w:lang w:val="en-US" w:eastAsia="zh-CN"/>
              </w:rPr>
              <w:t>应急管理</w:t>
            </w:r>
          </w:p>
        </w:tc>
        <w:tc>
          <w:tcPr>
            <w:tcW w:w="655" w:type="dxa"/>
            <w:noWrap w:val="0"/>
            <w:vAlign w:val="center"/>
          </w:tcPr>
          <w:p w14:paraId="0A079AD8">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Theme="minorEastAsia" w:hAnsiTheme="minorEastAsia" w:eastAsiaTheme="minorEastAsia" w:cstheme="minorEastAsia"/>
                <w:bCs/>
                <w:kern w:val="2"/>
                <w:sz w:val="21"/>
                <w:szCs w:val="21"/>
                <w:highlight w:val="none"/>
                <w:lang w:val="en-US" w:eastAsia="zh-CN" w:bidi="ar-SA"/>
              </w:rPr>
            </w:pPr>
            <w:r>
              <w:rPr>
                <w:rFonts w:hint="eastAsia" w:asciiTheme="minorEastAsia" w:hAnsiTheme="minorEastAsia" w:eastAsiaTheme="minorEastAsia" w:cstheme="minorEastAsia"/>
                <w:bCs/>
                <w:sz w:val="21"/>
                <w:szCs w:val="21"/>
                <w:highlight w:val="none"/>
                <w:lang w:val="en-US" w:eastAsia="zh-CN"/>
              </w:rPr>
              <w:t>10</w:t>
            </w:r>
          </w:p>
        </w:tc>
        <w:tc>
          <w:tcPr>
            <w:tcW w:w="4249" w:type="dxa"/>
            <w:noWrap w:val="0"/>
            <w:vAlign w:val="center"/>
          </w:tcPr>
          <w:p w14:paraId="4E960FE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Cs/>
                <w:kern w:val="2"/>
                <w:sz w:val="21"/>
                <w:szCs w:val="21"/>
                <w:highlight w:val="none"/>
                <w:lang w:val="en-US" w:eastAsia="zh-CN" w:bidi="ar-SA"/>
              </w:rPr>
            </w:pPr>
            <w:r>
              <w:rPr>
                <w:rFonts w:hint="eastAsia" w:asciiTheme="minorEastAsia" w:hAnsiTheme="minorEastAsia" w:eastAsiaTheme="minorEastAsia" w:cstheme="minorEastAsia"/>
                <w:bCs/>
                <w:color w:val="auto"/>
                <w:sz w:val="21"/>
                <w:szCs w:val="21"/>
                <w:highlight w:val="none"/>
                <w:lang w:val="en-US" w:eastAsia="zh-CN"/>
              </w:rPr>
              <w:t>有完善的自然灾害应急预案，有24小时专人值班。定期开展应急预案演练工作。有紧急情况，响应及时，5分钟到达现场。</w:t>
            </w:r>
            <w:r>
              <w:rPr>
                <w:rFonts w:hint="eastAsia" w:asciiTheme="minorEastAsia" w:hAnsiTheme="minorEastAsia" w:eastAsiaTheme="minorEastAsia" w:cstheme="minorEastAsia"/>
                <w:bCs/>
                <w:sz w:val="21"/>
                <w:szCs w:val="21"/>
                <w:highlight w:val="none"/>
                <w:lang w:val="en-US" w:eastAsia="zh-CN"/>
              </w:rPr>
              <w:t xml:space="preserve"> </w:t>
            </w:r>
          </w:p>
        </w:tc>
        <w:tc>
          <w:tcPr>
            <w:tcW w:w="1028" w:type="dxa"/>
            <w:noWrap w:val="0"/>
            <w:vAlign w:val="top"/>
          </w:tcPr>
          <w:p w14:paraId="4FA810AB">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rPr>
            </w:pPr>
          </w:p>
        </w:tc>
      </w:tr>
      <w:tr w14:paraId="51A3C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3" w:hRule="atLeast"/>
        </w:trPr>
        <w:tc>
          <w:tcPr>
            <w:tcW w:w="3226" w:type="dxa"/>
            <w:noWrap w:val="0"/>
            <w:vAlign w:val="center"/>
          </w:tcPr>
          <w:p w14:paraId="1354A62F">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Theme="minorEastAsia" w:hAnsiTheme="minorEastAsia" w:eastAsiaTheme="minorEastAsia" w:cstheme="minorEastAsia"/>
                <w:bCs/>
                <w:kern w:val="2"/>
                <w:sz w:val="21"/>
                <w:szCs w:val="21"/>
                <w:highlight w:val="none"/>
                <w:lang w:val="en-US" w:eastAsia="zh-CN" w:bidi="ar-SA"/>
              </w:rPr>
            </w:pPr>
            <w:r>
              <w:rPr>
                <w:rFonts w:hint="eastAsia" w:asciiTheme="minorEastAsia" w:hAnsiTheme="minorEastAsia" w:eastAsiaTheme="minorEastAsia" w:cstheme="minorEastAsia"/>
                <w:bCs/>
                <w:sz w:val="21"/>
                <w:szCs w:val="21"/>
                <w:highlight w:val="none"/>
                <w:lang w:val="en-US" w:eastAsia="zh-CN"/>
              </w:rPr>
              <w:t>制度建设及资料</w:t>
            </w:r>
          </w:p>
        </w:tc>
        <w:tc>
          <w:tcPr>
            <w:tcW w:w="655" w:type="dxa"/>
            <w:noWrap w:val="0"/>
            <w:vAlign w:val="center"/>
          </w:tcPr>
          <w:p w14:paraId="788FDCB4">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Theme="minorEastAsia" w:hAnsiTheme="minorEastAsia" w:eastAsiaTheme="minorEastAsia" w:cstheme="minorEastAsia"/>
                <w:bCs/>
                <w:kern w:val="2"/>
                <w:sz w:val="21"/>
                <w:szCs w:val="21"/>
                <w:highlight w:val="none"/>
                <w:lang w:val="en-US" w:eastAsia="zh-CN" w:bidi="ar-SA"/>
              </w:rPr>
            </w:pPr>
            <w:r>
              <w:rPr>
                <w:rFonts w:hint="eastAsia" w:asciiTheme="minorEastAsia" w:hAnsiTheme="minorEastAsia" w:eastAsiaTheme="minorEastAsia" w:cstheme="minorEastAsia"/>
                <w:bCs/>
                <w:sz w:val="21"/>
                <w:szCs w:val="21"/>
                <w:highlight w:val="none"/>
                <w:lang w:val="en-US" w:eastAsia="zh-CN"/>
              </w:rPr>
              <w:t>5</w:t>
            </w:r>
          </w:p>
        </w:tc>
        <w:tc>
          <w:tcPr>
            <w:tcW w:w="4249" w:type="dxa"/>
            <w:noWrap w:val="0"/>
            <w:vAlign w:val="center"/>
          </w:tcPr>
          <w:p w14:paraId="18A0AF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kern w:val="2"/>
                <w:sz w:val="21"/>
                <w:szCs w:val="21"/>
                <w:highlight w:val="none"/>
                <w:lang w:val="en-US" w:eastAsia="zh-CN" w:bidi="ar-SA"/>
              </w:rPr>
            </w:pPr>
            <w:r>
              <w:rPr>
                <w:rFonts w:hint="eastAsia" w:asciiTheme="minorEastAsia" w:hAnsiTheme="minorEastAsia" w:eastAsiaTheme="minorEastAsia" w:cstheme="minorEastAsia"/>
                <w:bCs/>
                <w:sz w:val="21"/>
                <w:szCs w:val="21"/>
                <w:highlight w:val="none"/>
                <w:lang w:val="en-US" w:eastAsia="zh-CN"/>
              </w:rPr>
              <w:t>各类管理制度健全且制度上墙。有完整的绿化资料，工作记录。</w:t>
            </w:r>
          </w:p>
        </w:tc>
        <w:tc>
          <w:tcPr>
            <w:tcW w:w="1028" w:type="dxa"/>
            <w:noWrap w:val="0"/>
            <w:vAlign w:val="top"/>
          </w:tcPr>
          <w:p w14:paraId="7A8A0DA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rPr>
            </w:pPr>
          </w:p>
        </w:tc>
      </w:tr>
      <w:tr w14:paraId="25681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4" w:hRule="atLeast"/>
        </w:trPr>
        <w:tc>
          <w:tcPr>
            <w:tcW w:w="3226" w:type="dxa"/>
            <w:noWrap w:val="0"/>
            <w:vAlign w:val="center"/>
          </w:tcPr>
          <w:p w14:paraId="610C4833">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卫生保洁</w:t>
            </w:r>
          </w:p>
        </w:tc>
        <w:tc>
          <w:tcPr>
            <w:tcW w:w="655" w:type="dxa"/>
            <w:noWrap w:val="0"/>
            <w:vAlign w:val="center"/>
          </w:tcPr>
          <w:p w14:paraId="58BED50F">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10</w:t>
            </w:r>
          </w:p>
        </w:tc>
        <w:tc>
          <w:tcPr>
            <w:tcW w:w="4249" w:type="dxa"/>
            <w:noWrap w:val="0"/>
            <w:vAlign w:val="top"/>
          </w:tcPr>
          <w:p w14:paraId="10B5F7C2">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绿地整洁，无杂物、</w:t>
            </w:r>
            <w:r>
              <w:rPr>
                <w:rFonts w:hint="eastAsia" w:asciiTheme="minorEastAsia" w:hAnsiTheme="minorEastAsia" w:eastAsiaTheme="minorEastAsia" w:cstheme="minorEastAsia"/>
                <w:bCs/>
                <w:sz w:val="21"/>
                <w:szCs w:val="21"/>
                <w:highlight w:val="none"/>
                <w:lang w:eastAsia="zh-CN"/>
              </w:rPr>
              <w:t>杂树苗、</w:t>
            </w:r>
            <w:r>
              <w:rPr>
                <w:rFonts w:hint="eastAsia" w:asciiTheme="minorEastAsia" w:hAnsiTheme="minorEastAsia" w:eastAsiaTheme="minorEastAsia" w:cstheme="minorEastAsia"/>
                <w:bCs/>
                <w:sz w:val="21"/>
                <w:szCs w:val="21"/>
                <w:highlight w:val="none"/>
              </w:rPr>
              <w:t>无白色污染（树挂），对作业废弃物（如树枝、树叶、草屑等）、</w:t>
            </w:r>
            <w:r>
              <w:rPr>
                <w:rFonts w:hint="eastAsia" w:asciiTheme="minorEastAsia" w:hAnsiTheme="minorEastAsia" w:eastAsiaTheme="minorEastAsia" w:cstheme="minorEastAsia"/>
                <w:bCs/>
                <w:sz w:val="21"/>
                <w:szCs w:val="21"/>
                <w:highlight w:val="none"/>
                <w:lang w:eastAsia="zh-CN"/>
              </w:rPr>
              <w:t>景观</w:t>
            </w:r>
            <w:r>
              <w:rPr>
                <w:rFonts w:hint="eastAsia" w:asciiTheme="minorEastAsia" w:hAnsiTheme="minorEastAsia" w:eastAsiaTheme="minorEastAsia" w:cstheme="minorEastAsia"/>
                <w:bCs/>
                <w:sz w:val="21"/>
                <w:szCs w:val="21"/>
                <w:highlight w:val="none"/>
              </w:rPr>
              <w:t>内水面杂物，</w:t>
            </w:r>
          </w:p>
          <w:p w14:paraId="442AB79D">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重点地区随产随清，其它地区日产日清，做到巡视保洁。</w:t>
            </w:r>
          </w:p>
          <w:p w14:paraId="4E45EC3A">
            <w:pPr>
              <w:pStyle w:val="3"/>
              <w:keepNext w:val="0"/>
              <w:keepLines w:val="0"/>
              <w:pageBreakBefore w:val="0"/>
              <w:widowControl w:val="0"/>
              <w:kinsoku/>
              <w:wordWrap/>
              <w:overflowPunct/>
              <w:topLinePunct w:val="0"/>
              <w:autoSpaceDE/>
              <w:autoSpaceDN/>
              <w:bidi w:val="0"/>
              <w:adjustRightInd/>
              <w:spacing w:line="360" w:lineRule="auto"/>
              <w:jc w:val="left"/>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lang w:eastAsia="zh-CN"/>
              </w:rPr>
              <w:t>金花重点区域：行政楼图书馆周边、集萃园、寒园、五四园、田径场、</w:t>
            </w:r>
            <w:r>
              <w:rPr>
                <w:rFonts w:hint="eastAsia" w:asciiTheme="minorEastAsia" w:hAnsiTheme="minorEastAsia" w:eastAsiaTheme="minorEastAsia" w:cstheme="minorEastAsia"/>
                <w:color w:val="auto"/>
                <w:sz w:val="21"/>
                <w:szCs w:val="21"/>
                <w:highlight w:val="none"/>
                <w:lang w:val="en-US" w:eastAsia="zh-CN"/>
              </w:rPr>
              <w:t>东门入口至国旗台转盘。</w:t>
            </w:r>
          </w:p>
        </w:tc>
        <w:tc>
          <w:tcPr>
            <w:tcW w:w="1028" w:type="dxa"/>
            <w:noWrap w:val="0"/>
            <w:vAlign w:val="top"/>
          </w:tcPr>
          <w:p w14:paraId="78ECBC05">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rPr>
            </w:pPr>
          </w:p>
        </w:tc>
      </w:tr>
      <w:tr w14:paraId="195C6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0" w:hRule="atLeast"/>
        </w:trPr>
        <w:tc>
          <w:tcPr>
            <w:tcW w:w="3226" w:type="dxa"/>
            <w:noWrap w:val="0"/>
            <w:vAlign w:val="center"/>
          </w:tcPr>
          <w:p w14:paraId="59F62328">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绿地保护</w:t>
            </w:r>
          </w:p>
        </w:tc>
        <w:tc>
          <w:tcPr>
            <w:tcW w:w="655" w:type="dxa"/>
            <w:noWrap w:val="0"/>
            <w:vAlign w:val="center"/>
          </w:tcPr>
          <w:p w14:paraId="5384C0A6">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lang w:eastAsia="zh-CN"/>
              </w:rPr>
            </w:pPr>
            <w:r>
              <w:rPr>
                <w:rFonts w:hint="eastAsia" w:asciiTheme="minorEastAsia" w:hAnsiTheme="minorEastAsia" w:eastAsiaTheme="minorEastAsia" w:cstheme="minorEastAsia"/>
                <w:bCs/>
                <w:sz w:val="21"/>
                <w:szCs w:val="21"/>
                <w:highlight w:val="none"/>
                <w:lang w:val="en-US" w:eastAsia="zh-CN"/>
              </w:rPr>
              <w:t>5</w:t>
            </w:r>
          </w:p>
        </w:tc>
        <w:tc>
          <w:tcPr>
            <w:tcW w:w="4249" w:type="dxa"/>
            <w:noWrap w:val="0"/>
            <w:vAlign w:val="top"/>
          </w:tcPr>
          <w:p w14:paraId="0E453279">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绿地完整，无堆物、堆料、搭棚，树干、园林建筑、小品等上面无钉拴刻画等现象。</w:t>
            </w:r>
          </w:p>
        </w:tc>
        <w:tc>
          <w:tcPr>
            <w:tcW w:w="1028" w:type="dxa"/>
            <w:noWrap w:val="0"/>
            <w:vAlign w:val="top"/>
          </w:tcPr>
          <w:p w14:paraId="25179C7A">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rPr>
            </w:pPr>
          </w:p>
        </w:tc>
      </w:tr>
      <w:tr w14:paraId="301E5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3226" w:type="dxa"/>
            <w:noWrap w:val="0"/>
            <w:vAlign w:val="center"/>
          </w:tcPr>
          <w:p w14:paraId="63867597">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lang w:eastAsia="zh-CN"/>
              </w:rPr>
            </w:pPr>
            <w:r>
              <w:rPr>
                <w:rFonts w:hint="eastAsia" w:asciiTheme="minorEastAsia" w:hAnsiTheme="minorEastAsia" w:eastAsiaTheme="minorEastAsia" w:cstheme="minorEastAsia"/>
                <w:bCs/>
                <w:sz w:val="21"/>
                <w:szCs w:val="21"/>
                <w:highlight w:val="none"/>
                <w:lang w:eastAsia="zh-CN"/>
              </w:rPr>
              <w:t>总得分</w:t>
            </w:r>
          </w:p>
        </w:tc>
        <w:tc>
          <w:tcPr>
            <w:tcW w:w="5932" w:type="dxa"/>
            <w:gridSpan w:val="3"/>
            <w:noWrap w:val="0"/>
            <w:vAlign w:val="center"/>
          </w:tcPr>
          <w:p w14:paraId="00C0157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rPr>
            </w:pPr>
          </w:p>
        </w:tc>
      </w:tr>
      <w:tr w14:paraId="45DEE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3" w:hRule="atLeast"/>
        </w:trPr>
        <w:tc>
          <w:tcPr>
            <w:tcW w:w="3226" w:type="dxa"/>
            <w:noWrap w:val="0"/>
            <w:vAlign w:val="top"/>
          </w:tcPr>
          <w:p w14:paraId="23A7D365">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rPr>
              <w:t>备注</w:t>
            </w:r>
          </w:p>
        </w:tc>
        <w:tc>
          <w:tcPr>
            <w:tcW w:w="5932" w:type="dxa"/>
            <w:gridSpan w:val="3"/>
            <w:noWrap w:val="0"/>
            <w:vAlign w:val="top"/>
          </w:tcPr>
          <w:p w14:paraId="05CD21A0">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lang w:val="en-US" w:eastAsia="zh-CN"/>
              </w:rPr>
              <w:t>每出现一次违反以上项目要求扣1分</w:t>
            </w:r>
            <w:r>
              <w:rPr>
                <w:rFonts w:hint="eastAsia" w:asciiTheme="minorEastAsia" w:hAnsiTheme="minorEastAsia" w:eastAsiaTheme="minorEastAsia" w:cstheme="minorEastAsia"/>
                <w:bCs/>
                <w:sz w:val="21"/>
                <w:szCs w:val="21"/>
                <w:highlight w:val="none"/>
                <w:lang w:eastAsia="zh-CN"/>
              </w:rPr>
              <w:t>，</w:t>
            </w:r>
            <w:r>
              <w:rPr>
                <w:rFonts w:hint="eastAsia" w:asciiTheme="minorEastAsia" w:hAnsiTheme="minorEastAsia" w:eastAsiaTheme="minorEastAsia" w:cstheme="minorEastAsia"/>
                <w:bCs/>
                <w:sz w:val="21"/>
                <w:szCs w:val="21"/>
                <w:highlight w:val="none"/>
                <w:lang w:val="en-US" w:eastAsia="zh-CN"/>
              </w:rPr>
              <w:t>85</w:t>
            </w:r>
            <w:r>
              <w:rPr>
                <w:rFonts w:hint="eastAsia" w:asciiTheme="minorEastAsia" w:hAnsiTheme="minorEastAsia" w:eastAsiaTheme="minorEastAsia" w:cstheme="minorEastAsia"/>
                <w:bCs/>
                <w:sz w:val="21"/>
                <w:szCs w:val="21"/>
                <w:highlight w:val="none"/>
              </w:rPr>
              <w:t>分（含）以上为合格完成工作，不扣除合同款</w:t>
            </w:r>
            <w:r>
              <w:rPr>
                <w:rFonts w:hint="eastAsia" w:asciiTheme="minorEastAsia" w:hAnsiTheme="minorEastAsia" w:eastAsiaTheme="minorEastAsia" w:cstheme="minorEastAsia"/>
                <w:bCs/>
                <w:sz w:val="21"/>
                <w:szCs w:val="21"/>
                <w:highlight w:val="none"/>
                <w:lang w:eastAsia="zh-CN"/>
              </w:rPr>
              <w:t>。</w:t>
            </w:r>
            <w:r>
              <w:rPr>
                <w:rFonts w:hint="eastAsia" w:asciiTheme="minorEastAsia" w:hAnsiTheme="minorEastAsia" w:eastAsiaTheme="minorEastAsia" w:cstheme="minorEastAsia"/>
                <w:bCs/>
                <w:sz w:val="21"/>
                <w:szCs w:val="21"/>
                <w:highlight w:val="none"/>
              </w:rPr>
              <w:t>8</w:t>
            </w:r>
            <w:r>
              <w:rPr>
                <w:rFonts w:hint="eastAsia" w:asciiTheme="minorEastAsia" w:hAnsiTheme="minorEastAsia" w:eastAsiaTheme="minorEastAsia" w:cstheme="minorEastAsia"/>
                <w:bCs/>
                <w:sz w:val="21"/>
                <w:szCs w:val="21"/>
                <w:highlight w:val="none"/>
                <w:lang w:val="en-US" w:eastAsia="zh-CN"/>
              </w:rPr>
              <w:t>5</w:t>
            </w:r>
            <w:r>
              <w:rPr>
                <w:rFonts w:hint="eastAsia" w:asciiTheme="minorEastAsia" w:hAnsiTheme="minorEastAsia" w:eastAsiaTheme="minorEastAsia" w:cstheme="minorEastAsia"/>
                <w:bCs/>
                <w:sz w:val="21"/>
                <w:szCs w:val="21"/>
                <w:highlight w:val="none"/>
              </w:rPr>
              <w:t>分以下，按每低1分扣除当月合同款1%</w:t>
            </w:r>
            <w:r>
              <w:rPr>
                <w:rFonts w:hint="eastAsia" w:asciiTheme="minorEastAsia" w:hAnsiTheme="minorEastAsia" w:eastAsiaTheme="minorEastAsia" w:cstheme="minorEastAsia"/>
                <w:bCs/>
                <w:sz w:val="21"/>
                <w:szCs w:val="21"/>
                <w:highlight w:val="none"/>
                <w:lang w:eastAsia="zh-CN"/>
              </w:rPr>
              <w:t>。</w:t>
            </w:r>
            <w:r>
              <w:rPr>
                <w:rFonts w:hint="eastAsia" w:asciiTheme="minorEastAsia" w:hAnsiTheme="minorEastAsia" w:eastAsiaTheme="minorEastAsia" w:cstheme="minorEastAsia"/>
                <w:bCs/>
                <w:sz w:val="21"/>
                <w:szCs w:val="21"/>
                <w:highlight w:val="none"/>
              </w:rPr>
              <w:t>出现</w:t>
            </w:r>
            <w:r>
              <w:rPr>
                <w:rFonts w:hint="eastAsia" w:asciiTheme="minorEastAsia" w:hAnsiTheme="minorEastAsia" w:eastAsiaTheme="minorEastAsia" w:cstheme="minorEastAsia"/>
                <w:bCs/>
                <w:sz w:val="21"/>
                <w:szCs w:val="21"/>
                <w:highlight w:val="none"/>
                <w:lang w:val="en-US" w:eastAsia="zh-CN"/>
              </w:rPr>
              <w:t>严重</w:t>
            </w:r>
            <w:r>
              <w:rPr>
                <w:rFonts w:hint="eastAsia" w:asciiTheme="minorEastAsia" w:hAnsiTheme="minorEastAsia" w:eastAsiaTheme="minorEastAsia" w:cstheme="minorEastAsia"/>
                <w:bCs/>
                <w:sz w:val="21"/>
                <w:szCs w:val="21"/>
                <w:highlight w:val="none"/>
              </w:rPr>
              <w:t>安全事故</w:t>
            </w:r>
            <w:r>
              <w:rPr>
                <w:rFonts w:hint="eastAsia" w:asciiTheme="minorEastAsia" w:hAnsiTheme="minorEastAsia" w:eastAsiaTheme="minorEastAsia" w:cstheme="minorEastAsia"/>
                <w:bCs/>
                <w:sz w:val="21"/>
                <w:szCs w:val="21"/>
                <w:highlight w:val="none"/>
                <w:lang w:val="en-US" w:eastAsia="zh-CN"/>
              </w:rPr>
              <w:t>或连续3个月低于85分</w:t>
            </w:r>
            <w:r>
              <w:rPr>
                <w:rFonts w:hint="eastAsia" w:asciiTheme="minorEastAsia" w:hAnsiTheme="minorEastAsia" w:eastAsiaTheme="minorEastAsia" w:cstheme="minorEastAsia"/>
                <w:bCs/>
                <w:sz w:val="21"/>
                <w:szCs w:val="21"/>
                <w:highlight w:val="none"/>
              </w:rPr>
              <w:t>，甲方有权终止服务合同。</w:t>
            </w:r>
          </w:p>
        </w:tc>
      </w:tr>
    </w:tbl>
    <w:p w14:paraId="30F79BDA">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sz w:val="21"/>
          <w:szCs w:val="21"/>
          <w:highlight w:val="none"/>
          <w:lang w:val="en-US" w:eastAsia="zh-CN"/>
        </w:rPr>
      </w:pPr>
      <w:r>
        <w:rPr>
          <w:rFonts w:hint="eastAsia" w:asciiTheme="minorEastAsia" w:hAnsiTheme="minorEastAsia" w:eastAsiaTheme="minorEastAsia" w:cstheme="minorEastAsia"/>
          <w:color w:val="000000"/>
          <w:sz w:val="21"/>
          <w:szCs w:val="21"/>
          <w:highlight w:val="none"/>
          <w:lang w:val="en-US" w:eastAsia="zh-CN"/>
        </w:rPr>
        <w:t>考核时间：                                                             考核组：</w:t>
      </w:r>
    </w:p>
    <w:p w14:paraId="047EE3C0">
      <w:pPr>
        <w:pStyle w:val="3"/>
        <w:spacing w:line="360" w:lineRule="auto"/>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奖罚细则：每季度付款前依照《西安理工大学</w:t>
      </w:r>
      <w:r>
        <w:rPr>
          <w:rFonts w:hint="eastAsia" w:asciiTheme="minorEastAsia" w:hAnsiTheme="minorEastAsia" w:eastAsiaTheme="minorEastAsia" w:cstheme="minorEastAsia"/>
          <w:sz w:val="21"/>
          <w:szCs w:val="21"/>
          <w:highlight w:val="none"/>
          <w:lang w:eastAsia="zh-CN"/>
        </w:rPr>
        <w:t>金花</w:t>
      </w:r>
      <w:r>
        <w:rPr>
          <w:rFonts w:hint="eastAsia" w:asciiTheme="minorEastAsia" w:hAnsiTheme="minorEastAsia" w:eastAsiaTheme="minorEastAsia" w:cstheme="minorEastAsia"/>
          <w:sz w:val="21"/>
          <w:szCs w:val="21"/>
          <w:highlight w:val="none"/>
        </w:rPr>
        <w:t>校区绿</w:t>
      </w:r>
      <w:r>
        <w:rPr>
          <w:rFonts w:hint="eastAsia" w:asciiTheme="minorEastAsia" w:hAnsiTheme="minorEastAsia" w:eastAsiaTheme="minorEastAsia" w:cstheme="minorEastAsia"/>
          <w:sz w:val="21"/>
          <w:szCs w:val="21"/>
          <w:highlight w:val="none"/>
          <w:lang w:eastAsia="zh-CN"/>
        </w:rPr>
        <w:t>化服务考核表</w:t>
      </w:r>
      <w:r>
        <w:rPr>
          <w:rFonts w:hint="eastAsia" w:asciiTheme="minorEastAsia" w:hAnsiTheme="minorEastAsia" w:eastAsiaTheme="minorEastAsia" w:cstheme="minorEastAsia"/>
          <w:sz w:val="21"/>
          <w:szCs w:val="21"/>
          <w:highlight w:val="none"/>
        </w:rPr>
        <w:t>》和学校的有关管理规定</w:t>
      </w:r>
      <w:r>
        <w:rPr>
          <w:rFonts w:hint="eastAsia" w:asciiTheme="minorEastAsia" w:hAnsiTheme="minorEastAsia" w:eastAsiaTheme="minorEastAsia" w:cstheme="minorEastAsia"/>
          <w:sz w:val="21"/>
          <w:szCs w:val="21"/>
          <w:highlight w:val="none"/>
          <w:lang w:eastAsia="zh-CN"/>
        </w:rPr>
        <w:t>执行</w:t>
      </w:r>
      <w:r>
        <w:rPr>
          <w:rFonts w:hint="eastAsia" w:asciiTheme="minorEastAsia" w:hAnsiTheme="minorEastAsia" w:eastAsiaTheme="minorEastAsia" w:cstheme="minorEastAsia"/>
          <w:sz w:val="21"/>
          <w:szCs w:val="21"/>
          <w:highlight w:val="none"/>
        </w:rPr>
        <w:t>，以考核结果为依据支付乙方单位当月合同进度款，考核分达到良好8</w:t>
      </w:r>
      <w:r>
        <w:rPr>
          <w:rFonts w:hint="eastAsia" w:asciiTheme="minorEastAsia" w:hAnsiTheme="minorEastAsia" w:eastAsiaTheme="minorEastAsia" w:cstheme="minorEastAsia"/>
          <w:sz w:val="21"/>
          <w:szCs w:val="21"/>
          <w:highlight w:val="none"/>
          <w:lang w:val="en-US" w:eastAsia="zh-CN"/>
        </w:rPr>
        <w:t>5</w:t>
      </w:r>
      <w:r>
        <w:rPr>
          <w:rFonts w:hint="eastAsia" w:asciiTheme="minorEastAsia" w:hAnsiTheme="minorEastAsia" w:eastAsiaTheme="minorEastAsia" w:cstheme="minorEastAsia"/>
          <w:sz w:val="21"/>
          <w:szCs w:val="21"/>
          <w:highlight w:val="none"/>
        </w:rPr>
        <w:t>分以上（含</w:t>
      </w:r>
      <w:r>
        <w:rPr>
          <w:rFonts w:hint="eastAsia" w:asciiTheme="minorEastAsia" w:hAnsiTheme="minorEastAsia" w:eastAsiaTheme="minorEastAsia" w:cstheme="minorEastAsia"/>
          <w:sz w:val="21"/>
          <w:szCs w:val="21"/>
          <w:highlight w:val="none"/>
          <w:lang w:val="en-US" w:eastAsia="zh-CN"/>
        </w:rPr>
        <w:t>85</w:t>
      </w:r>
      <w:r>
        <w:rPr>
          <w:rFonts w:hint="eastAsia" w:asciiTheme="minorEastAsia" w:hAnsiTheme="minorEastAsia" w:eastAsiaTheme="minorEastAsia" w:cstheme="minorEastAsia"/>
          <w:sz w:val="21"/>
          <w:szCs w:val="21"/>
          <w:highlight w:val="none"/>
        </w:rPr>
        <w:t>分）为合格基准，低于8</w:t>
      </w:r>
      <w:r>
        <w:rPr>
          <w:rFonts w:hint="eastAsia" w:asciiTheme="minorEastAsia" w:hAnsiTheme="minorEastAsia" w:eastAsiaTheme="minorEastAsia" w:cstheme="minorEastAsia"/>
          <w:sz w:val="21"/>
          <w:szCs w:val="21"/>
          <w:highlight w:val="none"/>
          <w:lang w:val="en-US" w:eastAsia="zh-CN"/>
        </w:rPr>
        <w:t>5</w:t>
      </w:r>
      <w:r>
        <w:rPr>
          <w:rFonts w:hint="eastAsia" w:asciiTheme="minorEastAsia" w:hAnsiTheme="minorEastAsia" w:eastAsiaTheme="minorEastAsia" w:cstheme="minorEastAsia"/>
          <w:sz w:val="21"/>
          <w:szCs w:val="21"/>
          <w:highlight w:val="none"/>
        </w:rPr>
        <w:t>分每低1分扣除当月服务费1%。</w:t>
      </w:r>
    </w:p>
    <w:p w14:paraId="25955295">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040067"/>
    <w:multiLevelType w:val="singleLevel"/>
    <w:tmpl w:val="C7040067"/>
    <w:lvl w:ilvl="0" w:tentative="0">
      <w:start w:val="1"/>
      <w:numFmt w:val="decimal"/>
      <w:suff w:val="nothing"/>
      <w:lvlText w:val="%1、"/>
      <w:lvlJc w:val="left"/>
    </w:lvl>
  </w:abstractNum>
  <w:abstractNum w:abstractNumId="1">
    <w:nsid w:val="348DD68A"/>
    <w:multiLevelType w:val="singleLevel"/>
    <w:tmpl w:val="348DD68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4D5F32"/>
    <w:rsid w:val="06511E5F"/>
    <w:rsid w:val="0DD31855"/>
    <w:rsid w:val="0FCD29BF"/>
    <w:rsid w:val="116A65C1"/>
    <w:rsid w:val="151224E2"/>
    <w:rsid w:val="25AE77EF"/>
    <w:rsid w:val="2C4D5F32"/>
    <w:rsid w:val="2CD02D92"/>
    <w:rsid w:val="31176FE8"/>
    <w:rsid w:val="31420195"/>
    <w:rsid w:val="3CA559CB"/>
    <w:rsid w:val="4AC431B7"/>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7"/>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pPr>
      <w:spacing w:after="156" w:afterLines="50" w:line="360" w:lineRule="auto"/>
    </w:pPr>
    <w:rPr>
      <w:rFonts w:ascii="宋体" w:hAnsi="宋体"/>
      <w:color w:val="000000"/>
      <w:sz w:val="24"/>
    </w:rPr>
  </w:style>
  <w:style w:type="paragraph" w:styleId="4">
    <w:name w:val="Title"/>
    <w:basedOn w:val="1"/>
    <w:next w:val="1"/>
    <w:qFormat/>
    <w:uiPriority w:val="0"/>
    <w:pPr>
      <w:spacing w:before="240" w:after="60" w:line="440" w:lineRule="exact"/>
      <w:jc w:val="center"/>
      <w:outlineLvl w:val="0"/>
    </w:pPr>
    <w:rPr>
      <w:rFonts w:ascii="Cambria" w:hAnsi="Cambria"/>
      <w:b/>
      <w:bCs/>
      <w:sz w:val="32"/>
      <w:szCs w:val="32"/>
    </w:rPr>
  </w:style>
  <w:style w:type="character" w:customStyle="1" w:styleId="7">
    <w:name w:val=" Char Char19"/>
    <w:link w:val="2"/>
    <w:qFormat/>
    <w:uiPriority w:val="0"/>
    <w:rPr>
      <w:rFonts w:ascii="黑体" w:hAnsi="黑体" w:eastAsia="仿宋" w:cs="Times New Roman"/>
      <w:b/>
      <w:kern w:val="0"/>
      <w:sz w:val="28"/>
      <w:szCs w:val="22"/>
      <w:lang w:val="en-US" w:eastAsia="zh-CN" w:bidi="ar-SA"/>
    </w:rPr>
  </w:style>
  <w:style w:type="character" w:customStyle="1" w:styleId="8">
    <w:name w:val="标题 1 Char1"/>
    <w:qFormat/>
    <w:uiPriority w:val="99"/>
    <w:rPr>
      <w:rFonts w:ascii="黑体" w:eastAsia="黑体"/>
      <w:sz w:val="52"/>
      <w:lang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2026-06-03T01:23:00Z</dcterms:created>
  <dc:creator>子夜</dc:creator>
  <cp:lastModifiedBy>子夜</cp:lastModifiedBy>
  <dcterms:modified xsi:type="dcterms:W3CDTF">2026-06-03T01:24:01Z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B7D93BF7E920480189F42D65239B43F7_11</vt:lpwstr>
  </property>
  <property fmtid="{D5CDD505-2E9C-101B-9397-08002B2CF9AE}" pid="4" name="KSOTemplateDocerSaveRecord">
    <vt:lpwstr>eyJoZGlkIjoiZjgyZjZhZDkxNGQxNzg4ZDhlYjkzZTc1NDAzOTBjYWEiLCJ1c2VySWQiOiIyNjAwNjc5MjkifQ==</vt:lpwstr>
  </property>
</Properties>
</file>