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B4CD55">
      <w:pPr>
        <w:widowControl/>
        <w:jc w:val="left"/>
        <w:rPr>
          <w:rFonts w:hint="default" w:ascii="仿宋" w:hAnsi="仿宋" w:eastAsia="仿宋"/>
          <w:b/>
          <w:sz w:val="32"/>
          <w:szCs w:val="32"/>
          <w:lang w:val="en-US" w:eastAsia="zh-CN"/>
        </w:rPr>
      </w:pPr>
      <w:r>
        <w:rPr>
          <w:rFonts w:hint="eastAsia" w:ascii="仿宋" w:hAnsi="仿宋" w:eastAsia="仿宋"/>
          <w:b/>
          <w:sz w:val="32"/>
          <w:szCs w:val="32"/>
          <w:lang w:val="en-US" w:eastAsia="zh-CN"/>
        </w:rPr>
        <w:t>政府采购需求书范本（工程类）</w:t>
      </w:r>
    </w:p>
    <w:tbl>
      <w:tblPr>
        <w:tblStyle w:val="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9"/>
        <w:gridCol w:w="1556"/>
        <w:gridCol w:w="7067"/>
      </w:tblGrid>
      <w:tr w14:paraId="4472E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6CCA6877">
            <w:pPr>
              <w:snapToGrid w:val="0"/>
              <w:jc w:val="center"/>
              <w:rPr>
                <w:rFonts w:ascii="宋体" w:hAnsi="宋体"/>
                <w:b/>
                <w:sz w:val="24"/>
              </w:rPr>
            </w:pPr>
            <w:r>
              <w:rPr>
                <w:rFonts w:hint="eastAsia" w:ascii="宋体" w:hAnsi="宋体"/>
                <w:b/>
                <w:sz w:val="28"/>
                <w:szCs w:val="28"/>
                <w:lang w:val="zh-CN"/>
              </w:rPr>
              <w:t>序号</w:t>
            </w:r>
          </w:p>
        </w:tc>
        <w:tc>
          <w:tcPr>
            <w:tcW w:w="1556" w:type="dxa"/>
            <w:vAlign w:val="center"/>
          </w:tcPr>
          <w:p w14:paraId="0A8D99A6">
            <w:pPr>
              <w:pStyle w:val="10"/>
              <w:ind w:left="38"/>
              <w:jc w:val="center"/>
              <w:rPr>
                <w:b/>
                <w:kern w:val="2"/>
                <w:lang w:val="zh-CN"/>
              </w:rPr>
            </w:pPr>
            <w:r>
              <w:rPr>
                <w:rFonts w:hint="eastAsia"/>
                <w:b/>
                <w:kern w:val="2"/>
                <w:sz w:val="28"/>
                <w:szCs w:val="28"/>
                <w:lang w:val="zh-CN"/>
              </w:rPr>
              <w:t>关键事项</w:t>
            </w:r>
          </w:p>
        </w:tc>
        <w:tc>
          <w:tcPr>
            <w:tcW w:w="7067" w:type="dxa"/>
            <w:vAlign w:val="center"/>
          </w:tcPr>
          <w:p w14:paraId="60A1B8A0">
            <w:pPr>
              <w:pStyle w:val="10"/>
              <w:jc w:val="center"/>
              <w:rPr>
                <w:b/>
                <w:kern w:val="2"/>
                <w:lang w:val="zh-CN"/>
              </w:rPr>
            </w:pPr>
            <w:r>
              <w:rPr>
                <w:rFonts w:hint="eastAsia"/>
                <w:b/>
                <w:kern w:val="2"/>
                <w:sz w:val="28"/>
                <w:szCs w:val="28"/>
                <w:lang w:val="zh-CN"/>
              </w:rPr>
              <w:t>说明和要求</w:t>
            </w:r>
          </w:p>
        </w:tc>
      </w:tr>
      <w:tr w14:paraId="001BF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451489B9">
            <w:pPr>
              <w:snapToGrid w:val="0"/>
              <w:spacing w:after="200"/>
              <w:jc w:val="center"/>
              <w:rPr>
                <w:rFonts w:ascii="宋体" w:hAnsi="宋体"/>
                <w:sz w:val="28"/>
                <w:szCs w:val="28"/>
                <w:lang w:val="zh-CN"/>
              </w:rPr>
            </w:pPr>
            <w:r>
              <w:rPr>
                <w:rFonts w:ascii="宋体" w:hAnsi="宋体"/>
                <w:sz w:val="28"/>
                <w:szCs w:val="28"/>
                <w:lang w:val="zh-CN"/>
              </w:rPr>
              <w:t>1</w:t>
            </w:r>
          </w:p>
        </w:tc>
        <w:tc>
          <w:tcPr>
            <w:tcW w:w="1556" w:type="dxa"/>
            <w:vAlign w:val="center"/>
          </w:tcPr>
          <w:p w14:paraId="67FBC92A">
            <w:pPr>
              <w:pStyle w:val="10"/>
              <w:ind w:left="38"/>
              <w:jc w:val="center"/>
              <w:rPr>
                <w:kern w:val="2"/>
                <w:lang w:val="zh-CN"/>
              </w:rPr>
            </w:pPr>
            <w:r>
              <w:rPr>
                <w:rFonts w:hint="eastAsia"/>
                <w:kern w:val="2"/>
                <w:lang w:val="zh-CN"/>
              </w:rPr>
              <w:t>采购预算</w:t>
            </w:r>
          </w:p>
        </w:tc>
        <w:tc>
          <w:tcPr>
            <w:tcW w:w="7067" w:type="dxa"/>
            <w:vAlign w:val="center"/>
          </w:tcPr>
          <w:p w14:paraId="75D1347E">
            <w:pPr>
              <w:pStyle w:val="10"/>
              <w:jc w:val="both"/>
              <w:rPr>
                <w:b/>
                <w:kern w:val="2"/>
                <w:lang w:val="zh-CN"/>
              </w:rPr>
            </w:pPr>
            <w:r>
              <w:rPr>
                <w:rFonts w:hint="eastAsia"/>
                <w:b/>
                <w:kern w:val="2"/>
                <w:lang w:val="zh-CN"/>
              </w:rPr>
              <w:t>人民币</w:t>
            </w:r>
            <w:r>
              <w:rPr>
                <w:rFonts w:hint="eastAsia"/>
                <w:b/>
                <w:kern w:val="2"/>
                <w:u w:val="single"/>
                <w:lang w:val="en-US" w:eastAsia="zh-CN"/>
              </w:rPr>
              <w:t>1140000</w:t>
            </w:r>
            <w:r>
              <w:rPr>
                <w:rFonts w:hint="eastAsia"/>
                <w:b/>
                <w:kern w:val="2"/>
                <w:lang w:val="zh-CN"/>
              </w:rPr>
              <w:t>元</w:t>
            </w:r>
          </w:p>
          <w:p w14:paraId="79974C93">
            <w:pPr>
              <w:pStyle w:val="10"/>
              <w:jc w:val="both"/>
              <w:rPr>
                <w:b/>
                <w:kern w:val="2"/>
                <w:lang w:val="zh-CN"/>
              </w:rPr>
            </w:pPr>
            <w:r>
              <w:rPr>
                <w:rFonts w:hint="eastAsia"/>
                <w:kern w:val="2"/>
                <w:sz w:val="21"/>
                <w:szCs w:val="21"/>
                <w:lang w:val="zh-CN"/>
              </w:rPr>
              <w:t>仅指与本次采购标的直接相关的费用，前期勘察费、设计费等已发生的费用，以及监理费、接口费等为未来预留费用，不应当包含在本项目采购预算内，甲方须向本级财政部门经费业务处室申请办理经费剥离手续。</w:t>
            </w:r>
          </w:p>
        </w:tc>
      </w:tr>
      <w:tr w14:paraId="026FC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2FBBEA25">
            <w:pPr>
              <w:snapToGrid w:val="0"/>
              <w:spacing w:after="200"/>
              <w:jc w:val="center"/>
              <w:rPr>
                <w:rFonts w:ascii="宋体" w:hAnsi="宋体"/>
                <w:sz w:val="28"/>
                <w:szCs w:val="28"/>
                <w:lang w:val="zh-CN"/>
              </w:rPr>
            </w:pPr>
            <w:r>
              <w:rPr>
                <w:rFonts w:ascii="宋体" w:hAnsi="宋体"/>
                <w:sz w:val="28"/>
                <w:szCs w:val="28"/>
                <w:lang w:val="zh-CN"/>
              </w:rPr>
              <w:t>2</w:t>
            </w:r>
          </w:p>
        </w:tc>
        <w:tc>
          <w:tcPr>
            <w:tcW w:w="1556" w:type="dxa"/>
            <w:vAlign w:val="center"/>
          </w:tcPr>
          <w:p w14:paraId="2D0672F9">
            <w:pPr>
              <w:pStyle w:val="10"/>
              <w:ind w:left="38"/>
              <w:jc w:val="center"/>
              <w:rPr>
                <w:kern w:val="2"/>
                <w:lang w:val="zh-CN"/>
              </w:rPr>
            </w:pPr>
            <w:r>
              <w:rPr>
                <w:rFonts w:hint="eastAsia"/>
                <w:kern w:val="2"/>
                <w:lang w:val="zh-CN"/>
              </w:rPr>
              <w:t>最高限价</w:t>
            </w:r>
          </w:p>
        </w:tc>
        <w:tc>
          <w:tcPr>
            <w:tcW w:w="7067" w:type="dxa"/>
            <w:vAlign w:val="center"/>
          </w:tcPr>
          <w:p w14:paraId="5472682E">
            <w:pPr>
              <w:pStyle w:val="10"/>
              <w:jc w:val="both"/>
              <w:rPr>
                <w:b/>
                <w:kern w:val="2"/>
                <w:lang w:val="zh-CN"/>
              </w:rPr>
            </w:pPr>
            <w:r>
              <w:rPr>
                <w:rFonts w:hint="eastAsia"/>
                <w:b/>
                <w:kern w:val="2"/>
                <w:lang w:val="zh-CN"/>
              </w:rPr>
              <w:t>人民币</w:t>
            </w:r>
            <w:r>
              <w:rPr>
                <w:rFonts w:hint="eastAsia"/>
                <w:b/>
                <w:kern w:val="2"/>
                <w:u w:val="single"/>
                <w:lang w:val="zh-CN"/>
              </w:rPr>
              <w:t>1036252.08</w:t>
            </w:r>
            <w:r>
              <w:rPr>
                <w:rFonts w:hint="eastAsia"/>
                <w:b/>
                <w:kern w:val="2"/>
                <w:lang w:val="zh-CN"/>
              </w:rPr>
              <w:t>元</w:t>
            </w:r>
          </w:p>
          <w:p w14:paraId="7602CF08">
            <w:pPr>
              <w:pStyle w:val="10"/>
              <w:ind w:left="38"/>
              <w:jc w:val="both"/>
              <w:rPr>
                <w:b/>
                <w:kern w:val="2"/>
                <w:lang w:val="zh-CN"/>
              </w:rPr>
            </w:pPr>
            <w:r>
              <w:rPr>
                <w:rFonts w:hint="eastAsia"/>
                <w:kern w:val="2"/>
                <w:sz w:val="21"/>
                <w:szCs w:val="21"/>
                <w:lang w:val="zh-CN"/>
              </w:rPr>
              <w:t>供应商投标报价高于最高限价的则其投标文件将按无效投标文件处理。</w:t>
            </w:r>
          </w:p>
        </w:tc>
      </w:tr>
      <w:tr w14:paraId="0DFAA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30800690">
            <w:pPr>
              <w:snapToGrid w:val="0"/>
              <w:spacing w:after="200"/>
              <w:jc w:val="center"/>
              <w:rPr>
                <w:rFonts w:ascii="宋体" w:hAnsi="宋体"/>
                <w:sz w:val="28"/>
                <w:szCs w:val="28"/>
                <w:lang w:val="zh-CN"/>
              </w:rPr>
            </w:pPr>
            <w:r>
              <w:rPr>
                <w:rFonts w:ascii="宋体" w:hAnsi="宋体"/>
                <w:sz w:val="28"/>
                <w:szCs w:val="28"/>
                <w:lang w:val="zh-CN"/>
              </w:rPr>
              <w:t>3</w:t>
            </w:r>
          </w:p>
        </w:tc>
        <w:tc>
          <w:tcPr>
            <w:tcW w:w="1556" w:type="dxa"/>
            <w:vAlign w:val="center"/>
          </w:tcPr>
          <w:p w14:paraId="10950665">
            <w:pPr>
              <w:pStyle w:val="10"/>
              <w:ind w:left="38"/>
              <w:jc w:val="center"/>
              <w:rPr>
                <w:rFonts w:hint="eastAsia"/>
                <w:kern w:val="2"/>
                <w:lang w:val="zh-CN"/>
              </w:rPr>
            </w:pPr>
            <w:r>
              <w:rPr>
                <w:rFonts w:hint="eastAsia"/>
                <w:kern w:val="2"/>
                <w:lang w:val="zh-CN"/>
              </w:rPr>
              <w:t>暂列金</w:t>
            </w:r>
          </w:p>
          <w:p w14:paraId="3F7C7756">
            <w:pPr>
              <w:pStyle w:val="10"/>
              <w:ind w:left="38"/>
              <w:jc w:val="center"/>
              <w:rPr>
                <w:rFonts w:hint="eastAsia"/>
                <w:kern w:val="2"/>
                <w:lang w:val="zh-CN"/>
              </w:rPr>
            </w:pPr>
            <w:r>
              <w:rPr>
                <w:rFonts w:hint="eastAsia"/>
                <w:kern w:val="2"/>
                <w:lang w:val="zh-CN"/>
              </w:rPr>
              <w:t>或暂估价</w:t>
            </w:r>
          </w:p>
        </w:tc>
        <w:tc>
          <w:tcPr>
            <w:tcW w:w="7067" w:type="dxa"/>
            <w:vAlign w:val="center"/>
          </w:tcPr>
          <w:p w14:paraId="4EC2CD61">
            <w:pPr>
              <w:pStyle w:val="10"/>
              <w:jc w:val="both"/>
              <w:rPr>
                <w:b/>
                <w:kern w:val="2"/>
                <w:lang w:val="zh-CN"/>
              </w:rPr>
            </w:pPr>
            <w:r>
              <w:rPr>
                <w:rFonts w:hint="eastAsia"/>
                <w:b/>
                <w:kern w:val="2"/>
                <w:lang w:val="zh-CN"/>
              </w:rPr>
              <w:t>人民币</w:t>
            </w:r>
            <w:r>
              <w:rPr>
                <w:rFonts w:hint="eastAsia" w:ascii="宋体" w:hAnsi="宋体"/>
                <w:b/>
                <w:sz w:val="24"/>
                <w:u w:val="single"/>
                <w:lang w:val="en-US" w:eastAsia="zh-CN"/>
              </w:rPr>
              <w:t xml:space="preserve"> / </w:t>
            </w:r>
            <w:r>
              <w:rPr>
                <w:rFonts w:hint="eastAsia"/>
                <w:b/>
                <w:kern w:val="2"/>
                <w:lang w:val="zh-CN"/>
              </w:rPr>
              <w:t>元</w:t>
            </w:r>
          </w:p>
          <w:p w14:paraId="1F3B92D9">
            <w:pPr>
              <w:pStyle w:val="10"/>
              <w:jc w:val="both"/>
              <w:rPr>
                <w:rFonts w:hint="eastAsia"/>
                <w:b/>
                <w:kern w:val="2"/>
                <w:lang w:val="zh-CN"/>
              </w:rPr>
            </w:pPr>
            <w:r>
              <w:rPr>
                <w:kern w:val="2"/>
                <w:sz w:val="21"/>
                <w:szCs w:val="21"/>
                <w:lang w:val="zh-CN"/>
              </w:rPr>
              <w:t>如有，请列明。</w:t>
            </w:r>
          </w:p>
        </w:tc>
      </w:tr>
      <w:tr w14:paraId="17BDA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1001AFA0">
            <w:pPr>
              <w:snapToGrid w:val="0"/>
              <w:spacing w:after="200"/>
              <w:jc w:val="center"/>
              <w:rPr>
                <w:rFonts w:hint="eastAsia" w:ascii="宋体" w:hAnsi="宋体"/>
                <w:sz w:val="28"/>
                <w:szCs w:val="28"/>
                <w:lang w:val="zh-CN"/>
              </w:rPr>
            </w:pPr>
            <w:r>
              <w:rPr>
                <w:rFonts w:ascii="宋体" w:hAnsi="宋体"/>
                <w:sz w:val="28"/>
                <w:szCs w:val="28"/>
                <w:lang w:val="zh-CN"/>
              </w:rPr>
              <w:t>4</w:t>
            </w:r>
          </w:p>
        </w:tc>
        <w:tc>
          <w:tcPr>
            <w:tcW w:w="1556" w:type="dxa"/>
            <w:vAlign w:val="center"/>
          </w:tcPr>
          <w:p w14:paraId="3D57B68A">
            <w:pPr>
              <w:pStyle w:val="10"/>
              <w:ind w:left="38"/>
              <w:jc w:val="center"/>
              <w:rPr>
                <w:rFonts w:hint="eastAsia"/>
                <w:kern w:val="2"/>
                <w:lang w:val="zh-CN"/>
              </w:rPr>
            </w:pPr>
            <w:r>
              <w:rPr>
                <w:rFonts w:hint="eastAsia"/>
                <w:kern w:val="2"/>
                <w:lang w:val="zh-CN"/>
              </w:rPr>
              <w:t>图纸</w:t>
            </w:r>
          </w:p>
        </w:tc>
        <w:tc>
          <w:tcPr>
            <w:tcW w:w="7067" w:type="dxa"/>
            <w:vAlign w:val="center"/>
          </w:tcPr>
          <w:p w14:paraId="073D132C">
            <w:pPr>
              <w:pStyle w:val="10"/>
              <w:jc w:val="both"/>
              <w:rPr>
                <w:b/>
                <w:kern w:val="2"/>
                <w:lang w:val="zh-CN"/>
              </w:rPr>
            </w:pPr>
            <w:r>
              <w:rPr>
                <w:rFonts w:hint="eastAsia" w:ascii="宋体" w:hAnsi="宋体" w:eastAsia="宋体" w:cs="宋体"/>
                <w:b/>
                <w:sz w:val="24"/>
                <w:lang w:val="zh-CN"/>
              </w:rPr>
              <w:t>●</w:t>
            </w:r>
            <w:r>
              <w:rPr>
                <w:rFonts w:hint="eastAsia"/>
                <w:b/>
                <w:kern w:val="2"/>
                <w:lang w:val="zh-CN"/>
              </w:rPr>
              <w:t>有图纸，图纸与工程量清单不一致时以</w:t>
            </w:r>
            <w:r>
              <w:rPr>
                <w:rFonts w:hint="eastAsia"/>
                <w:b/>
                <w:kern w:val="2"/>
                <w:u w:val="single"/>
                <w:lang w:val="en-US" w:eastAsia="zh-CN"/>
              </w:rPr>
              <w:t xml:space="preserve">         </w:t>
            </w:r>
            <w:r>
              <w:rPr>
                <w:rFonts w:hint="eastAsia"/>
                <w:b/>
                <w:kern w:val="2"/>
                <w:lang w:val="zh-CN"/>
              </w:rPr>
              <w:t>为准。</w:t>
            </w:r>
          </w:p>
          <w:p w14:paraId="0B957E31">
            <w:pPr>
              <w:pStyle w:val="10"/>
              <w:jc w:val="both"/>
              <w:rPr>
                <w:rFonts w:hint="eastAsia"/>
                <w:b/>
                <w:kern w:val="2"/>
                <w:lang w:val="zh-CN"/>
              </w:rPr>
            </w:pPr>
            <w:r>
              <w:rPr>
                <w:b/>
                <w:kern w:val="2"/>
                <w:lang w:val="zh-CN"/>
              </w:rPr>
              <w:t>○无图纸</w:t>
            </w:r>
          </w:p>
        </w:tc>
      </w:tr>
      <w:tr w14:paraId="0008E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3A5863D4">
            <w:pPr>
              <w:snapToGrid w:val="0"/>
              <w:spacing w:after="200"/>
              <w:jc w:val="center"/>
              <w:rPr>
                <w:rFonts w:ascii="宋体" w:hAnsi="宋体"/>
                <w:sz w:val="28"/>
                <w:szCs w:val="28"/>
                <w:lang w:val="zh-CN"/>
              </w:rPr>
            </w:pPr>
            <w:r>
              <w:rPr>
                <w:rFonts w:ascii="宋体" w:hAnsi="宋体"/>
                <w:sz w:val="28"/>
                <w:szCs w:val="28"/>
                <w:lang w:val="zh-CN"/>
              </w:rPr>
              <w:t>5</w:t>
            </w:r>
          </w:p>
        </w:tc>
        <w:tc>
          <w:tcPr>
            <w:tcW w:w="1556" w:type="dxa"/>
            <w:vMerge w:val="restart"/>
            <w:vAlign w:val="center"/>
          </w:tcPr>
          <w:p w14:paraId="601E43AE">
            <w:pPr>
              <w:pStyle w:val="10"/>
              <w:ind w:left="38"/>
              <w:jc w:val="center"/>
              <w:rPr>
                <w:kern w:val="2"/>
                <w:lang w:val="zh-CN"/>
              </w:rPr>
            </w:pPr>
            <w:r>
              <w:rPr>
                <w:rFonts w:hint="eastAsia"/>
                <w:kern w:val="2"/>
                <w:lang w:val="zh-CN"/>
              </w:rPr>
              <w:t>项目性质</w:t>
            </w:r>
          </w:p>
        </w:tc>
        <w:tc>
          <w:tcPr>
            <w:tcW w:w="7067" w:type="dxa"/>
            <w:vAlign w:val="center"/>
          </w:tcPr>
          <w:p w14:paraId="383B5B97">
            <w:pPr>
              <w:pStyle w:val="10"/>
              <w:jc w:val="both"/>
              <w:rPr>
                <w:b/>
                <w:kern w:val="2"/>
                <w:lang w:val="zh-CN"/>
              </w:rPr>
            </w:pPr>
            <w:r>
              <w:rPr>
                <w:rFonts w:hint="eastAsia" w:ascii="宋体" w:hAnsi="宋体" w:eastAsia="宋体" w:cs="宋体"/>
                <w:b/>
                <w:sz w:val="24"/>
                <w:lang w:val="zh-CN"/>
              </w:rPr>
              <w:t>●</w:t>
            </w:r>
            <w:r>
              <w:rPr>
                <w:rFonts w:hint="eastAsia"/>
                <w:b/>
                <w:kern w:val="2"/>
                <w:lang w:val="zh-CN"/>
              </w:rPr>
              <w:t>专门面向中小企业采购</w:t>
            </w:r>
          </w:p>
          <w:p w14:paraId="1FF98FF1">
            <w:pPr>
              <w:pStyle w:val="10"/>
              <w:ind w:left="38"/>
              <w:jc w:val="both"/>
              <w:rPr>
                <w:b/>
                <w:kern w:val="2"/>
                <w:lang w:val="zh-CN"/>
              </w:rPr>
            </w:pPr>
            <w:r>
              <w:rPr>
                <w:rFonts w:hint="eastAsia"/>
                <w:kern w:val="2"/>
                <w:sz w:val="21"/>
                <w:szCs w:val="21"/>
                <w:lang w:val="zh-CN"/>
              </w:rPr>
              <w:t>仅允许中小企业或小型、微型企业参与投标。</w:t>
            </w:r>
          </w:p>
        </w:tc>
      </w:tr>
      <w:tr w14:paraId="423E7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665D2AA7">
            <w:pPr>
              <w:snapToGrid w:val="0"/>
              <w:spacing w:after="200"/>
              <w:ind w:left="142"/>
              <w:jc w:val="center"/>
              <w:rPr>
                <w:rFonts w:ascii="宋体" w:hAnsi="宋体"/>
                <w:b/>
                <w:sz w:val="28"/>
                <w:szCs w:val="28"/>
                <w:lang w:val="zh-CN"/>
              </w:rPr>
            </w:pPr>
          </w:p>
        </w:tc>
        <w:tc>
          <w:tcPr>
            <w:tcW w:w="1556" w:type="dxa"/>
            <w:vMerge w:val="continue"/>
            <w:vAlign w:val="center"/>
          </w:tcPr>
          <w:p w14:paraId="5DFA8682">
            <w:pPr>
              <w:pStyle w:val="10"/>
              <w:ind w:left="96"/>
              <w:jc w:val="center"/>
              <w:rPr>
                <w:kern w:val="2"/>
                <w:lang w:val="zh-CN"/>
              </w:rPr>
            </w:pPr>
          </w:p>
        </w:tc>
        <w:tc>
          <w:tcPr>
            <w:tcW w:w="7067" w:type="dxa"/>
            <w:vAlign w:val="center"/>
          </w:tcPr>
          <w:p w14:paraId="27EF3EEE">
            <w:pPr>
              <w:rPr>
                <w:rFonts w:ascii="宋体" w:hAnsi="宋体" w:cs="宋体"/>
                <w:b/>
                <w:sz w:val="24"/>
                <w:szCs w:val="24"/>
                <w:lang w:val="zh-CN"/>
              </w:rPr>
            </w:pPr>
            <w:r>
              <w:rPr>
                <w:rFonts w:ascii="宋体" w:hAnsi="宋体" w:cs="宋体"/>
                <w:b/>
                <w:sz w:val="24"/>
                <w:szCs w:val="24"/>
                <w:lang w:val="zh-CN"/>
              </w:rPr>
              <w:t>○</w:t>
            </w:r>
            <w:r>
              <w:rPr>
                <w:rFonts w:hint="eastAsia" w:ascii="宋体" w:hAnsi="宋体" w:cs="宋体"/>
                <w:b/>
                <w:sz w:val="24"/>
                <w:szCs w:val="24"/>
                <w:lang w:val="zh-CN"/>
              </w:rPr>
              <w:t>非专门面向中小企业采购</w:t>
            </w:r>
          </w:p>
          <w:p w14:paraId="6CD87B47">
            <w:pPr>
              <w:ind w:right="94" w:rightChars="45"/>
              <w:rPr>
                <w:rFonts w:ascii="宋体" w:hAnsi="宋体"/>
                <w:b/>
                <w:szCs w:val="21"/>
              </w:rPr>
            </w:pPr>
            <w:r>
              <w:rPr>
                <w:rFonts w:hint="eastAsia" w:ascii="宋体" w:hAnsi="宋体" w:cs="宋体"/>
                <w:color w:val="000000" w:themeColor="text1"/>
                <w:kern w:val="0"/>
                <w:szCs w:val="21"/>
                <w:lang w:val="zh-CN"/>
                <w14:textFill>
                  <w14:solidFill>
                    <w14:schemeClr w14:val="tx1"/>
                  </w14:solidFill>
                </w14:textFill>
              </w:rPr>
              <w:t>对符合《政府采购促进中小企业发展管理办法》（财库〔2020〕46号）规定的小微企业（监狱企业视同小型、微型企业）的</w:t>
            </w:r>
            <w:r>
              <w:rPr>
                <w:rFonts w:hint="eastAsia" w:ascii="宋体" w:hAnsi="宋体" w:cs="宋体"/>
                <w:b/>
                <w:color w:val="000000" w:themeColor="text1"/>
                <w:kern w:val="0"/>
                <w:szCs w:val="21"/>
                <w:lang w:val="zh-CN"/>
                <w14:textFill>
                  <w14:solidFill>
                    <w14:schemeClr w14:val="tx1"/>
                  </w14:solidFill>
                </w14:textFill>
              </w:rPr>
              <w:t>报价给予___%（</w:t>
            </w:r>
            <w:r>
              <w:rPr>
                <w:rFonts w:ascii="宋体" w:hAnsi="宋体" w:cs="宋体"/>
                <w:b/>
                <w:color w:val="000000" w:themeColor="text1"/>
                <w:kern w:val="0"/>
                <w:szCs w:val="21"/>
                <w:lang w:val="zh-CN"/>
                <w14:textFill>
                  <w14:solidFill>
                    <w14:schemeClr w14:val="tx1"/>
                  </w14:solidFill>
                </w14:textFill>
              </w:rPr>
              <w:t>3</w:t>
            </w:r>
            <w:r>
              <w:rPr>
                <w:rFonts w:hint="eastAsia" w:ascii="宋体" w:hAnsi="宋体" w:cs="宋体"/>
                <w:b/>
                <w:color w:val="000000" w:themeColor="text1"/>
                <w:kern w:val="0"/>
                <w:szCs w:val="21"/>
                <w:lang w:val="zh-CN"/>
                <w14:textFill>
                  <w14:solidFill>
                    <w14:schemeClr w14:val="tx1"/>
                  </w14:solidFill>
                </w14:textFill>
              </w:rPr>
              <w:t>%-</w:t>
            </w:r>
            <w:r>
              <w:rPr>
                <w:rFonts w:ascii="宋体" w:hAnsi="宋体" w:cs="宋体"/>
                <w:b/>
                <w:color w:val="000000" w:themeColor="text1"/>
                <w:kern w:val="0"/>
                <w:szCs w:val="21"/>
                <w:lang w:val="zh-CN"/>
                <w14:textFill>
                  <w14:solidFill>
                    <w14:schemeClr w14:val="tx1"/>
                  </w14:solidFill>
                </w14:textFill>
              </w:rPr>
              <w:t>5%</w:t>
            </w:r>
            <w:r>
              <w:rPr>
                <w:rFonts w:hint="eastAsia" w:ascii="宋体" w:hAnsi="宋体" w:cs="宋体"/>
                <w:b/>
                <w:color w:val="000000" w:themeColor="text1"/>
                <w:kern w:val="0"/>
                <w:szCs w:val="21"/>
                <w:lang w:val="zh-CN"/>
                <w14:textFill>
                  <w14:solidFill>
                    <w14:schemeClr w14:val="tx1"/>
                  </w14:solidFill>
                </w14:textFill>
              </w:rPr>
              <w:t>）的扣除（当采用招标方式时，实际上是对其价格分给予一定比例的增加）</w:t>
            </w:r>
            <w:r>
              <w:rPr>
                <w:rFonts w:hint="eastAsia" w:ascii="宋体" w:hAnsi="宋体" w:cs="宋体"/>
                <w:color w:val="000000" w:themeColor="text1"/>
                <w:kern w:val="0"/>
                <w:szCs w:val="21"/>
                <w:lang w:val="zh-CN"/>
                <w14:textFill>
                  <w14:solidFill>
                    <w14:schemeClr w14:val="tx1"/>
                  </w14:solidFill>
                </w14:textFill>
              </w:rPr>
              <w:t>，用扣除后的价格参加评审。</w:t>
            </w:r>
          </w:p>
        </w:tc>
      </w:tr>
      <w:tr w14:paraId="35254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16F4F5C2">
            <w:pPr>
              <w:snapToGrid w:val="0"/>
              <w:spacing w:after="200"/>
              <w:jc w:val="center"/>
              <w:rPr>
                <w:rFonts w:ascii="宋体" w:hAnsi="宋体"/>
                <w:sz w:val="24"/>
              </w:rPr>
            </w:pPr>
            <w:r>
              <w:rPr>
                <w:rFonts w:ascii="宋体" w:hAnsi="宋体"/>
                <w:sz w:val="24"/>
              </w:rPr>
              <w:t>6</w:t>
            </w:r>
          </w:p>
        </w:tc>
        <w:tc>
          <w:tcPr>
            <w:tcW w:w="1556" w:type="dxa"/>
            <w:vAlign w:val="center"/>
          </w:tcPr>
          <w:p w14:paraId="0D71EEB0">
            <w:pPr>
              <w:pStyle w:val="10"/>
              <w:ind w:left="96"/>
              <w:jc w:val="center"/>
              <w:rPr>
                <w:kern w:val="2"/>
                <w:lang w:val="zh-CN"/>
              </w:rPr>
            </w:pPr>
            <w:r>
              <w:rPr>
                <w:kern w:val="2"/>
                <w:lang w:val="zh-CN"/>
              </w:rPr>
              <w:t>对供应商的</w:t>
            </w:r>
          </w:p>
          <w:p w14:paraId="556AE630">
            <w:pPr>
              <w:pStyle w:val="10"/>
              <w:ind w:left="96"/>
              <w:jc w:val="center"/>
              <w:rPr>
                <w:kern w:val="2"/>
                <w:lang w:val="zh-CN"/>
              </w:rPr>
            </w:pPr>
            <w:r>
              <w:rPr>
                <w:kern w:val="2"/>
                <w:lang w:val="zh-CN"/>
              </w:rPr>
              <w:t>资格要求</w:t>
            </w:r>
          </w:p>
        </w:tc>
        <w:tc>
          <w:tcPr>
            <w:tcW w:w="7067" w:type="dxa"/>
            <w:vAlign w:val="center"/>
          </w:tcPr>
          <w:p w14:paraId="75EDE92B">
            <w:pPr>
              <w:pStyle w:val="10"/>
              <w:jc w:val="both"/>
              <w:rPr>
                <w:rFonts w:hint="eastAsia"/>
                <w:kern w:val="2"/>
                <w:lang w:val="zh-CN" w:eastAsia="zh-CN"/>
              </w:rPr>
            </w:pPr>
            <w:r>
              <w:rPr>
                <w:rFonts w:hint="eastAsia"/>
                <w:kern w:val="2"/>
                <w:lang w:val="zh-CN" w:eastAsia="zh-CN"/>
              </w:rPr>
              <w:t>1.具有独立承担民事责任能力的法人、其他组织或自然人，企业法人应提供具有社会统一信用代码的营业执照，事业单位应提供事业单位法人证书，其他组织应提供合法登记证明文件，自然人应提供身份证，所有证件应合法有效；</w:t>
            </w:r>
          </w:p>
          <w:p w14:paraId="339EB31F">
            <w:pPr>
              <w:pStyle w:val="10"/>
              <w:jc w:val="both"/>
              <w:rPr>
                <w:rFonts w:hint="eastAsia"/>
                <w:kern w:val="2"/>
                <w:lang w:val="zh-CN" w:eastAsia="zh-CN"/>
              </w:rPr>
            </w:pPr>
            <w:r>
              <w:rPr>
                <w:rFonts w:hint="eastAsia"/>
                <w:kern w:val="2"/>
                <w:lang w:val="zh-CN" w:eastAsia="zh-CN"/>
              </w:rPr>
              <w:t>2.被授权人参与磋商的，需提供法定代表人授权委托书及加盖公章的被授权人身份证复印件，以及被授权人开标前六个月内任意一个月的社保缴纳证明；法定代表人直接参与磋商的，需提供法定代表人身份证明及法定代表人身份证复印件；</w:t>
            </w:r>
          </w:p>
          <w:p w14:paraId="2BB8EDAF">
            <w:pPr>
              <w:pStyle w:val="10"/>
              <w:jc w:val="both"/>
              <w:rPr>
                <w:rFonts w:hint="eastAsia"/>
                <w:kern w:val="2"/>
                <w:lang w:val="zh-CN" w:eastAsia="zh-CN"/>
              </w:rPr>
            </w:pPr>
            <w:r>
              <w:rPr>
                <w:rFonts w:hint="eastAsia"/>
                <w:kern w:val="2"/>
                <w:lang w:val="zh-CN" w:eastAsia="zh-CN"/>
              </w:rPr>
              <w:t>3.供应商提供具有履行合同所必需的设备和专业技术能力的承诺函；</w:t>
            </w:r>
          </w:p>
          <w:p w14:paraId="555BB8B6">
            <w:pPr>
              <w:pStyle w:val="10"/>
              <w:jc w:val="both"/>
              <w:rPr>
                <w:rFonts w:hint="eastAsia"/>
                <w:kern w:val="2"/>
                <w:lang w:val="zh-CN" w:eastAsia="zh-CN"/>
              </w:rPr>
            </w:pPr>
            <w:r>
              <w:rPr>
                <w:rFonts w:hint="eastAsia"/>
                <w:kern w:val="2"/>
                <w:lang w:val="zh-CN" w:eastAsia="zh-CN"/>
              </w:rPr>
              <w:t>4.供应商提供参加本次政府采购活动前三年内在经营活动中没有重大违法记录的书面声明；</w:t>
            </w:r>
          </w:p>
          <w:p w14:paraId="70509315">
            <w:pPr>
              <w:pStyle w:val="10"/>
              <w:jc w:val="both"/>
              <w:rPr>
                <w:rFonts w:hint="eastAsia"/>
                <w:kern w:val="2"/>
                <w:lang w:val="zh-CN" w:eastAsia="zh-CN"/>
              </w:rPr>
            </w:pPr>
            <w:r>
              <w:rPr>
                <w:rFonts w:hint="eastAsia"/>
                <w:kern w:val="2"/>
                <w:lang w:val="zh-CN" w:eastAsia="zh-CN"/>
              </w:rPr>
              <w:t>5.供应商须具备建设主管部门核发的建筑工程施工总承包三级及以上资质，并具有有效的安全生产许可证；</w:t>
            </w:r>
          </w:p>
          <w:p w14:paraId="37C3B678">
            <w:pPr>
              <w:pStyle w:val="10"/>
              <w:jc w:val="both"/>
              <w:rPr>
                <w:rFonts w:hint="eastAsia"/>
                <w:kern w:val="2"/>
                <w:lang w:val="zh-CN" w:eastAsia="zh-CN"/>
              </w:rPr>
            </w:pPr>
            <w:r>
              <w:rPr>
                <w:rFonts w:hint="eastAsia"/>
                <w:kern w:val="2"/>
                <w:lang w:val="zh-CN" w:eastAsia="zh-CN"/>
              </w:rPr>
              <w:t>6.拟派项目经理须具备建筑工程专业二级及以上注册建造师执业资格和有效的安全生产考核合格证书(B证)，需在本单位注册，且未担任其他在建工程项目的项目经理；</w:t>
            </w:r>
          </w:p>
          <w:p w14:paraId="336F4FF7">
            <w:pPr>
              <w:pStyle w:val="10"/>
              <w:jc w:val="both"/>
              <w:rPr>
                <w:rFonts w:hint="eastAsia"/>
                <w:kern w:val="2"/>
                <w:lang w:val="zh-CN" w:eastAsia="zh-CN"/>
              </w:rPr>
            </w:pPr>
            <w:r>
              <w:rPr>
                <w:rFonts w:hint="eastAsia"/>
                <w:kern w:val="2"/>
                <w:lang w:val="zh-CN" w:eastAsia="zh-CN"/>
              </w:rPr>
              <w:t>7.供应商及项目经理须在“陕西省建筑市场监管与诚信信息发布平台”可查询且无不良记录；</w:t>
            </w:r>
          </w:p>
          <w:p w14:paraId="6C17F69B">
            <w:pPr>
              <w:pStyle w:val="10"/>
              <w:jc w:val="both"/>
              <w:rPr>
                <w:rFonts w:hint="eastAsia"/>
                <w:kern w:val="2"/>
                <w:lang w:val="zh-CN" w:eastAsia="zh-CN"/>
              </w:rPr>
            </w:pPr>
            <w:r>
              <w:rPr>
                <w:rFonts w:hint="eastAsia"/>
                <w:kern w:val="2"/>
                <w:lang w:val="zh-CN" w:eastAsia="zh-CN"/>
              </w:rPr>
              <w:t>8.供应商提供在本项目磋商响应文件递交截止时间前六个月内任意一个月的依法缴纳税收和社会保障资金的证明(依法免税或不需要缴纳社会保障资金的供应商，应提供相应文件证明其依法免税或不需要缴纳社会保障资金)；</w:t>
            </w:r>
          </w:p>
          <w:p w14:paraId="180BCFC9">
            <w:pPr>
              <w:pStyle w:val="10"/>
              <w:jc w:val="both"/>
              <w:rPr>
                <w:rFonts w:hint="default"/>
                <w:kern w:val="2"/>
                <w:lang w:val="en-US" w:eastAsia="zh-CN"/>
              </w:rPr>
            </w:pPr>
            <w:r>
              <w:rPr>
                <w:rFonts w:hint="eastAsia"/>
                <w:kern w:val="2"/>
                <w:lang w:val="zh-CN" w:eastAsia="zh-CN"/>
              </w:rPr>
              <w:t>9</w:t>
            </w:r>
            <w:r>
              <w:rPr>
                <w:rFonts w:hint="eastAsia"/>
                <w:kern w:val="2"/>
                <w:lang w:val="en-US" w:eastAsia="zh-CN"/>
              </w:rPr>
              <w:t>.提供具有财务审计资质的单位出具的2024年度或2025年度财务报告（成立时间至提交响应文件截止时间不足一年的可提供成立后任意时段的资产负债表），或开标前三个月内基本账户开户银行开具的资信证明，或财政部门认可的政府采购专业担保机构出具的担保函；（以上三种形式的资料提供任何一种即可）</w:t>
            </w:r>
          </w:p>
          <w:p w14:paraId="63B81FEB">
            <w:pPr>
              <w:pStyle w:val="10"/>
              <w:jc w:val="both"/>
              <w:rPr>
                <w:rFonts w:hint="eastAsia"/>
                <w:kern w:val="2"/>
                <w:lang w:val="zh-CN" w:eastAsia="zh-CN"/>
              </w:rPr>
            </w:pPr>
            <w:r>
              <w:rPr>
                <w:rFonts w:hint="eastAsia"/>
                <w:kern w:val="2"/>
                <w:lang w:val="en-US" w:eastAsia="zh-CN"/>
              </w:rPr>
              <w:t>10</w:t>
            </w:r>
            <w:r>
              <w:rPr>
                <w:rFonts w:hint="eastAsia"/>
                <w:kern w:val="2"/>
                <w:lang w:val="zh-CN" w:eastAsia="zh-CN"/>
              </w:rPr>
              <w:t>.供应商不得为“信用中国”网站（www.creditchina.gov.cn）中被列入失信被执行人、重大税收违法失信主体名单和中国政府采购网（www.ccgp.gov.cn）中被列入政府采购严重违法失信行为记录名单的单位，提供相应截图；</w:t>
            </w:r>
          </w:p>
          <w:p w14:paraId="48CD792C">
            <w:pPr>
              <w:pStyle w:val="10"/>
              <w:jc w:val="both"/>
              <w:rPr>
                <w:kern w:val="2"/>
                <w:lang w:val="zh-CN"/>
              </w:rPr>
            </w:pPr>
            <w:r>
              <w:rPr>
                <w:rFonts w:hint="eastAsia"/>
                <w:kern w:val="2"/>
                <w:lang w:val="zh-CN" w:eastAsia="zh-CN"/>
              </w:rPr>
              <w:t>1</w:t>
            </w:r>
            <w:r>
              <w:rPr>
                <w:rFonts w:hint="eastAsia"/>
                <w:kern w:val="2"/>
                <w:lang w:val="en-US" w:eastAsia="zh-CN"/>
              </w:rPr>
              <w:t>1</w:t>
            </w:r>
            <w:r>
              <w:rPr>
                <w:rFonts w:hint="eastAsia"/>
                <w:kern w:val="2"/>
                <w:lang w:val="zh-CN" w:eastAsia="zh-CN"/>
              </w:rPr>
              <w:t>.本项目不接受联合体磋商</w:t>
            </w:r>
          </w:p>
        </w:tc>
      </w:tr>
      <w:tr w14:paraId="1470C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1A5409E5">
            <w:pPr>
              <w:snapToGrid w:val="0"/>
              <w:spacing w:after="200"/>
              <w:jc w:val="center"/>
              <w:rPr>
                <w:rFonts w:ascii="宋体" w:hAnsi="宋体"/>
                <w:sz w:val="24"/>
              </w:rPr>
            </w:pPr>
            <w:r>
              <w:rPr>
                <w:rFonts w:ascii="宋体" w:hAnsi="宋体"/>
                <w:sz w:val="24"/>
              </w:rPr>
              <w:t>7</w:t>
            </w:r>
          </w:p>
        </w:tc>
        <w:tc>
          <w:tcPr>
            <w:tcW w:w="1556" w:type="dxa"/>
            <w:vMerge w:val="restart"/>
            <w:vAlign w:val="center"/>
          </w:tcPr>
          <w:p w14:paraId="21A87870">
            <w:pPr>
              <w:pStyle w:val="10"/>
              <w:ind w:left="96"/>
              <w:jc w:val="center"/>
              <w:rPr>
                <w:rFonts w:hint="eastAsia"/>
                <w:kern w:val="2"/>
                <w:lang w:val="zh-CN"/>
              </w:rPr>
            </w:pPr>
            <w:r>
              <w:rPr>
                <w:kern w:val="2"/>
                <w:lang w:val="zh-CN"/>
              </w:rPr>
              <w:t>是否</w:t>
            </w:r>
            <w:r>
              <w:rPr>
                <w:rFonts w:hint="eastAsia"/>
                <w:kern w:val="2"/>
                <w:lang w:val="zh-CN"/>
              </w:rPr>
              <w:t>接受</w:t>
            </w:r>
          </w:p>
          <w:p w14:paraId="510A3E09">
            <w:pPr>
              <w:pStyle w:val="10"/>
              <w:ind w:left="96"/>
              <w:jc w:val="center"/>
              <w:rPr>
                <w:kern w:val="2"/>
                <w:lang w:val="zh-CN"/>
              </w:rPr>
            </w:pPr>
            <w:r>
              <w:rPr>
                <w:kern w:val="2"/>
                <w:lang w:val="zh-CN"/>
              </w:rPr>
              <w:t>联合体投标</w:t>
            </w:r>
          </w:p>
        </w:tc>
        <w:tc>
          <w:tcPr>
            <w:tcW w:w="7067" w:type="dxa"/>
            <w:vAlign w:val="center"/>
          </w:tcPr>
          <w:p w14:paraId="35F936A4">
            <w:pPr>
              <w:pStyle w:val="10"/>
              <w:jc w:val="both"/>
              <w:rPr>
                <w:b/>
                <w:kern w:val="2"/>
                <w:lang w:val="zh-CN"/>
              </w:rPr>
            </w:pPr>
            <w:r>
              <w:rPr>
                <w:rFonts w:hint="eastAsia"/>
                <w:b/>
                <w:kern w:val="2"/>
                <w:lang w:val="zh-CN"/>
              </w:rPr>
              <w:t>○接受</w:t>
            </w:r>
          </w:p>
          <w:p w14:paraId="56E1E05B">
            <w:pPr>
              <w:pStyle w:val="10"/>
              <w:jc w:val="both"/>
              <w:rPr>
                <w:b/>
                <w:kern w:val="2"/>
                <w:lang w:val="zh-CN"/>
              </w:rPr>
            </w:pPr>
            <w:r>
              <w:rPr>
                <w:rFonts w:hint="eastAsia"/>
                <w:kern w:val="2"/>
                <w:sz w:val="21"/>
                <w:szCs w:val="21"/>
                <w:lang w:val="zh-CN"/>
              </w:rPr>
              <w:t>对于联合体协议或者分包意向协议约定小微企业的合同份额占到合同总金额30%以上的，对联合体或者大中型企业的报价</w:t>
            </w:r>
            <w:r>
              <w:rPr>
                <w:rFonts w:hint="eastAsia"/>
                <w:b/>
                <w:kern w:val="2"/>
                <w:sz w:val="21"/>
                <w:szCs w:val="21"/>
                <w:lang w:val="zh-CN"/>
              </w:rPr>
              <w:t>给予___%（</w:t>
            </w:r>
            <w:r>
              <w:rPr>
                <w:b/>
                <w:kern w:val="2"/>
                <w:sz w:val="21"/>
                <w:szCs w:val="21"/>
                <w:lang w:val="zh-CN"/>
              </w:rPr>
              <w:t>1</w:t>
            </w:r>
            <w:r>
              <w:rPr>
                <w:rFonts w:hint="eastAsia"/>
                <w:b/>
                <w:kern w:val="2"/>
                <w:sz w:val="21"/>
                <w:szCs w:val="21"/>
                <w:lang w:val="zh-CN"/>
              </w:rPr>
              <w:t>%-</w:t>
            </w:r>
            <w:r>
              <w:rPr>
                <w:b/>
                <w:kern w:val="2"/>
                <w:sz w:val="21"/>
                <w:szCs w:val="21"/>
                <w:lang w:val="zh-CN"/>
              </w:rPr>
              <w:t>2%</w:t>
            </w:r>
            <w:r>
              <w:rPr>
                <w:rFonts w:hint="eastAsia"/>
                <w:b/>
                <w:kern w:val="2"/>
                <w:sz w:val="21"/>
                <w:szCs w:val="21"/>
                <w:lang w:val="zh-CN"/>
              </w:rPr>
              <w:t>）的扣除</w:t>
            </w:r>
            <w:r>
              <w:rPr>
                <w:rFonts w:hint="eastAsia"/>
                <w:b/>
                <w:color w:val="000000" w:themeColor="text1"/>
                <w:szCs w:val="21"/>
                <w:lang w:val="zh-CN"/>
                <w14:textFill>
                  <w14:solidFill>
                    <w14:schemeClr w14:val="tx1"/>
                  </w14:solidFill>
                </w14:textFill>
              </w:rPr>
              <w:t>（当采用招标方式时，实际上是对其价格分给予一定比例的增加）</w:t>
            </w:r>
            <w:r>
              <w:rPr>
                <w:rFonts w:hint="eastAsia"/>
                <w:kern w:val="2"/>
                <w:sz w:val="21"/>
                <w:szCs w:val="21"/>
                <w:lang w:val="zh-CN"/>
              </w:rPr>
              <w:t>，用扣除后的报价参加评审。</w:t>
            </w:r>
          </w:p>
        </w:tc>
      </w:tr>
      <w:tr w14:paraId="54793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53E180D7">
            <w:pPr>
              <w:snapToGrid w:val="0"/>
              <w:spacing w:after="200"/>
              <w:ind w:left="142"/>
              <w:jc w:val="center"/>
              <w:rPr>
                <w:rFonts w:ascii="宋体" w:hAnsi="宋体"/>
                <w:sz w:val="24"/>
              </w:rPr>
            </w:pPr>
          </w:p>
        </w:tc>
        <w:tc>
          <w:tcPr>
            <w:tcW w:w="1556" w:type="dxa"/>
            <w:vMerge w:val="continue"/>
            <w:vAlign w:val="center"/>
          </w:tcPr>
          <w:p w14:paraId="0915607F">
            <w:pPr>
              <w:pStyle w:val="10"/>
              <w:ind w:left="96"/>
              <w:jc w:val="center"/>
              <w:rPr>
                <w:kern w:val="2"/>
                <w:lang w:val="zh-CN"/>
              </w:rPr>
            </w:pPr>
          </w:p>
        </w:tc>
        <w:tc>
          <w:tcPr>
            <w:tcW w:w="7067" w:type="dxa"/>
            <w:vAlign w:val="center"/>
          </w:tcPr>
          <w:p w14:paraId="3E78F3DB">
            <w:pPr>
              <w:pStyle w:val="10"/>
              <w:jc w:val="both"/>
              <w:rPr>
                <w:b/>
                <w:kern w:val="2"/>
                <w:lang w:val="zh-CN"/>
              </w:rPr>
            </w:pPr>
            <w:r>
              <w:rPr>
                <w:rFonts w:hint="eastAsia" w:ascii="宋体" w:hAnsi="宋体" w:eastAsia="宋体" w:cs="宋体"/>
                <w:b/>
                <w:sz w:val="24"/>
                <w:lang w:val="zh-CN"/>
              </w:rPr>
              <w:t>●</w:t>
            </w:r>
            <w:r>
              <w:rPr>
                <w:rFonts w:hint="eastAsia"/>
                <w:b/>
                <w:kern w:val="2"/>
                <w:lang w:val="zh-CN"/>
              </w:rPr>
              <w:t>不接受</w:t>
            </w:r>
          </w:p>
        </w:tc>
      </w:tr>
      <w:tr w14:paraId="20944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77EE12F7">
            <w:pPr>
              <w:snapToGrid w:val="0"/>
              <w:spacing w:after="200"/>
              <w:jc w:val="center"/>
              <w:rPr>
                <w:rFonts w:ascii="宋体" w:hAnsi="宋体"/>
                <w:sz w:val="24"/>
              </w:rPr>
            </w:pPr>
            <w:r>
              <w:rPr>
                <w:rFonts w:ascii="宋体" w:hAnsi="宋体"/>
                <w:sz w:val="24"/>
              </w:rPr>
              <w:t>8</w:t>
            </w:r>
          </w:p>
        </w:tc>
        <w:tc>
          <w:tcPr>
            <w:tcW w:w="1556" w:type="dxa"/>
            <w:vMerge w:val="restart"/>
            <w:vAlign w:val="center"/>
          </w:tcPr>
          <w:p w14:paraId="3FDD4021">
            <w:pPr>
              <w:pStyle w:val="10"/>
              <w:ind w:left="96"/>
              <w:jc w:val="center"/>
              <w:rPr>
                <w:kern w:val="2"/>
                <w:lang w:val="zh-CN"/>
              </w:rPr>
            </w:pPr>
            <w:r>
              <w:rPr>
                <w:kern w:val="2"/>
                <w:lang w:val="zh-CN"/>
              </w:rPr>
              <w:t>履约保证金</w:t>
            </w:r>
          </w:p>
        </w:tc>
        <w:tc>
          <w:tcPr>
            <w:tcW w:w="7067" w:type="dxa"/>
            <w:vAlign w:val="center"/>
          </w:tcPr>
          <w:p w14:paraId="15A6BC72">
            <w:pPr>
              <w:ind w:right="94" w:rightChars="45"/>
              <w:rPr>
                <w:rFonts w:ascii="宋体" w:hAnsi="宋体"/>
                <w:b/>
                <w:sz w:val="24"/>
              </w:rPr>
            </w:pPr>
            <w:r>
              <w:rPr>
                <w:rFonts w:ascii="宋体" w:hAnsi="宋体"/>
                <w:b/>
                <w:sz w:val="24"/>
              </w:rPr>
              <w:t>占政府采购合同金额的</w:t>
            </w:r>
            <w:r>
              <w:rPr>
                <w:rFonts w:hint="eastAsia" w:ascii="宋体" w:hAnsi="宋体"/>
                <w:b/>
                <w:sz w:val="24"/>
                <w:u w:val="single"/>
                <w:lang w:val="en-US" w:eastAsia="zh-CN"/>
              </w:rPr>
              <w:t xml:space="preserve"> / </w:t>
            </w:r>
            <w:r>
              <w:rPr>
                <w:rFonts w:hint="eastAsia" w:ascii="宋体" w:hAnsi="宋体"/>
                <w:b/>
                <w:sz w:val="24"/>
              </w:rPr>
              <w:t>%</w:t>
            </w:r>
          </w:p>
          <w:p w14:paraId="6E5984BE">
            <w:pPr>
              <w:ind w:right="94" w:rightChars="45"/>
              <w:rPr>
                <w:rFonts w:ascii="宋体" w:hAnsi="宋体"/>
                <w:szCs w:val="21"/>
              </w:rPr>
            </w:pPr>
            <w:r>
              <w:rPr>
                <w:rFonts w:hint="eastAsia" w:ascii="宋体" w:hAnsi="宋体"/>
                <w:szCs w:val="21"/>
              </w:rPr>
              <w:t>履约保证金的数额不得超过政府采购合同金额的</w:t>
            </w:r>
            <w:r>
              <w:rPr>
                <w:rFonts w:hint="eastAsia" w:ascii="宋体" w:hAnsi="宋体"/>
                <w:szCs w:val="21"/>
                <w:lang w:val="en-US" w:eastAsia="zh-CN"/>
              </w:rPr>
              <w:t>5</w:t>
            </w:r>
            <w:r>
              <w:rPr>
                <w:rFonts w:hint="eastAsia" w:ascii="宋体" w:hAnsi="宋体"/>
                <w:szCs w:val="21"/>
              </w:rPr>
              <w:t>%；对于单价合同，其数额不得超过采购预算的</w:t>
            </w:r>
            <w:r>
              <w:rPr>
                <w:rFonts w:hint="eastAsia" w:ascii="宋体" w:hAnsi="宋体"/>
                <w:szCs w:val="21"/>
                <w:lang w:val="en-US" w:eastAsia="zh-CN"/>
              </w:rPr>
              <w:t>5</w:t>
            </w:r>
            <w:r>
              <w:rPr>
                <w:rFonts w:hint="eastAsia" w:ascii="宋体" w:hAnsi="宋体"/>
                <w:szCs w:val="21"/>
              </w:rPr>
              <w:t>%</w:t>
            </w:r>
          </w:p>
        </w:tc>
      </w:tr>
      <w:tr w14:paraId="4BFB4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01A6DB84">
            <w:pPr>
              <w:snapToGrid w:val="0"/>
              <w:spacing w:after="200"/>
              <w:ind w:left="142"/>
              <w:jc w:val="center"/>
              <w:rPr>
                <w:rFonts w:ascii="宋体" w:hAnsi="宋体"/>
                <w:sz w:val="24"/>
              </w:rPr>
            </w:pPr>
          </w:p>
        </w:tc>
        <w:tc>
          <w:tcPr>
            <w:tcW w:w="1556" w:type="dxa"/>
            <w:vMerge w:val="continue"/>
            <w:vAlign w:val="center"/>
          </w:tcPr>
          <w:p w14:paraId="6EF2FC1D">
            <w:pPr>
              <w:pStyle w:val="10"/>
              <w:ind w:left="96"/>
              <w:jc w:val="center"/>
              <w:rPr>
                <w:kern w:val="2"/>
                <w:lang w:val="zh-CN"/>
              </w:rPr>
            </w:pPr>
          </w:p>
        </w:tc>
        <w:tc>
          <w:tcPr>
            <w:tcW w:w="7067" w:type="dxa"/>
            <w:vAlign w:val="center"/>
          </w:tcPr>
          <w:p w14:paraId="795E4797">
            <w:pPr>
              <w:ind w:right="94" w:rightChars="45"/>
              <w:rPr>
                <w:rFonts w:ascii="宋体" w:hAnsi="宋体"/>
                <w:b/>
                <w:sz w:val="24"/>
              </w:rPr>
            </w:pPr>
            <w:r>
              <w:rPr>
                <w:rFonts w:ascii="宋体" w:hAnsi="宋体"/>
                <w:b/>
                <w:sz w:val="24"/>
              </w:rPr>
              <w:t>○由采购单位自行收退</w:t>
            </w:r>
          </w:p>
          <w:p w14:paraId="0B6970FE">
            <w:pPr>
              <w:ind w:right="94" w:rightChars="45"/>
              <w:rPr>
                <w:rFonts w:ascii="宋体" w:hAnsi="宋体"/>
                <w:b/>
                <w:sz w:val="24"/>
              </w:rPr>
            </w:pPr>
            <w:r>
              <w:rPr>
                <w:rFonts w:ascii="宋体" w:hAnsi="宋体"/>
                <w:b/>
                <w:sz w:val="24"/>
              </w:rPr>
              <w:t>○由代理机构负责收退</w:t>
            </w:r>
          </w:p>
        </w:tc>
      </w:tr>
      <w:tr w14:paraId="346BC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37526D97">
            <w:pPr>
              <w:snapToGrid w:val="0"/>
              <w:spacing w:after="200"/>
              <w:jc w:val="center"/>
              <w:rPr>
                <w:rFonts w:ascii="宋体" w:hAnsi="宋体"/>
                <w:sz w:val="24"/>
              </w:rPr>
            </w:pPr>
            <w:r>
              <w:rPr>
                <w:rFonts w:ascii="宋体" w:hAnsi="宋体"/>
                <w:sz w:val="24"/>
              </w:rPr>
              <w:t>9</w:t>
            </w:r>
          </w:p>
        </w:tc>
        <w:tc>
          <w:tcPr>
            <w:tcW w:w="1556" w:type="dxa"/>
            <w:vAlign w:val="center"/>
          </w:tcPr>
          <w:p w14:paraId="39630D86">
            <w:pPr>
              <w:pStyle w:val="10"/>
              <w:ind w:left="96"/>
              <w:jc w:val="center"/>
              <w:rPr>
                <w:kern w:val="2"/>
                <w:lang w:val="zh-CN"/>
              </w:rPr>
            </w:pPr>
            <w:r>
              <w:rPr>
                <w:kern w:val="2"/>
                <w:lang w:val="zh-CN"/>
              </w:rPr>
              <w:t>现场踏勘和集中答疑</w:t>
            </w:r>
          </w:p>
        </w:tc>
        <w:tc>
          <w:tcPr>
            <w:tcW w:w="7067" w:type="dxa"/>
            <w:vAlign w:val="center"/>
          </w:tcPr>
          <w:p w14:paraId="14AF1B5F">
            <w:pPr>
              <w:ind w:right="94" w:rightChars="45"/>
              <w:rPr>
                <w:rFonts w:ascii="宋体" w:hAnsi="宋体"/>
                <w:b/>
                <w:sz w:val="24"/>
              </w:rPr>
            </w:pPr>
            <w:r>
              <w:rPr>
                <w:rFonts w:ascii="宋体" w:hAnsi="宋体"/>
                <w:b/>
                <w:sz w:val="24"/>
              </w:rPr>
              <w:t>○组织，集结地点为：</w:t>
            </w:r>
            <w:r>
              <w:rPr>
                <w:rFonts w:hint="eastAsia" w:ascii="宋体" w:hAnsi="宋体"/>
                <w:b/>
                <w:sz w:val="24"/>
              </w:rPr>
              <w:t>_______________________</w:t>
            </w:r>
          </w:p>
          <w:p w14:paraId="35341341">
            <w:pPr>
              <w:ind w:right="94" w:rightChars="45"/>
              <w:rPr>
                <w:rFonts w:ascii="宋体" w:hAnsi="宋体"/>
                <w:b/>
                <w:sz w:val="24"/>
              </w:rPr>
            </w:pPr>
            <w:r>
              <w:rPr>
                <w:rFonts w:hint="eastAsia" w:ascii="宋体" w:hAnsi="宋体" w:eastAsia="宋体" w:cs="宋体"/>
                <w:b/>
                <w:sz w:val="24"/>
                <w:lang w:val="zh-CN"/>
              </w:rPr>
              <w:t>●</w:t>
            </w:r>
            <w:r>
              <w:rPr>
                <w:rFonts w:ascii="宋体" w:hAnsi="宋体"/>
                <w:b/>
                <w:sz w:val="24"/>
              </w:rPr>
              <w:t>不组织</w:t>
            </w:r>
          </w:p>
        </w:tc>
      </w:tr>
      <w:tr w14:paraId="3E0B4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181CBECD">
            <w:pPr>
              <w:snapToGrid w:val="0"/>
              <w:spacing w:after="200"/>
              <w:jc w:val="center"/>
              <w:rPr>
                <w:rFonts w:ascii="宋体" w:hAnsi="宋体"/>
                <w:sz w:val="24"/>
              </w:rPr>
            </w:pPr>
            <w:r>
              <w:rPr>
                <w:rFonts w:ascii="宋体" w:hAnsi="宋体"/>
                <w:sz w:val="24"/>
              </w:rPr>
              <w:t>10</w:t>
            </w:r>
          </w:p>
        </w:tc>
        <w:tc>
          <w:tcPr>
            <w:tcW w:w="1556" w:type="dxa"/>
            <w:vAlign w:val="center"/>
          </w:tcPr>
          <w:p w14:paraId="6F74A287">
            <w:pPr>
              <w:pStyle w:val="10"/>
              <w:ind w:left="96"/>
              <w:jc w:val="center"/>
              <w:rPr>
                <w:kern w:val="2"/>
                <w:lang w:val="zh-CN"/>
              </w:rPr>
            </w:pPr>
            <w:r>
              <w:rPr>
                <w:kern w:val="2"/>
                <w:lang w:val="zh-CN"/>
              </w:rPr>
              <w:t>价格分比重</w:t>
            </w:r>
          </w:p>
        </w:tc>
        <w:tc>
          <w:tcPr>
            <w:tcW w:w="7067" w:type="dxa"/>
            <w:vAlign w:val="center"/>
          </w:tcPr>
          <w:p w14:paraId="2FEB783C">
            <w:pPr>
              <w:widowControl/>
              <w:rPr>
                <w:rFonts w:ascii="宋体" w:hAnsi="宋体" w:cs="宋体"/>
                <w:b/>
                <w:kern w:val="0"/>
                <w:sz w:val="24"/>
                <w:szCs w:val="24"/>
                <w:lang w:val="zh-CN"/>
              </w:rPr>
            </w:pPr>
            <w:r>
              <w:rPr>
                <w:rFonts w:ascii="宋体" w:hAnsi="宋体" w:cs="宋体"/>
                <w:b/>
                <w:kern w:val="0"/>
                <w:sz w:val="24"/>
                <w:szCs w:val="24"/>
                <w:lang w:val="zh-CN"/>
              </w:rPr>
              <w:t>占总分值的</w:t>
            </w:r>
            <w:r>
              <w:rPr>
                <w:rFonts w:hint="eastAsia" w:ascii="宋体" w:hAnsi="宋体" w:cs="宋体"/>
                <w:b/>
                <w:kern w:val="0"/>
                <w:sz w:val="24"/>
                <w:szCs w:val="24"/>
                <w:u w:val="single"/>
                <w:lang w:val="en-US" w:eastAsia="zh-CN"/>
              </w:rPr>
              <w:t xml:space="preserve"> 30 </w:t>
            </w:r>
            <w:r>
              <w:rPr>
                <w:rFonts w:hint="eastAsia" w:ascii="宋体" w:hAnsi="宋体" w:cs="宋体"/>
                <w:b/>
                <w:kern w:val="0"/>
                <w:sz w:val="24"/>
                <w:szCs w:val="24"/>
                <w:lang w:val="zh-CN"/>
              </w:rPr>
              <w:t>%</w:t>
            </w:r>
          </w:p>
          <w:p w14:paraId="3231AACD">
            <w:pPr>
              <w:widowControl/>
              <w:rPr>
                <w:rFonts w:ascii="宋体" w:hAnsi="宋体" w:cs="宋体"/>
                <w:kern w:val="0"/>
                <w:szCs w:val="21"/>
                <w:lang w:val="zh-CN"/>
              </w:rPr>
            </w:pPr>
            <w:r>
              <w:rPr>
                <w:rFonts w:ascii="宋体" w:hAnsi="宋体" w:cs="宋体"/>
                <w:kern w:val="0"/>
                <w:szCs w:val="21"/>
                <w:lang w:val="zh-CN"/>
              </w:rPr>
              <w:t>政府采购法律法规未有明确限制。</w:t>
            </w:r>
          </w:p>
        </w:tc>
      </w:tr>
      <w:tr w14:paraId="6B291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08785108">
            <w:pPr>
              <w:snapToGrid w:val="0"/>
              <w:spacing w:after="200"/>
              <w:jc w:val="center"/>
              <w:rPr>
                <w:rFonts w:ascii="宋体" w:hAnsi="宋体"/>
                <w:sz w:val="24"/>
              </w:rPr>
            </w:pPr>
            <w:r>
              <w:rPr>
                <w:rFonts w:ascii="宋体" w:hAnsi="宋体"/>
                <w:sz w:val="24"/>
              </w:rPr>
              <w:t>11</w:t>
            </w:r>
          </w:p>
        </w:tc>
        <w:tc>
          <w:tcPr>
            <w:tcW w:w="1556" w:type="dxa"/>
            <w:vAlign w:val="center"/>
          </w:tcPr>
          <w:p w14:paraId="14D291FC">
            <w:pPr>
              <w:pStyle w:val="10"/>
              <w:ind w:left="96"/>
              <w:jc w:val="center"/>
              <w:rPr>
                <w:kern w:val="2"/>
                <w:lang w:val="zh-CN"/>
              </w:rPr>
            </w:pPr>
            <w:r>
              <w:rPr>
                <w:kern w:val="2"/>
                <w:lang w:val="zh-CN"/>
              </w:rPr>
              <w:t>合同类型</w:t>
            </w:r>
          </w:p>
        </w:tc>
        <w:tc>
          <w:tcPr>
            <w:tcW w:w="7067" w:type="dxa"/>
            <w:vAlign w:val="center"/>
          </w:tcPr>
          <w:p w14:paraId="61A4ACDA">
            <w:pPr>
              <w:rPr>
                <w:rFonts w:ascii="宋体" w:hAnsi="宋体"/>
                <w:b/>
                <w:sz w:val="24"/>
                <w:lang w:val="zh-CN"/>
              </w:rPr>
            </w:pPr>
            <w:r>
              <w:rPr>
                <w:rFonts w:hint="eastAsia" w:ascii="宋体" w:hAnsi="宋体" w:eastAsia="宋体" w:cs="宋体"/>
                <w:b/>
                <w:sz w:val="24"/>
                <w:lang w:val="zh-CN"/>
              </w:rPr>
              <w:t>●</w:t>
            </w:r>
            <w:r>
              <w:rPr>
                <w:rFonts w:ascii="宋体" w:hAnsi="宋体"/>
                <w:b/>
                <w:sz w:val="24"/>
                <w:lang w:val="zh-CN"/>
              </w:rPr>
              <w:t>总价</w:t>
            </w:r>
          </w:p>
          <w:p w14:paraId="0E63F72F">
            <w:pPr>
              <w:rPr>
                <w:rFonts w:ascii="宋体" w:hAnsi="宋体"/>
                <w:b/>
                <w:sz w:val="24"/>
                <w:lang w:val="zh-CN"/>
              </w:rPr>
            </w:pPr>
            <w:r>
              <w:rPr>
                <w:rFonts w:ascii="宋体" w:hAnsi="宋体"/>
                <w:b/>
                <w:sz w:val="24"/>
                <w:lang w:val="zh-CN"/>
              </w:rPr>
              <w:t>○综合单价（适用于采购数量不定的情形）</w:t>
            </w:r>
          </w:p>
          <w:p w14:paraId="16988318">
            <w:pPr>
              <w:rPr>
                <w:rFonts w:ascii="宋体" w:hAnsi="宋体"/>
                <w:sz w:val="24"/>
                <w:lang w:val="zh-CN"/>
              </w:rPr>
            </w:pPr>
            <w:r>
              <w:rPr>
                <w:rFonts w:ascii="宋体" w:hAnsi="宋体"/>
                <w:b/>
                <w:sz w:val="24"/>
                <w:lang w:val="zh-CN"/>
              </w:rPr>
              <w:t>○其他：</w:t>
            </w:r>
            <w:r>
              <w:rPr>
                <w:rFonts w:hint="eastAsia" w:ascii="宋体" w:hAnsi="宋体"/>
                <w:b/>
                <w:sz w:val="24"/>
                <w:lang w:val="zh-CN"/>
              </w:rPr>
              <w:t>___________________________</w:t>
            </w:r>
          </w:p>
        </w:tc>
      </w:tr>
      <w:tr w14:paraId="233F6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5CA94AEE">
            <w:pPr>
              <w:snapToGrid w:val="0"/>
              <w:spacing w:after="200"/>
              <w:jc w:val="center"/>
              <w:rPr>
                <w:rFonts w:ascii="宋体" w:hAnsi="宋体"/>
                <w:sz w:val="24"/>
              </w:rPr>
            </w:pPr>
            <w:r>
              <w:rPr>
                <w:rFonts w:ascii="宋体" w:hAnsi="宋体"/>
                <w:sz w:val="24"/>
              </w:rPr>
              <w:t>12</w:t>
            </w:r>
          </w:p>
        </w:tc>
        <w:tc>
          <w:tcPr>
            <w:tcW w:w="1556" w:type="dxa"/>
            <w:vAlign w:val="center"/>
          </w:tcPr>
          <w:p w14:paraId="51CCBA9A">
            <w:pPr>
              <w:tabs>
                <w:tab w:val="left" w:pos="7665"/>
              </w:tabs>
              <w:snapToGrid w:val="0"/>
              <w:jc w:val="center"/>
              <w:rPr>
                <w:rFonts w:ascii="宋体" w:hAnsi="宋体"/>
                <w:sz w:val="24"/>
              </w:rPr>
            </w:pPr>
            <w:r>
              <w:rPr>
                <w:rFonts w:ascii="宋体" w:hAnsi="宋体"/>
                <w:sz w:val="24"/>
              </w:rPr>
              <w:t>争议解决途径</w:t>
            </w:r>
          </w:p>
        </w:tc>
        <w:tc>
          <w:tcPr>
            <w:tcW w:w="7067" w:type="dxa"/>
            <w:vAlign w:val="center"/>
          </w:tcPr>
          <w:p w14:paraId="64EE527A">
            <w:pPr>
              <w:tabs>
                <w:tab w:val="left" w:pos="7665"/>
              </w:tabs>
              <w:snapToGrid w:val="0"/>
              <w:rPr>
                <w:rFonts w:ascii="宋体" w:hAnsi="宋体"/>
                <w:b/>
                <w:sz w:val="24"/>
              </w:rPr>
            </w:pPr>
            <w:r>
              <w:rPr>
                <w:rFonts w:hint="eastAsia" w:ascii="宋体" w:hAnsi="宋体" w:eastAsia="宋体" w:cs="宋体"/>
                <w:b/>
                <w:sz w:val="24"/>
                <w:lang w:val="zh-CN"/>
              </w:rPr>
              <w:t>●</w:t>
            </w:r>
            <w:r>
              <w:rPr>
                <w:rFonts w:ascii="宋体" w:hAnsi="宋体"/>
                <w:b/>
                <w:sz w:val="24"/>
              </w:rPr>
              <w:t>向有管辖权的人民法院提起诉讼</w:t>
            </w:r>
          </w:p>
          <w:p w14:paraId="6D23324E">
            <w:pPr>
              <w:tabs>
                <w:tab w:val="left" w:pos="7665"/>
              </w:tabs>
              <w:snapToGrid w:val="0"/>
              <w:rPr>
                <w:rFonts w:ascii="宋体" w:hAnsi="宋体"/>
                <w:b/>
                <w:sz w:val="24"/>
              </w:rPr>
            </w:pPr>
            <w:r>
              <w:rPr>
                <w:rFonts w:ascii="宋体" w:hAnsi="宋体"/>
                <w:b/>
                <w:sz w:val="24"/>
              </w:rPr>
              <w:t>○向西安仲裁委员会提请仲裁</w:t>
            </w:r>
          </w:p>
          <w:p w14:paraId="7B3A3C45">
            <w:pPr>
              <w:tabs>
                <w:tab w:val="left" w:pos="7665"/>
              </w:tabs>
              <w:snapToGrid w:val="0"/>
              <w:rPr>
                <w:rFonts w:ascii="宋体" w:hAnsi="宋体"/>
                <w:sz w:val="24"/>
              </w:rPr>
            </w:pPr>
            <w:r>
              <w:rPr>
                <w:rFonts w:ascii="宋体" w:hAnsi="宋体"/>
                <w:b/>
                <w:sz w:val="24"/>
              </w:rPr>
              <w:t>○由供应商做出选择</w:t>
            </w:r>
          </w:p>
        </w:tc>
      </w:tr>
      <w:tr w14:paraId="580BE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7DF669E3">
            <w:pPr>
              <w:snapToGrid w:val="0"/>
              <w:spacing w:after="200"/>
              <w:jc w:val="center"/>
              <w:rPr>
                <w:rFonts w:ascii="宋体" w:hAnsi="宋体"/>
                <w:sz w:val="24"/>
              </w:rPr>
            </w:pPr>
            <w:r>
              <w:rPr>
                <w:rFonts w:ascii="宋体" w:hAnsi="宋体"/>
                <w:sz w:val="24"/>
              </w:rPr>
              <w:t>13</w:t>
            </w:r>
          </w:p>
        </w:tc>
        <w:tc>
          <w:tcPr>
            <w:tcW w:w="1556" w:type="dxa"/>
            <w:vAlign w:val="center"/>
          </w:tcPr>
          <w:p w14:paraId="2B4BFF95">
            <w:pPr>
              <w:snapToGrid w:val="0"/>
              <w:jc w:val="center"/>
              <w:rPr>
                <w:rFonts w:ascii="宋体" w:hAnsi="宋体"/>
                <w:sz w:val="24"/>
              </w:rPr>
            </w:pPr>
            <w:r>
              <w:rPr>
                <w:rFonts w:hint="eastAsia" w:ascii="宋体" w:hAnsi="宋体"/>
                <w:sz w:val="24"/>
              </w:rPr>
              <w:t>联系方式</w:t>
            </w:r>
          </w:p>
        </w:tc>
        <w:tc>
          <w:tcPr>
            <w:tcW w:w="7067" w:type="dxa"/>
            <w:vAlign w:val="center"/>
          </w:tcPr>
          <w:p w14:paraId="72516393">
            <w:pPr>
              <w:tabs>
                <w:tab w:val="left" w:pos="7665"/>
              </w:tabs>
              <w:snapToGrid w:val="0"/>
              <w:rPr>
                <w:rFonts w:hint="default" w:ascii="宋体" w:hAnsi="宋体"/>
                <w:b/>
                <w:bCs/>
                <w:sz w:val="24"/>
                <w:lang w:val="en-US"/>
              </w:rPr>
            </w:pPr>
            <w:r>
              <w:rPr>
                <w:rFonts w:hint="eastAsia" w:ascii="宋体" w:hAnsi="宋体"/>
                <w:b/>
                <w:bCs/>
                <w:sz w:val="24"/>
              </w:rPr>
              <w:t>项目对接人：</w:t>
            </w:r>
            <w:r>
              <w:rPr>
                <w:rFonts w:hint="eastAsia" w:ascii="宋体" w:hAnsi="宋体"/>
                <w:b/>
                <w:bCs/>
                <w:sz w:val="24"/>
                <w:u w:val="single"/>
                <w:lang w:val="en-US" w:eastAsia="zh-CN"/>
              </w:rPr>
              <w:t xml:space="preserve"> </w:t>
            </w:r>
            <w:bookmarkStart w:id="0" w:name="_GoBack"/>
            <w:bookmarkEnd w:id="0"/>
            <w:r>
              <w:rPr>
                <w:rFonts w:hint="eastAsia" w:ascii="宋体" w:hAnsi="宋体"/>
                <w:b/>
                <w:bCs/>
                <w:sz w:val="24"/>
                <w:u w:val="single"/>
                <w:lang w:val="en-US" w:eastAsia="zh-CN"/>
              </w:rPr>
              <w:t xml:space="preserve"> 金晨   </w:t>
            </w:r>
          </w:p>
          <w:p w14:paraId="3D762FCB">
            <w:pPr>
              <w:tabs>
                <w:tab w:val="left" w:pos="7665"/>
              </w:tabs>
              <w:snapToGrid w:val="0"/>
              <w:rPr>
                <w:rFonts w:ascii="宋体" w:hAnsi="宋体"/>
                <w:b/>
                <w:bCs/>
                <w:sz w:val="24"/>
              </w:rPr>
            </w:pPr>
            <w:r>
              <w:rPr>
                <w:rFonts w:ascii="宋体" w:hAnsi="宋体"/>
                <w:b/>
                <w:bCs/>
                <w:sz w:val="24"/>
              </w:rPr>
              <w:t>联系电话：</w:t>
            </w:r>
            <w:r>
              <w:rPr>
                <w:rFonts w:hint="eastAsia" w:ascii="宋体" w:hAnsi="宋体"/>
                <w:b/>
                <w:bCs/>
                <w:sz w:val="24"/>
                <w:u w:val="single"/>
                <w:lang w:val="en-US" w:eastAsia="zh-CN"/>
              </w:rPr>
              <w:t>15591816283</w:t>
            </w:r>
          </w:p>
          <w:p w14:paraId="0BE106DF">
            <w:pPr>
              <w:tabs>
                <w:tab w:val="left" w:pos="7665"/>
              </w:tabs>
              <w:snapToGrid w:val="0"/>
              <w:rPr>
                <w:rFonts w:ascii="宋体" w:hAnsi="宋体"/>
                <w:sz w:val="24"/>
              </w:rPr>
            </w:pPr>
            <w:r>
              <w:rPr>
                <w:rFonts w:ascii="宋体" w:hAnsi="宋体"/>
                <w:b/>
                <w:bCs/>
                <w:sz w:val="24"/>
              </w:rPr>
              <w:t>电子邮箱：</w:t>
            </w:r>
            <w:r>
              <w:rPr>
                <w:rFonts w:hint="eastAsia" w:ascii="宋体" w:hAnsi="宋体"/>
                <w:b/>
                <w:bCs/>
                <w:sz w:val="24"/>
                <w:u w:val="single"/>
                <w:lang w:val="en-US" w:eastAsia="zh-CN"/>
              </w:rPr>
              <w:t>3602532958@qq.com</w:t>
            </w:r>
          </w:p>
        </w:tc>
      </w:tr>
    </w:tbl>
    <w:p w14:paraId="2A7E5F9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9F3D16"/>
    <w:rsid w:val="028757B3"/>
    <w:rsid w:val="0B202820"/>
    <w:rsid w:val="0C852E52"/>
    <w:rsid w:val="15747D5D"/>
    <w:rsid w:val="17BD588F"/>
    <w:rsid w:val="1C3012A1"/>
    <w:rsid w:val="1FF43137"/>
    <w:rsid w:val="28492415"/>
    <w:rsid w:val="28897E06"/>
    <w:rsid w:val="326467B6"/>
    <w:rsid w:val="36D92309"/>
    <w:rsid w:val="392D2477"/>
    <w:rsid w:val="3AF6447E"/>
    <w:rsid w:val="41D76FFA"/>
    <w:rsid w:val="426C079D"/>
    <w:rsid w:val="444A3818"/>
    <w:rsid w:val="56CA3979"/>
    <w:rsid w:val="68CD439D"/>
    <w:rsid w:val="6C331DE3"/>
    <w:rsid w:val="6F132FD9"/>
    <w:rsid w:val="6F9B07BE"/>
    <w:rsid w:val="729F3D16"/>
    <w:rsid w:val="734A48DD"/>
    <w:rsid w:val="7F483E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rFonts w:ascii="Times New Roman" w:hAnsi="Times New Roman" w:eastAsia="宋体" w:cs="Times New Roman"/>
      <w:b/>
      <w:kern w:val="44"/>
      <w:sz w:val="28"/>
      <w:szCs w:val="21"/>
    </w:rPr>
  </w:style>
  <w:style w:type="paragraph" w:styleId="3">
    <w:name w:val="heading 2"/>
    <w:basedOn w:val="1"/>
    <w:next w:val="1"/>
    <w:semiHidden/>
    <w:unhideWhenUsed/>
    <w:qFormat/>
    <w:uiPriority w:val="0"/>
    <w:pPr>
      <w:spacing w:before="11" w:line="309" w:lineRule="exact"/>
      <w:jc w:val="center"/>
      <w:outlineLvl w:val="1"/>
    </w:pPr>
    <w:rPr>
      <w:rFonts w:ascii="宋体" w:hAnsi="宋体" w:eastAsia="宋体" w:cs="宋体"/>
      <w:sz w:val="28"/>
      <w:szCs w:val="32"/>
      <w:lang w:val="zh-CN" w:bidi="zh-CN"/>
    </w:rPr>
  </w:style>
  <w:style w:type="paragraph" w:styleId="4">
    <w:name w:val="heading 3"/>
    <w:basedOn w:val="1"/>
    <w:next w:val="1"/>
    <w:semiHidden/>
    <w:unhideWhenUsed/>
    <w:qFormat/>
    <w:uiPriority w:val="0"/>
    <w:pPr>
      <w:keepNext/>
      <w:keepLines/>
      <w:spacing w:before="260" w:beforeLines="0" w:beforeAutospacing="0" w:after="260" w:afterLines="0" w:afterAutospacing="0" w:line="360" w:lineRule="auto"/>
      <w:jc w:val="center"/>
      <w:outlineLvl w:val="2"/>
    </w:pPr>
    <w:rPr>
      <w:rFonts w:eastAsia="宋体" w:cs="Times New Roman"/>
      <w:sz w:val="28"/>
    </w:rPr>
  </w:style>
  <w:style w:type="paragraph" w:styleId="5">
    <w:name w:val="heading 4"/>
    <w:basedOn w:val="1"/>
    <w:next w:val="1"/>
    <w:semiHidden/>
    <w:unhideWhenUsed/>
    <w:qFormat/>
    <w:uiPriority w:val="0"/>
    <w:pPr>
      <w:spacing w:before="70"/>
      <w:ind w:left="112"/>
      <w:outlineLvl w:val="3"/>
    </w:pPr>
    <w:rPr>
      <w:rFonts w:ascii="微软雅黑" w:hAnsi="微软雅黑" w:eastAsia="宋体" w:cs="微软雅黑"/>
      <w:b/>
      <w:bCs/>
      <w:sz w:val="24"/>
      <w:szCs w:val="31"/>
      <w:lang w:val="zh-CN" w:bidi="zh-CN"/>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Body Text Indent 2"/>
    <w:basedOn w:val="1"/>
    <w:qFormat/>
    <w:uiPriority w:val="0"/>
    <w:pPr>
      <w:spacing w:after="120" w:afterLines="0" w:afterAutospacing="0" w:line="480" w:lineRule="auto"/>
      <w:ind w:left="420" w:leftChars="200"/>
    </w:pPr>
  </w:style>
  <w:style w:type="paragraph" w:styleId="7">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customStyle="1" w:styleId="10">
    <w:name w:val="样式"/>
    <w:qFormat/>
    <w:uiPriority w:val="0"/>
    <w:pPr>
      <w:widowControl w:val="0"/>
      <w:autoSpaceDE w:val="0"/>
      <w:autoSpaceDN w:val="0"/>
      <w:adjustRightInd w:val="0"/>
    </w:pPr>
    <w:rPr>
      <w:rFonts w:ascii="宋体" w:hAnsi="宋体" w:eastAsia="宋体" w:cs="宋体"/>
      <w:kern w:val="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2026-07-15T02:33:00Z</dcterms:created>
  <dc:creator>高翠翠</dc:creator>
  <cp:lastModifiedBy>高翠翠</cp:lastModifiedBy>
  <dcterms:modified xsi:type="dcterms:W3CDTF">2026-07-15T02:34:16Z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B3EB68E03245485E87290365D6C5FCAE_11</vt:lpwstr>
  </property>
  <property fmtid="{D5CDD505-2E9C-101B-9397-08002B2CF9AE}" pid="4" name="KSOTemplateDocerSaveRecord">
    <vt:lpwstr>eyJoZGlkIjoiYTBmY2E1NDAwOGVhZTM1OGUzNjg0OWU4ZDk2NTIwMmYiLCJ1c2VySWQiOiI1NzU4ODcyOTUifQ==</vt:lpwstr>
  </property>
</Properties>
</file>