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版本号：新天宏THZ2026－32320260707001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新天宏THZ2026－323</w:t>
      </w:r>
      <w:r>
        <w:br/>
      </w:r>
      <w:r>
        <w:br/>
      </w:r>
      <w:r>
        <w:br/>
      </w:r>
    </w:p>
    <w:p>
      <w:pPr>
        <w:pStyle w:val="null3"/>
        <w:jc w:val="center"/>
        <w:outlineLvl w:val="2"/>
      </w:pPr>
      <w:r>
        <w:rPr>
          <w:rFonts w:ascii="仿宋_GB2312" w:hAnsi="仿宋_GB2312" w:cs="仿宋_GB2312" w:eastAsia="仿宋_GB2312"/>
          <w:sz w:val="28"/>
          <w:b/>
        </w:rPr>
        <w:t>西安高新区第六十一幼儿园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西安高新区第六十一幼儿园</w:t>
      </w:r>
      <w:r>
        <w:rPr>
          <w:rFonts w:ascii="仿宋_GB2312" w:hAnsi="仿宋_GB2312" w:cs="仿宋_GB2312" w:eastAsia="仿宋_GB2312"/>
        </w:rPr>
        <w:t>委托，拟对</w:t>
      </w:r>
      <w:r>
        <w:rPr>
          <w:rFonts w:ascii="仿宋_GB2312" w:hAnsi="仿宋_GB2312" w:cs="仿宋_GB2312" w:eastAsia="仿宋_GB2312"/>
        </w:rPr>
        <w:t>2026年后勤服务外包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基本情况：幼儿园位于高新区兴隆街道中海熙峰里小区内，园所建筑面积1200平方米，现有幼儿114人，教职工23人。服务范围：保洁服务、安保服务、综合维修等。服务人数：8人。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西安高新区韦斗路西安高新区第六十一幼儿园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西安高新区第六十一幼儿园经办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15291702634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02]1980号）《关于招标代理服务收费有关问题的通知》 （ 发改办价格[2003]857号）的有关规定一次性支付采购 代理服务费。不足5000.00元的按5 000.00元收取。2.成交供应商在领取成交通知书前，应一次性支付采购代理服务费。 西安新天宏项目管理有限责任公司，中国银行西安高新技术开发区支行营业部 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西安高新区第六十一幼儿园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基本情况：幼儿园位于高新区兴隆街道中海熙峰里小区内，园所建筑面积1200平方米，现有幼儿114人，教职工23人。服务范围：保洁服务、安保服务、综合维修等。服务人数：8人。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336,000.00</w:t>
      </w:r>
    </w:p>
    <w:p>
      <w:pPr>
        <w:pStyle w:val="null3"/>
      </w:pPr>
      <w:r>
        <w:rPr>
          <w:rFonts w:ascii="仿宋_GB2312" w:hAnsi="仿宋_GB2312" w:cs="仿宋_GB2312" w:eastAsia="仿宋_GB2312"/>
        </w:rPr>
        <w:t>采购包最高限价（元）: 336,000.00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2026年后勤服务外包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西安高新</w:t>
            </w:r>
            <w:r>
              <w:rPr>
                <w:rFonts w:ascii="仿宋_GB2312" w:hAnsi="仿宋_GB2312" w:cs="仿宋_GB2312" w:eastAsia="仿宋_GB2312"/>
                <w:sz w:val="44"/>
              </w:rPr>
              <w:t>区</w:t>
            </w:r>
            <w:r>
              <w:rPr>
                <w:rFonts w:ascii="仿宋_GB2312" w:hAnsi="仿宋_GB2312" w:cs="仿宋_GB2312" w:eastAsia="仿宋_GB2312"/>
                <w:sz w:val="44"/>
              </w:rPr>
              <w:t>第</w:t>
            </w:r>
            <w:r>
              <w:rPr>
                <w:rFonts w:ascii="仿宋_GB2312" w:hAnsi="仿宋_GB2312" w:cs="仿宋_GB2312" w:eastAsia="仿宋_GB2312"/>
                <w:sz w:val="44"/>
              </w:rPr>
              <w:t>六十一幼儿园</w:t>
            </w:r>
          </w:p>
          <w:p>
            <w:pPr>
              <w:pStyle w:val="null3"/>
              <w:jc w:val="center"/>
            </w:pPr>
            <w:r>
              <w:rPr>
                <w:rFonts w:ascii="仿宋_GB2312" w:hAnsi="仿宋_GB2312" w:cs="仿宋_GB2312" w:eastAsia="仿宋_GB2312"/>
                <w:sz w:val="44"/>
              </w:rPr>
              <w:t>后勤服务外包</w:t>
            </w:r>
            <w:r>
              <w:rPr>
                <w:rFonts w:ascii="仿宋_GB2312" w:hAnsi="仿宋_GB2312" w:cs="仿宋_GB2312" w:eastAsia="仿宋_GB2312"/>
                <w:sz w:val="44"/>
              </w:rPr>
              <w:t>服务内容</w:t>
            </w:r>
          </w:p>
          <w:p>
            <w:pPr>
              <w:pStyle w:val="null3"/>
              <w:ind w:firstLine="640"/>
              <w:jc w:val="both"/>
            </w:pPr>
            <w:r>
              <w:rPr>
                <w:rFonts w:ascii="仿宋_GB2312" w:hAnsi="仿宋_GB2312" w:cs="仿宋_GB2312" w:eastAsia="仿宋_GB2312"/>
                <w:sz w:val="32"/>
              </w:rPr>
              <w:t>根据区财政局、区教</w:t>
            </w:r>
            <w:r>
              <w:rPr>
                <w:rFonts w:ascii="仿宋_GB2312" w:hAnsi="仿宋_GB2312" w:cs="仿宋_GB2312" w:eastAsia="仿宋_GB2312"/>
                <w:sz w:val="32"/>
              </w:rPr>
              <w:t>体</w:t>
            </w:r>
            <w:r>
              <w:rPr>
                <w:rFonts w:ascii="仿宋_GB2312" w:hAnsi="仿宋_GB2312" w:cs="仿宋_GB2312" w:eastAsia="仿宋_GB2312"/>
                <w:sz w:val="32"/>
              </w:rPr>
              <w:t>局等有关要求，我</w:t>
            </w:r>
            <w:r>
              <w:rPr>
                <w:rFonts w:ascii="仿宋_GB2312" w:hAnsi="仿宋_GB2312" w:cs="仿宋_GB2312" w:eastAsia="仿宋_GB2312"/>
                <w:sz w:val="32"/>
              </w:rPr>
              <w:t>园</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年度校园后勤服务外包拟执行政府采购流</w:t>
            </w:r>
            <w:r>
              <w:rPr>
                <w:rFonts w:ascii="仿宋_GB2312" w:hAnsi="仿宋_GB2312" w:cs="仿宋_GB2312" w:eastAsia="仿宋_GB2312"/>
                <w:sz w:val="32"/>
              </w:rPr>
              <w:t>程</w:t>
            </w:r>
            <w:r>
              <w:rPr>
                <w:rFonts w:ascii="仿宋_GB2312" w:hAnsi="仿宋_GB2312" w:cs="仿宋_GB2312" w:eastAsia="仿宋_GB2312"/>
                <w:sz w:val="32"/>
              </w:rPr>
              <w:t>，现结合</w:t>
            </w:r>
            <w:r>
              <w:rPr>
                <w:rFonts w:ascii="仿宋_GB2312" w:hAnsi="仿宋_GB2312" w:cs="仿宋_GB2312" w:eastAsia="仿宋_GB2312"/>
                <w:sz w:val="32"/>
              </w:rPr>
              <w:t>幼儿园</w:t>
            </w:r>
            <w:r>
              <w:rPr>
                <w:rFonts w:ascii="仿宋_GB2312" w:hAnsi="仿宋_GB2312" w:cs="仿宋_GB2312" w:eastAsia="仿宋_GB2312"/>
                <w:sz w:val="32"/>
              </w:rPr>
              <w:t>实际，就</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年度校园后勤服务外包</w:t>
            </w:r>
            <w:r>
              <w:rPr>
                <w:rFonts w:ascii="仿宋_GB2312" w:hAnsi="仿宋_GB2312" w:cs="仿宋_GB2312" w:eastAsia="仿宋_GB2312"/>
                <w:sz w:val="32"/>
              </w:rPr>
              <w:t>服务内容</w:t>
            </w:r>
            <w:r>
              <w:rPr>
                <w:rFonts w:ascii="仿宋_GB2312" w:hAnsi="仿宋_GB2312" w:cs="仿宋_GB2312" w:eastAsia="仿宋_GB2312"/>
                <w:sz w:val="32"/>
              </w:rPr>
              <w:t>作以下说明</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保洁服务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服务区域</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1）幼儿活动区：户外场地、各功能部室等；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2）公共通行区：楼道、走廊、楼梯、扶手、门厅、大门、保安室、隔离观察室、保健室、家园宣传栏、玻璃门窗、踢脚线、消防通道等；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3）生活后勤区：成人卫生间、洗手台、拖把池、小便池、蹲坑等；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4）食堂区域：厨房、备餐间、洗消间、库房、食堂走廊、留样柜、消毒柜等；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5）配套设施区域：垃圾桶、垃圾分类点、消防器材柜、监控设备、走廊灯具、窗台、绿化带地面等。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服务标准</w:t>
            </w:r>
            <w:r>
              <w:rPr>
                <w:rFonts w:ascii="仿宋_GB2312" w:hAnsi="仿宋_GB2312" w:cs="仿宋_GB2312" w:eastAsia="仿宋_GB2312"/>
                <w:sz w:val="32"/>
              </w:rPr>
              <w:t>：</w:t>
            </w:r>
          </w:p>
          <w:p>
            <w:pPr>
              <w:pStyle w:val="null3"/>
              <w:jc w:val="left"/>
              <w:outlineLvl w:val="1"/>
            </w:pPr>
            <w:r>
              <w:rPr>
                <w:rFonts w:ascii="仿宋_GB2312" w:hAnsi="仿宋_GB2312" w:cs="仿宋_GB2312" w:eastAsia="仿宋_GB2312"/>
                <w:sz w:val="32"/>
                <w:b/>
              </w:rPr>
              <w:t>（</w:t>
            </w:r>
            <w:r>
              <w:rPr>
                <w:rFonts w:ascii="仿宋_GB2312" w:hAnsi="仿宋_GB2312" w:cs="仿宋_GB2312" w:eastAsia="仿宋_GB2312"/>
                <w:sz w:val="32"/>
                <w:b/>
              </w:rPr>
              <w:t>1）幼儿活动区域保洁标准：</w:t>
            </w:r>
          </w:p>
          <w:p>
            <w:pPr>
              <w:pStyle w:val="null3"/>
              <w:ind w:firstLine="640"/>
              <w:jc w:val="both"/>
            </w:pPr>
            <w:r>
              <w:rPr>
                <w:rFonts w:ascii="仿宋_GB2312" w:hAnsi="仿宋_GB2312" w:cs="仿宋_GB2312" w:eastAsia="仿宋_GB2312"/>
                <w:sz w:val="32"/>
              </w:rPr>
              <w:t>户外场地：操场、跑道日间巡回清扫纸屑杂物，滑滑梯、攀爬架、大型玩具每日擦拭、每周消杀；沙池及时清理异物垃圾，种植园捡拾枯枝落叶，遮阳棚定期除尘，场地无白色垃圾、无积水。</w:t>
            </w:r>
          </w:p>
          <w:p>
            <w:pPr>
              <w:pStyle w:val="null3"/>
              <w:ind w:firstLine="640"/>
              <w:jc w:val="both"/>
            </w:pPr>
            <w:r>
              <w:rPr>
                <w:rFonts w:ascii="仿宋_GB2312" w:hAnsi="仿宋_GB2312" w:cs="仿宋_GB2312" w:eastAsia="仿宋_GB2312"/>
                <w:sz w:val="32"/>
              </w:rPr>
              <w:t>各功能室：绘本馆、科学室、美术室、音乐室、感统室、食育教室使用完毕即时清扫地面、擦拭台面，书架、教具柜每日除尘，每周开展一次全方位清洁消杀。</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2）公共通行区域保洁标准：</w:t>
            </w:r>
          </w:p>
          <w:p>
            <w:pPr>
              <w:pStyle w:val="null3"/>
              <w:ind w:firstLine="640"/>
              <w:jc w:val="both"/>
            </w:pPr>
            <w:r>
              <w:rPr>
                <w:rFonts w:ascii="仿宋_GB2312" w:hAnsi="仿宋_GB2312" w:cs="仿宋_GB2312" w:eastAsia="仿宋_GB2312"/>
                <w:sz w:val="32"/>
              </w:rPr>
              <w:t>楼道、走廊、地面每日湿式拖扫不少于</w:t>
            </w:r>
            <w:r>
              <w:rPr>
                <w:rFonts w:ascii="仿宋_GB2312" w:hAnsi="仿宋_GB2312" w:cs="仿宋_GB2312" w:eastAsia="仿宋_GB2312"/>
                <w:sz w:val="32"/>
              </w:rPr>
              <w:t>2次，楼梯、扶手每日擦拭消毒；门厅、保安室、隔离观察室、保健室地面、台面日常清扫除尘；家园宣传栏、玻璃门窗、窗台、踢脚线定期擦拭洁净无积灰；消防通道全程保持畅通，严禁堆放任何杂物。</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3）生活后勤区域保洁标准：</w:t>
            </w:r>
          </w:p>
          <w:p>
            <w:pPr>
              <w:pStyle w:val="null3"/>
              <w:ind w:firstLine="640"/>
              <w:jc w:val="both"/>
            </w:pPr>
            <w:r>
              <w:rPr>
                <w:rFonts w:ascii="仿宋_GB2312" w:hAnsi="仿宋_GB2312" w:cs="仿宋_GB2312" w:eastAsia="仿宋_GB2312"/>
                <w:sz w:val="32"/>
              </w:rPr>
              <w:t>卫生间：成人厕所、小便池、蹲坑定时冲刷，无尿垢、粪渍、无异味；洗手台、拖把池随时清理水渍皂垢，地漏通畅无毛发堵塞，每日定点消杀。</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食堂区域：厨房、备餐间、洗消间、库房、食堂走廊、留样柜、消毒柜按厨房专项要求分时段保洁，每餐收尾清理残渣油污，每日收工消毒，每周深度除油垢；厨具、留样设施洁净规整，餐厨垃圾密闭存放、日产日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5）配套设施区域保洁标准：</w:t>
            </w:r>
          </w:p>
          <w:p>
            <w:pPr>
              <w:pStyle w:val="null3"/>
              <w:ind w:firstLine="640"/>
              <w:jc w:val="both"/>
            </w:pPr>
            <w:r>
              <w:rPr>
                <w:rFonts w:ascii="仿宋_GB2312" w:hAnsi="仿宋_GB2312" w:cs="仿宋_GB2312" w:eastAsia="仿宋_GB2312"/>
                <w:sz w:val="32"/>
              </w:rPr>
              <w:t>各类垃圾桶、垃圾分类点位桶体内外每日清洗、密闭加盖，满溢及时清运；消防器材柜、监控外壳、走廊灯具、窗台常态化除尘；绿化带、地下车库巡回捡拾垃圾，地面无杂草、无废弃杂物、无积存垃圾。</w:t>
            </w:r>
          </w:p>
          <w:p>
            <w:pPr>
              <w:pStyle w:val="null3"/>
              <w:ind w:firstLine="640"/>
              <w:jc w:val="both"/>
            </w:pPr>
            <w:r>
              <w:rPr>
                <w:rFonts w:ascii="仿宋_GB2312" w:hAnsi="仿宋_GB2312" w:cs="仿宋_GB2312" w:eastAsia="仿宋_GB2312"/>
                <w:sz w:val="32"/>
              </w:rPr>
              <w:t>二、综合维修</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服务内容：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负责校内基础水电正常运行和日常维护。</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负责校园灯具、门窗锁具、上下水管路等的小型维修工作。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日常水电系统及设施的巡查，发现问题及时上报，协助维保人员对专业设施设备进行维护保养工作；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处理包括停电、水浸等突发事件的应急处置及处置；</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配合幼儿园工程施工方接送临电；</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配合幼儿园水电设施设备质保期外的维修，产生的施工维修成本及设备更换费用由乙方上报维修方案。</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服务标准：</w:t>
            </w:r>
          </w:p>
          <w:p>
            <w:pPr>
              <w:pStyle w:val="null3"/>
              <w:ind w:firstLine="640"/>
              <w:jc w:val="both"/>
            </w:pPr>
            <w:r>
              <w:rPr>
                <w:rFonts w:ascii="仿宋_GB2312" w:hAnsi="仿宋_GB2312" w:cs="仿宋_GB2312" w:eastAsia="仿宋_GB2312"/>
                <w:sz w:val="32"/>
              </w:rPr>
              <w:t>维修人员须持电工证上岗，</w:t>
            </w:r>
            <w:r>
              <w:rPr>
                <w:rFonts w:ascii="仿宋_GB2312" w:hAnsi="仿宋_GB2312" w:cs="仿宋_GB2312" w:eastAsia="仿宋_GB2312"/>
                <w:sz w:val="32"/>
              </w:rPr>
              <w:t>24小时维修值班，按作业指导标准进行设施设备的维护保养，水电暖等运行正常，接到急修呼唤，十五分钟内到达。日常水电维修值班，接到维修处理派单24小时之内完成维修：小范围维修及时率达到100%。</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安保服务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服务内容：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保证校园内安全和正常工作、生活秩序，做好协防保卫，做好安全秩序管理等；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保安年龄需不超过</w:t>
            </w:r>
            <w:r>
              <w:rPr>
                <w:rFonts w:ascii="仿宋_GB2312" w:hAnsi="仿宋_GB2312" w:cs="仿宋_GB2312" w:eastAsia="仿宋_GB2312"/>
                <w:sz w:val="32"/>
              </w:rPr>
              <w:t>50岁，并</w:t>
            </w:r>
            <w:r>
              <w:rPr>
                <w:rFonts w:ascii="仿宋_GB2312" w:hAnsi="仿宋_GB2312" w:cs="仿宋_GB2312" w:eastAsia="仿宋_GB2312"/>
                <w:sz w:val="32"/>
              </w:rPr>
              <w:t>实行全天候</w:t>
            </w:r>
            <w:r>
              <w:rPr>
                <w:rFonts w:ascii="仿宋_GB2312" w:hAnsi="仿宋_GB2312" w:cs="仿宋_GB2312" w:eastAsia="仿宋_GB2312"/>
                <w:sz w:val="32"/>
              </w:rPr>
              <w:t>24小时值班制度；</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协防设置门岗和巡逻岗，对外来人员建立询问登记制度，礼貌用语、文明用语、热情服务，按照采购人要求进行出入管理服务；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保证区域内安全秩序良好，道路通畅；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根据采购人要求，服从后勤处工作人员调配，做好各项活动的秩序维护工作。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制定安全管理服务预案，完善责任制，遇突发事件能应急处理；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w:t>
            </w:r>
            <w:r>
              <w:rPr>
                <w:rFonts w:ascii="仿宋_GB2312" w:hAnsi="仿宋_GB2312" w:cs="仿宋_GB2312" w:eastAsia="仿宋_GB2312"/>
                <w:sz w:val="32"/>
              </w:rPr>
              <w:t>能及时发现和处理各种事故隐患，确保不发生安全方面的问题，能迅速有效处置突发事件；</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w:t>
            </w:r>
            <w:r>
              <w:rPr>
                <w:rFonts w:ascii="仿宋_GB2312" w:hAnsi="仿宋_GB2312" w:cs="仿宋_GB2312" w:eastAsia="仿宋_GB2312"/>
                <w:sz w:val="32"/>
              </w:rPr>
              <w:t>对针对本区域的盗抢破坏等违法行为，能够积极应对，及时报警协助制止。</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9）</w:t>
            </w:r>
            <w:r>
              <w:rPr>
                <w:rFonts w:ascii="仿宋_GB2312" w:hAnsi="仿宋_GB2312" w:cs="仿宋_GB2312" w:eastAsia="仿宋_GB2312"/>
                <w:sz w:val="32"/>
              </w:rPr>
              <w:t>遇有重要活动承担礼宾工作，精神饱满，举止得体。</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服务标准：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以</w:t>
            </w:r>
            <w:r>
              <w:rPr>
                <w:rFonts w:ascii="仿宋_GB2312" w:hAnsi="仿宋_GB2312" w:cs="仿宋_GB2312" w:eastAsia="仿宋_GB2312"/>
                <w:sz w:val="32"/>
              </w:rPr>
              <w:t>“安全第一、预防为主”为核心，全面保障师幼人身与财产安全、维护校园秩序。</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严格执行门禁管理制度，核实身份、检查入园物品，劝阻门口聚集喧哗；</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日常每</w:t>
            </w:r>
            <w:r>
              <w:rPr>
                <w:rFonts w:ascii="仿宋_GB2312" w:hAnsi="仿宋_GB2312" w:cs="仿宋_GB2312" w:eastAsia="仿宋_GB2312"/>
                <w:sz w:val="32"/>
              </w:rPr>
              <w:t>2小时全面巡逻，重点巡查围墙、消防设施等关键区域，做好值班与交接记录。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安保人员须持保安证，着装整洁、言行文明，熟练操作监控与报警设备；遇突发事件</w:t>
            </w:r>
            <w:r>
              <w:rPr>
                <w:rFonts w:ascii="仿宋_GB2312" w:hAnsi="仿宋_GB2312" w:cs="仿宋_GB2312" w:eastAsia="仿宋_GB2312"/>
                <w:sz w:val="32"/>
              </w:rPr>
              <w:t>5分钟内响应，启动应急预案组织疏散避险，配合开展安全宣传与应急演练；</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服从幼儿园安排，全力为教育教学提供安全有序环境。</w:t>
            </w:r>
          </w:p>
          <w:p>
            <w:pPr>
              <w:pStyle w:val="null3"/>
              <w:ind w:firstLine="640"/>
              <w:jc w:val="both"/>
            </w:pPr>
            <w:r>
              <w:rPr>
                <w:rFonts w:ascii="仿宋_GB2312" w:hAnsi="仿宋_GB2312" w:cs="仿宋_GB2312" w:eastAsia="仿宋_GB2312"/>
                <w:sz w:val="32"/>
              </w:rPr>
              <w:t>四、供应商要求：</w:t>
            </w:r>
          </w:p>
          <w:p>
            <w:pPr>
              <w:pStyle w:val="null3"/>
              <w:ind w:firstLine="640"/>
              <w:jc w:val="both"/>
            </w:pPr>
            <w:r>
              <w:rPr>
                <w:rFonts w:ascii="仿宋_GB2312" w:hAnsi="仿宋_GB2312" w:cs="仿宋_GB2312" w:eastAsia="仿宋_GB2312"/>
                <w:sz w:val="32"/>
              </w:rPr>
              <w:t>1.供应商必须指派一名经验丰富的专职项目经理（需提供简历，具备3年以上相关工作管理经验）负责本项目，项目经理需定期到园所沟通（每月/1次）。</w:t>
            </w:r>
          </w:p>
          <w:p>
            <w:pPr>
              <w:pStyle w:val="null3"/>
              <w:ind w:firstLine="640"/>
              <w:jc w:val="both"/>
            </w:pPr>
            <w:r>
              <w:rPr>
                <w:rFonts w:ascii="仿宋_GB2312" w:hAnsi="仿宋_GB2312" w:cs="仿宋_GB2312" w:eastAsia="仿宋_GB2312"/>
                <w:sz w:val="32"/>
              </w:rPr>
              <w:t>2.供应商须制定针对人员短缺（大规模离职/突发事件）、重大劳资纠纷、工伤事故等的详细应急预案，确保能快速响应，最大限度降低对园所运转的影响。</w:t>
            </w:r>
          </w:p>
          <w:p>
            <w:pPr>
              <w:pStyle w:val="null3"/>
              <w:ind w:firstLine="640"/>
              <w:jc w:val="both"/>
            </w:pPr>
            <w:r>
              <w:rPr>
                <w:rFonts w:ascii="仿宋_GB2312" w:hAnsi="仿宋_GB2312" w:cs="仿宋_GB2312" w:eastAsia="仿宋_GB2312"/>
                <w:sz w:val="32"/>
              </w:rPr>
              <w:t>3.供应商及其员工须对在服务过程中获知的园所内部信息（包括但不限于管理流程、财务信息、师生信息等）承担保密义务。</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西安高新区第六十一幼儿园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进度款，费用按月结算，达到付款条件起10个工作日内，支付合同总金额的8.3%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进度款，费用按月结算，达到付款条件起10个工作日内，支付合同总金额的8.7%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 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18分，每缺一项内容扣3分，评审内容有瑕疵的，出现瑕疵的评审项扣1分，评审项内容有严重瑕疵，出现严重瑕疵的评审项扣2分。 备注：评审内容“瑕疵 ”是指：内容粗略、逻辑混乱、描述过于简单、与项目特点不匹配、逻辑漏洞、出现常识性错误、存在不适用项目实际情况的情形或只有标题没有实质性内容等。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 符合本项目采购需求得12分，每缺一项内容扣3分，评审内容有瑕疵的，出现瑕疵的评审项扣1分，评审项内容有严重瑕疵，出现严重瑕疵的评审项扣2分。备注：评审内容“瑕疵”是指：内容粗略、逻辑混乱、描述过于简单、与项目特点不匹配、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评审标准：人员配备方案各部分内容全面详细、阐述条理清晰详尽、符合本项目采购需求得10分，每缺一项内容扣2.5分，评审内容有瑕疵的 , 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 包括巡逻车、对讲机、橡胶棒，手电筒警棍、喇叭、 口哨、指挥棒、指挥旗、强光手电、盾牌、长棍、 防爆叉、对讲机、执法记录仪、防爆装备等。 评审标准：安保装备配备清单各部分内容全面详细、阐述条理清晰详尽、符合本项目采购需求得10分，每缺一项内容扣5分，扣完为止。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 突发公共卫生、盗窃、打架、暴恐 、爆炸、意外伤亡、踩踏事件等）⑤应急常识宣传等。 预防及处置措施等。 评审标准：活动保障及应急预案方案各部分内容全面详细、阐述条理清晰详尽、符合本项目采购需求得25分，每缺一项内容扣5分，扣完为止。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供应商具有2023年01月01日至今（以合同签订时间为准）的类似项目业绩，投标文件中提供合同复印件加盖公章，每提供一个计3分，满分15分。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