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版本号：YDFZ-2026-00920260527001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2026年洋县戚氏街道后村粮油加产业基地建设项目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YDFZ-2026-009</w:t>
      </w:r>
      <w:r>
        <w:br/>
      </w:r>
      <w:r>
        <w:br/>
      </w:r>
      <w:r>
        <w:br/>
      </w:r>
    </w:p>
    <w:p>
      <w:pPr>
        <w:pStyle w:val="null3"/>
        <w:jc w:val="center"/>
        <w:outlineLvl w:val="2"/>
      </w:pPr>
      <w:r>
        <w:rPr>
          <w:rFonts w:ascii="仿宋_GB2312" w:hAnsi="仿宋_GB2312" w:cs="仿宋_GB2312" w:eastAsia="仿宋_GB2312"/>
          <w:sz w:val="28"/>
          <w:b/>
        </w:rPr>
        <w:t>洋县戚氏街道办事处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洋县戚氏街道办事处</w:t>
      </w:r>
      <w:r>
        <w:rPr>
          <w:rFonts w:ascii="仿宋_GB2312" w:hAnsi="仿宋_GB2312" w:cs="仿宋_GB2312" w:eastAsia="仿宋_GB2312"/>
        </w:rPr>
        <w:t>委托，拟对</w:t>
      </w:r>
      <w:r>
        <w:rPr>
          <w:rFonts w:ascii="仿宋_GB2312" w:hAnsi="仿宋_GB2312" w:cs="仿宋_GB2312" w:eastAsia="仿宋_GB2312"/>
        </w:rPr>
        <w:t>2026年洋县戚氏街道后村粮油加产业基地建设项目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2026年洋县戚氏街道后村粮油加产业基地建设项目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新建703平方米加工厂房及仓库，水电及配套设施（具体内容详见工程量清单）。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采购包1（2026年洋县戚氏街道后村粮油加产业基地建设项目）：属于专门面向中小企业采购。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响应⽂件签署⼈⾝份证明：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颁发的建筑工程施工总承包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经理须具有建筑工程专业二级（含二级）及以上注册建造师资格及其本人有效的安全生产考核合格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洋县戚氏街道办事处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竹园村一组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洋县戚氏街道办事处经办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0916-8291495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17792969681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开户名称：陕西昱达⽅洲⼯程咨询有限公司</w:t>
            </w:r>
          </w:p>
          <w:p>
            <w:pPr>
              <w:pStyle w:val="null3"/>
            </w:pPr>
            <w:r>
              <w:rPr>
                <w:rFonts w:ascii="仿宋_GB2312" w:hAnsi="仿宋_GB2312" w:cs="仿宋_GB2312" w:eastAsia="仿宋_GB2312"/>
              </w:rPr>
              <w:t>开户银行：中国农业银⾏股份有限公司洋县⽀⾏</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办法》(计价格[2002]1980号)、国家发展和改⾰委员会《国家发展改⾰委办公厅关于招标代理服务收费有关问题的通知》(发改办价格[2003]857号)和《国家发展改⾰委关于降低部分建设项⽬收费标准规范收费⾏为等有关问题的通知》(发改价格[2011]534号)⽂件的相关规定执⾏。</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洋县戚氏街道办事处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洋县戚氏街道办事处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洋县戚氏街道办事处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符合国家现行行业验收合格标准及采购人工作需求。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联系电话：17792969681</w:t>
      </w:r>
    </w:p>
    <w:p>
      <w:pPr>
        <w:pStyle w:val="null3"/>
      </w:pPr>
      <w:r>
        <w:rPr>
          <w:rFonts w:ascii="仿宋_GB2312" w:hAnsi="仿宋_GB2312" w:cs="仿宋_GB2312" w:eastAsia="仿宋_GB2312"/>
        </w:rPr>
        <w:t>地址：陕西省汉中市洋县纸坊街道纸坊街村四组8 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1,340,000.00</w:t>
      </w:r>
    </w:p>
    <w:p>
      <w:pPr>
        <w:pStyle w:val="null3"/>
      </w:pPr>
      <w:r>
        <w:rPr>
          <w:rFonts w:ascii="仿宋_GB2312" w:hAnsi="仿宋_GB2312" w:cs="仿宋_GB2312" w:eastAsia="仿宋_GB2312"/>
        </w:rPr>
        <w:t>采购包最高限价（元）: 1,203,421.50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2026年洋县戚氏街道后村粮油加产业基地建设项目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标的名称：2026年洋县戚氏街道后村粮油加产业基地建设项目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1.主要建设内容为：新建703平方米加工厂房及仓库，水电及配套设施。完成工程量清单所有内容。</w:t>
            </w:r>
          </w:p>
          <w:p>
            <w:pPr>
              <w:pStyle w:val="null3"/>
            </w:pPr>
            <w:r>
              <w:rPr>
                <w:rFonts w:ascii="仿宋_GB2312" w:hAnsi="仿宋_GB2312" w:cs="仿宋_GB2312" w:eastAsia="仿宋_GB2312"/>
                <w:sz w:val="24"/>
                <w:color w:val="000000"/>
              </w:rPr>
              <w:t>2.合同履约地点：洋县戚氏街道后村。</w:t>
            </w:r>
          </w:p>
          <w:p>
            <w:pPr>
              <w:pStyle w:val="null3"/>
            </w:pPr>
            <w:r>
              <w:rPr>
                <w:rFonts w:ascii="仿宋_GB2312" w:hAnsi="仿宋_GB2312" w:cs="仿宋_GB2312" w:eastAsia="仿宋_GB2312"/>
                <w:sz w:val="24"/>
                <w:color w:val="000000"/>
              </w:rPr>
              <w:t>3.工期：90日历天。</w:t>
            </w:r>
          </w:p>
          <w:p>
            <w:pPr>
              <w:pStyle w:val="null3"/>
            </w:pPr>
            <w:r>
              <w:rPr>
                <w:rFonts w:ascii="仿宋_GB2312" w:hAnsi="仿宋_GB2312" w:cs="仿宋_GB2312" w:eastAsia="仿宋_GB2312"/>
                <w:sz w:val="24"/>
                <w:color w:val="000000"/>
              </w:rPr>
              <w:t>4.质量标准：达到验收合格标准。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为⽅便采购⼈备案留存⼯作，成交供应商需向采购代理机构提交签章⻬全的纸质版（⼀正⼀副）及电⼦版（电⼦版包含 word版响应⽂件，签章后的pdf响应⽂件以及投标报价软件版），成交供应商应保持响应⽂件纸质版内容、电⼦版内容与系 统上传内容完全⼀致，否则将承担⼀切法律责任。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响应⽂件签署⼈⾝份证明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供应商应具备建设行政主管部门颁发的建筑工程施工总承包三级（含三级）及其以上资质，具有有效的安全生产许可证，供应商需在项目电子化交易系统中按要求上传相应证明文件并进行电子签章；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经理须具有建筑工程专业二级（含二级）及以上注册建造师资格及其本人有效的安全生产考核合格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项目负责人.docx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控股管理关系.docx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只能有⼀个有效报价，不得提交选择性报价，且报价不超过最⾼限价⾦额。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应满⾜磋商⽂件的要求，90⽇历天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响应⽂件有效期符合磋商⽂件要求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符合磋商⽂件签署盖章要求，且⽆遗漏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供应商应提交的相关资格证明材料 控股管理关系.docx 汉中市政府采购供应商资格承诺函.docx 法定代表人证明或法定代表人授权书.docx 施工组织设计.docx 响应文件封面 项目负责人.docx 项目管理机构组成表 残疾人福利性单位声明函 报价函 标的清单 供应商类似项目业绩一览表 响应函 主要人员简历表 监狱企业的证明文件 供应商非联合体声明.docx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根据供应商制定的项目施工方案及措施进行综合评审。内容包含但不限于：①具体施工内容；② 施工方法（工艺）；③施工部署；④施工重难点分析；⑤应急方案保障措施等；1.施工组织设计完整覆盖本项目全部内容，针对性强，施工部署、进度计划、重难点分析、保障措施科学合理，完全匹配项目实际情况得9-12分；2.施工组织设计基本覆盖项目内容，施工部署、进度计划合理，重难点分析及保障措施基本可行，整体符合项目需求得6-9分；3.施工组织设计存在少量缺项，施工部署或进度计划存在轻微不合理之处，保障措施针对性不足，基本满足项目实施要求得3-6分；4.施工组织设计存在明显缺陷，未覆盖部分核心工程内容，或施工方案、进度计划不合理，影响项目实施得0-3分；5.施工组织设计严重缺项，未覆盖关键工程内容，或方案存在重大缺陷，无法保障项目正常实施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内容包含但不限于：①质量⽬标管理体系；②施工质量的检验制度；③确保质量的技术组织措施等。1.质量管理体系健全、措施科学合理、可操作性强，能有效保障工程质量得8-10分；2.质量管理体系基本健全、措施基本完善，关键环节质量保障措施基本可行，无明显漏洞得5-8分；3.质量管理体系不完善、措施针对性不足，关键环节管控缺失得2-5分；4.无明确质量管理措施，或措施严重不符合项目需求，无法保障工程质量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内容包含但不限于：①安全生产管理制度；②安全施工措施；③安全应急预案；④安全生产教育等。1.安全管理体系健全，措施全面可行，完全满足项目安全管控要求得7-9分；2.安全管理体系基本健全、措施基本完善，存在少量细节待优化得5-7分；3.安全管理体系不完善、措施针对性不足，关键风险点管控缺失得2-5分；4.无明确安全管理措施，或措施严重不符合项目需求，无法保障工程安全得0-2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根据供应商制定的施工进度计划及工期保证措施进行综合评审。内容包含但不限于：①施工进度计划横道图；②进度计划保证措施 ；③工期保证措施等。1.进度计划科学合理，关键节点清晰，工期保证措施具体可行，完全满足项目工期要求得6-8分；2.进度计划基本合理，关键节点基本明确，工期保证措施基本到位得4-6分；3.进度计划不合理，或工期措施与项目脱节可能影响项目工期得2-4分；4.无明确工期计划，或工期目标无法满足采购文件实质性要求得0-2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及环境保护措施进行综合评审。内容包含但不限于：①文明施工管理目标及技术措施；②文明施工现场管理：材料管理、防扰民措施；③扬尘治理、固废处置、污水排放类环保措施等。1.措施科学合理、可操作性强，贴合本项目现场实际，方案细致可落地，完全满足项目文明施工及环保要求得5-8分；2.措施基本完善，内容较完整，基本满足项目文明施工及环保要求得3-5分；3.仅有基础措施，内容简单笼统，针对性不强，部分管控环节缺失得0-3分。4.措施严重缺失、内容空洞，不满足项目文明及环保施工基本要求或存在重大缺陷、不响应采购实质性条件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根据供应商编制的资源配置计划进行综合评审。内容包含但不限于：①施工机械设备投入计划；②主要施工材料供应计划。③劳动力资源配置计划等。1.人员、材料、机械设备配置与项目规模、工期匹配度高，计划科学合理得3-5分；2.资源配置方案基本完整，基本满足项目需求得1-3分；3.资源配置存在少量不足，部分设备/人员计划待完善得0-1分；4.未提供资源配置计划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根据供应商编制的⼯程保修⽅案和后期服务承诺进行综合评审。1.售后服务方案完善，工程质量保修期承诺高于国家及行业标准，维修响应时间、故障处理流程明确，违约责任承诺清晰，能有效保障采购人权益得4-5分；2.售后服务方案基本完善，质量保修期承诺符合国家及行业标准，维修响应时间、故障处理流程基本明确，履约保障措施基本到位得2-4分；3.售后服务方案不够完善，质量保修期承诺符合最低标准，履约保障措施针对性不足得0-2分；4.无售后服务方案，或方案严重不符合采购文件要求，无履约保障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1、项目部拟派人员组织机构设置合理完善，人员配备齐全，有详细的人员配置清单，核心人员（项目经理、技术负责人、安全员、质量员、施工员、材料员、资料员）资质齐全、针对性强，技术经验丰富，人员专业性强，完全满足项目需求得5-8分；2、组织机构组成基本合理，人员配备基本齐全，具备从业经验，基本满足项目需求得3-5分；3、组织机构设置不完整、人员配置短缺，核心人员资质不全或无对应资质，仅部分满足项目需求得0-3分；4、未提供人员配置或核心人员无资质，无法满足项目需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详见附件：供应商非联合体声明.docx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详见附件：项目负责人.docx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