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FB565">
      <w:pPr>
        <w:rPr>
          <w:rFonts w:hint="eastAsia" w:eastAsia="宋体"/>
          <w:lang w:eastAsia="zh-CN"/>
        </w:rPr>
      </w:pPr>
      <w:bookmarkStart w:id="0" w:name="_GoBack"/>
      <w:bookmarkEnd w:id="0"/>
      <w:r>
        <w:rPr>
          <w:rFonts w:hint="eastAsia"/>
        </w:rPr>
        <w:t>供应商应具备建设行政主管部门顺发的建筑工程施工总承包三级(舍三级)及其以上资质，具有有效的安全生产许可证</w:t>
      </w:r>
      <w:r>
        <w:rPr>
          <w:rFonts w:hint="eastAsia"/>
          <w:lang w:eastAsia="zh-CN"/>
        </w:rPr>
        <w:t>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6208"/>
    <w:rsid w:val="1A1F76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2026-05-10T11:25:30Z</dcterms:created>
  <dc:creator>Administrator</dc:creator>
  <cp:lastModifiedBy>杨宝莉</cp:lastModifiedBy>
  <dcterms:modified xsi:type="dcterms:W3CDTF">2026-05-10T11:41:38Z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24836824AA3547CF9CC044284855E4EE_13</vt:lpwstr>
  </property>
</Properties>
</file>