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版本号：HJLGX-2026-1920260519001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陕西省山区河流漂流物调查研究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HJLGX-2026-19</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陕西省山区河流漂流物调查研究</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HJLGX-2026-19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陕西省山区河流漂流物调查研究</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山区河流漂流物调查研究需要调查陕西省秦岭山区入河漂流物，分析入河漂流物的来源、种类、数量、聚集方式，探索其普遍规律；为涉水建筑物的设计、管理及河道整治、防洪管理提供技术支撑，提出防止入河漂流物不利影响的举措和建议。重点对不稳定耕地开展需求调查和资料收集、河道洪水及水面线计算、淹没区域套汇和复核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1、企业资质要求：投标人须具备行政主管部门颁发的工程设计水利行业乙级及以上资质；</w:t>
      </w:r>
    </w:p>
    <w:p>
      <w:pPr>
        <w:pStyle w:val="null3"/>
      </w:pPr>
      <w:r>
        <w:rPr>
          <w:rFonts w:ascii="仿宋_GB2312" w:hAnsi="仿宋_GB2312" w:cs="仿宋_GB2312" w:eastAsia="仿宋_GB2312"/>
        </w:rPr>
        <w:t>2、项目负责人要求：拟投入本项目的项目负责人须具备水利类相关专业高级职称，并提供投标截止时间前近6个月任一月的社保缴纳证明材料；</w:t>
      </w:r>
    </w:p>
    <w:p>
      <w:pPr>
        <w:pStyle w:val="null3"/>
      </w:pPr>
      <w:r>
        <w:rPr>
          <w:rFonts w:ascii="仿宋_GB2312" w:hAnsi="仿宋_GB2312" w:cs="仿宋_GB2312" w:eastAsia="仿宋_GB2312"/>
        </w:rPr>
        <w:t>3、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陈海宏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029-61835921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杜国涛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029-81130660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开户名称：华建联项目管理有限公司西安高新分公司</w:t>
            </w:r>
          </w:p>
          <w:p>
            <w:pPr>
              <w:pStyle w:val="null3"/>
            </w:pPr>
            <w:r>
              <w:rPr>
                <w:rFonts w:ascii="仿宋_GB2312" w:hAnsi="仿宋_GB2312" w:cs="仿宋_GB2312" w:eastAsia="仿宋_GB2312"/>
              </w:rPr>
              <w:t>开户银行：招商银行股份有限公司西安锦业路支行</w:t>
            </w:r>
          </w:p>
          <w:p>
            <w:pPr>
              <w:pStyle w:val="null3"/>
            </w:pPr>
            <w:r>
              <w:rPr>
                <w:rFonts w:ascii="仿宋_GB2312" w:hAnsi="仿宋_GB2312" w:cs="仿宋_GB2312" w:eastAsia="仿宋_GB2312"/>
              </w:rPr>
              <w:t>银行账号：129917644010002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服务类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①采用的标准和规范是否满足国家政策、技术标准及相关行业技术规范。 ②调查研究成果入河漂流物的来源、种类、数量、聚集方式，分析其普遍规律；不稳定耕地调查和资料收集、河道洪水及水面线计算、 淹没区复核及套汇成果是否符合行业标准和规范规程要求。 ③成果是否符合合同中的技术协议和相关条款。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联系人：杜国涛</w:t>
      </w:r>
    </w:p>
    <w:p>
      <w:pPr>
        <w:pStyle w:val="null3"/>
      </w:pPr>
      <w:r>
        <w:rPr>
          <w:rFonts w:ascii="仿宋_GB2312" w:hAnsi="仿宋_GB2312" w:cs="仿宋_GB2312" w:eastAsia="仿宋_GB2312"/>
        </w:rPr>
        <w:t>联系电话：029-81130660</w:t>
      </w:r>
    </w:p>
    <w:p>
      <w:pPr>
        <w:pStyle w:val="null3"/>
      </w:pPr>
      <w:r>
        <w:rPr>
          <w:rFonts w:ascii="仿宋_GB2312" w:hAnsi="仿宋_GB2312" w:cs="仿宋_GB2312" w:eastAsia="仿宋_GB2312"/>
        </w:rPr>
        <w:t>地址：陕西省西安市高新区唐延路8号泰维智链中心项目一期A座4层406号</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山区河流漂流物调查研究需要调查陕西省秦岭山区入河漂流物，分析入河漂流物的来源、种类、数量、聚集方式，探索其普遍规律；为涉水建筑物的设计、管理及河道整治、防洪管理提供技术支撑，提出防止入河漂流物不利影响的举措和建议。重点对不稳定耕地开展需求调查和资料收集、河道洪水及水面线计算、淹没区域套汇和复核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陕西省山区河流漂流物调查研究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标的名称：陕西省山区河流漂流物调查研究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一、项目基本情况</w:t>
            </w:r>
          </w:p>
          <w:p>
            <w:pPr>
              <w:pStyle w:val="null3"/>
              <w:ind w:firstLine="400"/>
            </w:pPr>
            <w:r>
              <w:rPr>
                <w:rFonts w:ascii="仿宋_GB2312" w:hAnsi="仿宋_GB2312" w:cs="仿宋_GB2312" w:eastAsia="仿宋_GB2312"/>
              </w:rPr>
              <w:t>陕西省山区河流漂流物调查研究需要调查陕西省秦岭山区入河漂流物，分析入河漂流物的来源、种类、数量、聚集方式，探索其普遍规律；为涉水建筑物的设计、管理及河道整治、防洪管理提供技术支撑，提出防止入河漂流物不利影响的举措和建议。重点对不稳定耕地开展需求调查和资料收集、河道洪水及水面线计算、淹没区域套汇和复核等。</w:t>
            </w:r>
          </w:p>
          <w:p>
            <w:pPr>
              <w:pStyle w:val="null3"/>
              <w:ind w:firstLine="402"/>
            </w:pPr>
            <w:r>
              <w:rPr>
                <w:rFonts w:ascii="仿宋_GB2312" w:hAnsi="仿宋_GB2312" w:cs="仿宋_GB2312" w:eastAsia="仿宋_GB2312"/>
                <w:b/>
              </w:rPr>
              <w:t>二、服务内容及要求</w:t>
            </w:r>
          </w:p>
          <w:p>
            <w:pPr>
              <w:pStyle w:val="null3"/>
              <w:ind w:firstLine="201"/>
            </w:pPr>
            <w:r>
              <w:rPr>
                <w:rFonts w:ascii="仿宋_GB2312" w:hAnsi="仿宋_GB2312" w:cs="仿宋_GB2312" w:eastAsia="仿宋_GB2312"/>
                <w:b/>
              </w:rPr>
              <w:t>（一）主要服务内容</w:t>
            </w:r>
          </w:p>
          <w:p>
            <w:pPr>
              <w:pStyle w:val="null3"/>
              <w:ind w:firstLine="400"/>
            </w:pPr>
            <w:r>
              <w:rPr>
                <w:rFonts w:ascii="仿宋_GB2312" w:hAnsi="仿宋_GB2312" w:cs="仿宋_GB2312" w:eastAsia="仿宋_GB2312"/>
              </w:rPr>
              <w:t>以</w:t>
            </w:r>
            <w:r>
              <w:rPr>
                <w:rFonts w:ascii="仿宋_GB2312" w:hAnsi="仿宋_GB2312" w:cs="仿宋_GB2312" w:eastAsia="仿宋_GB2312"/>
              </w:rPr>
              <w:t>“7·19”高速公路桥梁垮塌灾害事故发生的金钱河河段为基础，分析入河漂流物的种类、数量；再进一步选取典型河流、典型河段拓展研究入河漂流物的种类、来源，探索入河漂流物与（地质）灾害类型、暴雨强度、洪峰流量之间的对应关系；为公路、铁路、市政、水运等行业制定相关设计规范提供依据，提出防止入河漂流物不利影响的举措和建议。</w:t>
            </w:r>
          </w:p>
          <w:p>
            <w:pPr>
              <w:pStyle w:val="null3"/>
              <w:ind w:firstLine="402"/>
            </w:pPr>
            <w:r>
              <w:rPr>
                <w:rFonts w:ascii="仿宋_GB2312" w:hAnsi="仿宋_GB2312" w:cs="仿宋_GB2312" w:eastAsia="仿宋_GB2312"/>
                <w:b/>
              </w:rPr>
              <w:t>（二）人员要求</w:t>
            </w:r>
          </w:p>
          <w:p>
            <w:pPr>
              <w:pStyle w:val="null3"/>
              <w:ind w:firstLine="200"/>
            </w:pPr>
            <w:r>
              <w:rPr>
                <w:rFonts w:ascii="仿宋_GB2312" w:hAnsi="仿宋_GB2312" w:cs="仿宋_GB2312" w:eastAsia="仿宋_GB2312"/>
              </w:rPr>
              <w:t xml:space="preserve">    满足采购项目要求，有明确的项目负责人，要求团队人员有专业技术能力。</w:t>
            </w:r>
          </w:p>
          <w:p>
            <w:pPr>
              <w:pStyle w:val="null3"/>
              <w:ind w:firstLine="402"/>
            </w:pPr>
            <w:r>
              <w:rPr>
                <w:rFonts w:ascii="仿宋_GB2312" w:hAnsi="仿宋_GB2312" w:cs="仿宋_GB2312" w:eastAsia="仿宋_GB2312"/>
                <w:b/>
              </w:rPr>
              <w:t>三、服务主要成果</w:t>
            </w:r>
          </w:p>
          <w:p>
            <w:pPr>
              <w:pStyle w:val="null3"/>
              <w:ind w:firstLine="400"/>
            </w:pPr>
            <w:r>
              <w:rPr>
                <w:rFonts w:ascii="仿宋_GB2312" w:hAnsi="仿宋_GB2312" w:cs="仿宋_GB2312" w:eastAsia="仿宋_GB2312"/>
              </w:rPr>
              <w:t>调查陕西省秦岭山区入河漂流物，分析入河漂流物的来源、种类、数量、聚集方式，探索其普遍规律；为涉水建筑物的设计、管理及河道整治、防洪管理提供技术支撑，提出防止入河漂流物不利影响的举措和建议。研究成果主要包括：</w:t>
            </w:r>
          </w:p>
          <w:p>
            <w:pPr>
              <w:pStyle w:val="null3"/>
              <w:ind w:firstLine="200"/>
            </w:pPr>
            <w:r>
              <w:rPr>
                <w:rFonts w:ascii="仿宋_GB2312" w:hAnsi="仿宋_GB2312" w:cs="仿宋_GB2312" w:eastAsia="仿宋_GB2312"/>
              </w:rPr>
              <w:t>（</w:t>
            </w:r>
            <w:r>
              <w:rPr>
                <w:rFonts w:ascii="仿宋_GB2312" w:hAnsi="仿宋_GB2312" w:cs="仿宋_GB2312" w:eastAsia="仿宋_GB2312"/>
              </w:rPr>
              <w:t>1）形成课题研究报告。</w:t>
            </w:r>
          </w:p>
          <w:p>
            <w:pPr>
              <w:pStyle w:val="null3"/>
              <w:ind w:firstLine="200"/>
            </w:pPr>
            <w:r>
              <w:rPr>
                <w:rFonts w:ascii="仿宋_GB2312" w:hAnsi="仿宋_GB2312" w:cs="仿宋_GB2312" w:eastAsia="仿宋_GB2312"/>
              </w:rPr>
              <w:t>（2</w:t>
            </w:r>
            <w:r>
              <w:rPr>
                <w:rFonts w:ascii="仿宋_GB2312" w:hAnsi="仿宋_GB2312" w:cs="仿宋_GB2312" w:eastAsia="仿宋_GB2312"/>
              </w:rPr>
              <w:t>）其他。</w:t>
            </w:r>
          </w:p>
          <w:p>
            <w:pPr>
              <w:pStyle w:val="null3"/>
              <w:ind w:firstLine="200"/>
            </w:pPr>
            <w:r>
              <w:rPr>
                <w:rFonts w:ascii="仿宋_GB2312" w:hAnsi="仿宋_GB2312" w:cs="仿宋_GB2312" w:eastAsia="仿宋_GB2312"/>
                <w:b/>
              </w:rPr>
              <w:t xml:space="preserve">   四、服务标准</w:t>
            </w:r>
          </w:p>
          <w:p>
            <w:pPr>
              <w:pStyle w:val="null3"/>
            </w:pPr>
            <w:r>
              <w:rPr>
                <w:rFonts w:ascii="仿宋_GB2312" w:hAnsi="仿宋_GB2312" w:cs="仿宋_GB2312" w:eastAsia="仿宋_GB2312"/>
              </w:rPr>
              <w:t xml:space="preserve">      需满足国家、水利行业现行相关规范、技术标准及陕西省水利厅主管部门的技术要求，确保成果具备完整性、真实性、科学性、规范性，且能全面覆盖陕西省山区河流漂流物调查研究全流程需求，通过采购人及行业专家审查，可直接应用于河道治理、防洪减灾、水生态管护、漂流物处置等后续管理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针对本项目有明确的项目负责人，要求团队人员有专业技术能力，且为供应商在职人员，具体详见第五章 5.6.2评分标准。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范围：陕西省山区河流漂流物调查研究。2）服务要求：满足采购技术要求。3）服务标准：需满足国家、水利行业现行相关规范、技术标准及陕西省水利厅主管部门的技术要求，确保成果具备完整性、真实性、科学性、规范性，且能全面覆盖陕西省山区河流漂流物调查研究全流程需求，通过采购人及行业专家审查，可直接应用于河道治理、防洪减灾、水生态管护、漂流物处置等后续管理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服务期结束后，供应商向发包人提交验收申请；②发包人收到验收申请后组织验收，验收时供应商应无条件予以配合并提供验收所需的全部资料，若供应商不配合或者未履行合同约定的，发包人将拒绝验收；③验收依据：招标文件、投标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签订合同后15个工作日内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成果初稿提交后15个工作日内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提交最终成果并经发包人验收通过后15个工作日内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①发包人或供应商违反合同规定造成损失的应承担违约责任； ②因成果报告深度不够、资料不足而被要求返工从而造成问题的，除由供应商负责继续完善报告外，甲方还可视造成的时间延误和费用损失，计扣供应商合同价 1%～3%的违约金； ③由于供应商自身原因，延误了成果交付时间，视延误情况酌情扣除费用的 1%～3%。</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负责完成本项目采购需求内的一切事项，并完成相关工作。凡涉及与本项目服务相关的成果出具、税金、验收等，所有费用一次性计入投标总价，合同履约过程中采购人不再支付其他额外费用。2）服务时限要求，2小时内远程响应，12小时内给出解决方案，若远程无法解决问题48小时内安排专人到达现场。3）供应商应保证对采购人提供的资料，以及对项目实施过程中知悉的秘密（包括不限于国家秘密、科研秘密、商业秘密、群众个人信息等所有秘密）履行保密义务，不得就所涉及的秘密及敏感信息以单位或者个人名义公开披露和公开发表观点。4）供应商应保证投标服务及货物不会出现因第三方提出侵犯其专利权、商标权或其它知识产权而引发法律或经济纠纷，否则由供应商承担全部责任。任何被供应商用于未经授权的商业目的行为所造成的违约或侵权责任由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或自然人的身份证明；（2）法定代表人委托授权书\身份证明：供应商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3）财务状况报告：提供经审计的2024年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附注。②提供资信证明的，必须提供资信证明全部页以及基本户信息（提供开户许可证或提供基本银行账户信息），银行出具的存款证明不能代替资信证明，存款证明无效；（4）社会保障资金缴纳证明：提供2025年1月至今已缴存的至少一个月的社会保障资金缴存单据或社保机构开具的社会保险参保缴费情况证明，依法不需要缴纳社会保障资金的单位应提供相关证明材料；（5）税收缴纳证明：提供2025年1月至今已缴纳的至少一个月的纳税证明，依法免税的单位应提供相关证明材料；（6）无重大违法记录声明：近3年内在经营活动中没有重大违法记录的书面声明；（7）专业技术能力证明：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服务内容及服务邀请应答表 投标函 残疾人福利性单位声明函 中小企业声明函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投标人须具备行政主管部门颁发的工程设计水利行业乙级及以上资质；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拟投入本项目的项目负责人须具备水利类相关专业高级职称，并提供投标截止时间前近6个月任一月的社保缴纳证明材料；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投标人提供的项目总体分析方案，需充分理解陕西省山区河流水文水系、地形地貌、漂流物来源、时空分布、管控难点，结合山区河道特点分析全面、针对性强得(10-15]分；一般(5-10]分；较差(0-5]分。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根据投标人针对本项目制定的总体服务方案进行综合评审： 1、总体服务方案详细完善、针对性强、可行性高，依据的行业技术规范与标准准确、完整，技术路线、工作思路与方法全面、科学合理，完全满足项目采购要求的，得(14-20] 分； 2、总体服务方案比较详细完善、针对性较强、可行性较高，依据的行业技术规范与标准准确、完整，技术路线、工作思路与方法较为全面、科学合理，满足项目采购要求的，得(7-14]分；3、总体服务方案不够详细完善，针对性、可行性较差，依据的行业技术规范与标准不够准确、完整，技术路线、工作思路与方法不够全面、合理，部分满足项目采购要求的，得(0-7]分；4、未提供或其他情况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进度计划保证措施</w:t>
            </w:r>
          </w:p>
        </w:tc>
        <w:tc>
          <w:tcPr>
            <w:tcW w:type="dxa" w:w="2492"/>
          </w:tcPr>
          <w:p>
            <w:pPr>
              <w:pStyle w:val="null3"/>
            </w:pPr>
            <w:r>
              <w:rPr>
                <w:rFonts w:ascii="仿宋_GB2312" w:hAnsi="仿宋_GB2312" w:cs="仿宋_GB2312" w:eastAsia="仿宋_GB2312"/>
              </w:rPr>
              <w:t>1、制定了详细、合理的项目进度计划及进度计划保证措施，且承诺为满足项目需求可以节假日赶工的 ，得(3-5]分； 2、制定了比较详细、合理的项目进度计划及进度计划保证措施，且承诺为满足项目需求可以节假日赶工的，得(1-3]分；3 、制定的项目进度计划及进度计划保证措施较差，且未承诺为满足项目需求可以节假日赶工的，得(0-1]分； 4、未提供或其他情况不得分。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1、项目质量保障措施内容详尽、完善、有针对性，完全满足成果等要求的，得(3-5]分；2、项目质量保障措施比较详尽、完善、比较有针对性，能够满足成果等要求的，得(1-3]分； 3、项目质量保障措施较差，合理性、可行性较差，不能满足成果等要求的，得(0-1]分； 4、未提供或其他情况不得分。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（1）团队人员配备：①专业人员配备合理，拟投入本项目人员数量充足，专业人员配置齐全、针对性强、人员分工、岗位职责明确，能够满足采购人项目需求的，证明材料提供齐全、详细的得(10-15]分； ②专业人员配备数量充足，专业人员配备能够基本满足项目实施需要，分工、岗位职责安排有一定的合理性，基本能满足项目需求的，证明材料提供齐全、详细的得(5-10]分； ③专业人员配备数量基本充足、专业人员配备能够基本满足项目实施需要，分工、岗位职责安排基本合理的，证明材料提供不齐全的，得(0-5]分；④相关人员配置在满足采购人要求的基础上严重不足的不得分。（证明材料包括但不限于“水利类专业”证书或劳务合同或近一年内任意一个月社保等）； （2）项目负责人：具有“水利类专业”高级职称计3分，中级职称计1分，最高计3分，提供证书复印件，未提供不计分。 注：同一人提供多个职称的，按分值较高的计分一次，不重复计分。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应急方案及措施等</w:t>
            </w:r>
          </w:p>
        </w:tc>
        <w:tc>
          <w:tcPr>
            <w:tcW w:type="dxa" w:w="2492"/>
          </w:tcPr>
          <w:p>
            <w:pPr>
              <w:pStyle w:val="null3"/>
            </w:pPr>
            <w:r>
              <w:rPr>
                <w:rFonts w:ascii="仿宋_GB2312" w:hAnsi="仿宋_GB2312" w:cs="仿宋_GB2312" w:eastAsia="仿宋_GB2312"/>
              </w:rPr>
              <w:t>根据投标人提供的应急预案及突发事件应急保障措施进行评审：1、应急预案内容分析全面、具体、合 理，应对突发事件的保障措施详细、可行、有针对性，得(3-5]分；2、应急预案内容分析较为全面、具体、合理，应对突发事件的保障措施较为详细、可行，比较有针对性，得(1-3]分； 3、应急预案内容分析不够全面、具体、合理，应对突发事件的保障措施不够详细，可行 性、针对性较差，得(0-1]分； 4、未提供或其他不得分。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针对本项目提供有①售后服务体系②售后服务人员安排③售后服务响应时间与处理时间④售后服务内容及方式。 1.售后服务共4项，供应商提供的方案内容完全满足采购需求，每项计3分，最高计12分； 2.提供的方案内容基本满足采购需求，每项计2分； 3.提供的方案内容不详尽或不完全适用于本项目每项计1分；未提供不计分。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投标人提供2023年1月1日至投标文件提交截止前类似业绩，以合同签订日期为准，投标人提供合同复印件加盖公章，每提供一份计2分，此项共计10分；未提供不计分。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10×（评标基准价/投标报价）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