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087DFC">
      <w:pPr>
        <w:keepNext w:val="0"/>
        <w:keepLines w:val="0"/>
        <w:pageBreakBefore w:val="0"/>
        <w:widowControl w:val="0"/>
        <w:kinsoku/>
        <w:wordWrap/>
        <w:overflowPunct/>
        <w:topLinePunct w:val="0"/>
        <w:autoSpaceDE/>
        <w:autoSpaceDN/>
        <w:bidi w:val="0"/>
        <w:adjustRightInd/>
        <w:snapToGrid/>
        <w:spacing w:line="540" w:lineRule="exact"/>
        <w:ind w:right="0" w:rightChars="0"/>
        <w:jc w:val="center"/>
        <w:textAlignment w:val="auto"/>
        <w:outlineLvl w:val="9"/>
        <w:rPr>
          <w:rFonts w:hint="eastAsia" w:ascii="宋体" w:hAnsi="宋体" w:eastAsia="宋体" w:cs="宋体"/>
          <w:b/>
          <w:color w:val="000000"/>
          <w:kern w:val="0"/>
          <w:sz w:val="56"/>
          <w:szCs w:val="56"/>
          <w:highlight w:val="none"/>
          <w:lang w:eastAsia="zh-CN"/>
        </w:rPr>
      </w:pPr>
      <w:r>
        <w:rPr>
          <w:rFonts w:hint="eastAsia" w:ascii="宋体" w:hAnsi="宋体" w:eastAsia="宋体" w:cs="宋体"/>
          <w:b/>
          <w:color w:val="000000"/>
          <w:kern w:val="0"/>
          <w:sz w:val="56"/>
          <w:szCs w:val="56"/>
          <w:highlight w:val="none"/>
        </w:rPr>
        <w:t xml:space="preserve">合 同 </w:t>
      </w:r>
      <w:r>
        <w:rPr>
          <w:rFonts w:hint="eastAsia" w:ascii="宋体" w:hAnsi="宋体" w:eastAsia="宋体" w:cs="宋体"/>
          <w:b/>
          <w:color w:val="000000"/>
          <w:kern w:val="0"/>
          <w:sz w:val="56"/>
          <w:szCs w:val="56"/>
          <w:highlight w:val="none"/>
          <w:lang w:eastAsia="zh-CN"/>
        </w:rPr>
        <w:t>范</w:t>
      </w:r>
      <w:r>
        <w:rPr>
          <w:rFonts w:hint="eastAsia" w:ascii="宋体" w:hAnsi="宋体" w:eastAsia="宋体" w:cs="宋体"/>
          <w:b/>
          <w:color w:val="000000"/>
          <w:kern w:val="0"/>
          <w:sz w:val="56"/>
          <w:szCs w:val="56"/>
          <w:highlight w:val="none"/>
          <w:lang w:val="en-US" w:eastAsia="zh-CN"/>
        </w:rPr>
        <w:t xml:space="preserve"> </w:t>
      </w:r>
      <w:r>
        <w:rPr>
          <w:rFonts w:hint="eastAsia" w:ascii="宋体" w:hAnsi="宋体" w:eastAsia="宋体" w:cs="宋体"/>
          <w:b/>
          <w:color w:val="000000"/>
          <w:kern w:val="0"/>
          <w:sz w:val="56"/>
          <w:szCs w:val="56"/>
          <w:highlight w:val="none"/>
          <w:lang w:eastAsia="zh-CN"/>
        </w:rPr>
        <w:t>本</w:t>
      </w:r>
    </w:p>
    <w:p w14:paraId="4DF83826">
      <w:pPr>
        <w:pStyle w:val="2"/>
        <w:rPr>
          <w:rFonts w:hint="eastAsia" w:ascii="宋体" w:hAnsi="宋体" w:eastAsia="宋体" w:cs="宋体"/>
          <w:color w:val="000000"/>
          <w:highlight w:val="none"/>
          <w:lang w:eastAsia="zh-CN"/>
        </w:rPr>
      </w:pPr>
    </w:p>
    <w:p w14:paraId="7074B27C">
      <w:pPr>
        <w:ind w:firstLine="241" w:firstLineChars="100"/>
        <w:jc w:val="both"/>
        <w:rPr>
          <w:rFonts w:hint="eastAsia" w:ascii="宋体" w:hAnsi="宋体" w:eastAsia="宋体" w:cs="宋体"/>
          <w:b/>
          <w:color w:val="000000"/>
          <w:sz w:val="28"/>
          <w:szCs w:val="28"/>
          <w:highlight w:val="none"/>
        </w:rPr>
      </w:pPr>
      <w:r>
        <w:rPr>
          <w:rFonts w:hint="eastAsia" w:ascii="宋体" w:hAnsi="宋体" w:eastAsia="宋体" w:cs="宋体"/>
          <w:b/>
          <w:color w:val="000000"/>
          <w:kern w:val="0"/>
          <w:sz w:val="24"/>
          <w:szCs w:val="24"/>
          <w:highlight w:val="none"/>
          <w:lang w:val="en-US" w:eastAsia="zh-CN"/>
        </w:rPr>
        <w:t>（本格式条款供双方签订合同参考，供应商可根据项目的实际情况增加条款和内容）</w:t>
      </w:r>
    </w:p>
    <w:p w14:paraId="3FE51796">
      <w:pPr>
        <w:spacing w:line="360" w:lineRule="auto"/>
        <w:ind w:left="1469" w:hanging="1469" w:hangingChars="400"/>
        <w:jc w:val="center"/>
        <w:rPr>
          <w:rFonts w:hint="eastAsia" w:ascii="仿宋" w:hAnsi="仿宋" w:eastAsia="仿宋" w:cs="仿宋"/>
          <w:b/>
          <w:color w:val="000000"/>
          <w:spacing w:val="23"/>
          <w:sz w:val="32"/>
          <w:szCs w:val="32"/>
          <w:highlight w:val="none"/>
        </w:rPr>
      </w:pPr>
    </w:p>
    <w:p w14:paraId="1F662167">
      <w:pPr>
        <w:spacing w:line="360" w:lineRule="auto"/>
        <w:ind w:left="1469" w:hanging="1469" w:hangingChars="400"/>
        <w:jc w:val="center"/>
        <w:rPr>
          <w:rFonts w:hint="eastAsia" w:ascii="仿宋" w:hAnsi="仿宋" w:eastAsia="仿宋" w:cs="仿宋"/>
          <w:b/>
          <w:color w:val="000000"/>
          <w:spacing w:val="23"/>
          <w:sz w:val="32"/>
          <w:szCs w:val="32"/>
          <w:highlight w:val="none"/>
        </w:rPr>
      </w:pPr>
    </w:p>
    <w:p w14:paraId="0022CEE8">
      <w:pPr>
        <w:spacing w:line="360" w:lineRule="auto"/>
        <w:ind w:left="1469" w:hanging="1469" w:hangingChars="400"/>
        <w:jc w:val="center"/>
        <w:rPr>
          <w:rFonts w:hint="eastAsia" w:ascii="仿宋" w:hAnsi="仿宋" w:eastAsia="仿宋" w:cs="仿宋"/>
          <w:b/>
          <w:color w:val="000000"/>
          <w:spacing w:val="23"/>
          <w:sz w:val="32"/>
          <w:szCs w:val="32"/>
          <w:highlight w:val="none"/>
        </w:rPr>
      </w:pPr>
    </w:p>
    <w:p w14:paraId="5690A247">
      <w:pPr>
        <w:spacing w:line="360" w:lineRule="auto"/>
        <w:ind w:left="1469" w:hanging="1469" w:hangingChars="400"/>
        <w:jc w:val="center"/>
        <w:rPr>
          <w:rFonts w:hint="eastAsia" w:ascii="仿宋" w:hAnsi="仿宋" w:eastAsia="仿宋" w:cs="仿宋"/>
          <w:b/>
          <w:color w:val="000000"/>
          <w:spacing w:val="23"/>
          <w:sz w:val="32"/>
          <w:szCs w:val="32"/>
          <w:highlight w:val="none"/>
        </w:rPr>
      </w:pPr>
      <w:r>
        <w:rPr>
          <w:rFonts w:hint="eastAsia" w:ascii="仿宋" w:hAnsi="仿宋" w:eastAsia="仿宋" w:cs="仿宋"/>
          <w:b/>
          <w:color w:val="000000"/>
          <w:spacing w:val="23"/>
          <w:sz w:val="32"/>
          <w:szCs w:val="32"/>
          <w:highlight w:val="none"/>
        </w:rPr>
        <w:t>甲方(</w:t>
      </w:r>
      <w:r>
        <w:rPr>
          <w:rFonts w:hint="eastAsia" w:ascii="仿宋" w:hAnsi="仿宋" w:eastAsia="仿宋" w:cs="仿宋"/>
          <w:b/>
          <w:color w:val="000000"/>
          <w:spacing w:val="23"/>
          <w:sz w:val="32"/>
          <w:szCs w:val="32"/>
          <w:highlight w:val="none"/>
          <w:lang w:eastAsia="zh-CN"/>
        </w:rPr>
        <w:t>采购人</w:t>
      </w:r>
      <w:r>
        <w:rPr>
          <w:rFonts w:hint="eastAsia" w:ascii="仿宋" w:hAnsi="仿宋" w:eastAsia="仿宋" w:cs="仿宋"/>
          <w:b/>
          <w:color w:val="000000"/>
          <w:spacing w:val="23"/>
          <w:sz w:val="32"/>
          <w:szCs w:val="32"/>
          <w:highlight w:val="none"/>
        </w:rPr>
        <w:t>)：</w:t>
      </w:r>
      <w:r>
        <w:rPr>
          <w:rFonts w:hint="eastAsia" w:ascii="仿宋" w:hAnsi="仿宋" w:eastAsia="仿宋" w:cs="仿宋"/>
          <w:color w:val="000000"/>
          <w:spacing w:val="23"/>
          <w:sz w:val="28"/>
          <w:szCs w:val="28"/>
          <w:highlight w:val="none"/>
          <w:u w:val="single"/>
        </w:rPr>
        <w:t></w:t>
      </w:r>
    </w:p>
    <w:p w14:paraId="088DC1C3">
      <w:pPr>
        <w:spacing w:line="360" w:lineRule="auto"/>
        <w:ind w:left="1285" w:hanging="1469" w:hangingChars="400"/>
        <w:jc w:val="center"/>
        <w:rPr>
          <w:rFonts w:hint="eastAsia" w:ascii="仿宋" w:hAnsi="仿宋" w:eastAsia="仿宋" w:cs="仿宋"/>
          <w:color w:val="000000"/>
          <w:spacing w:val="23"/>
          <w:sz w:val="28"/>
          <w:szCs w:val="28"/>
          <w:highlight w:val="none"/>
          <w:u w:val="single"/>
        </w:rPr>
      </w:pPr>
      <w:r>
        <w:rPr>
          <w:rFonts w:hint="eastAsia" w:ascii="仿宋" w:hAnsi="仿宋" w:eastAsia="仿宋" w:cs="仿宋"/>
          <w:b/>
          <w:color w:val="000000"/>
          <w:spacing w:val="23"/>
          <w:sz w:val="32"/>
          <w:szCs w:val="32"/>
          <w:highlight w:val="none"/>
          <w:lang w:val="en-US" w:eastAsia="zh-CN"/>
        </w:rPr>
        <w:t xml:space="preserve"> </w:t>
      </w:r>
      <w:r>
        <w:rPr>
          <w:rFonts w:hint="eastAsia" w:ascii="仿宋" w:hAnsi="仿宋" w:eastAsia="仿宋" w:cs="仿宋"/>
          <w:b/>
          <w:color w:val="000000"/>
          <w:spacing w:val="23"/>
          <w:sz w:val="32"/>
          <w:szCs w:val="32"/>
          <w:highlight w:val="none"/>
        </w:rPr>
        <w:fldChar w:fldCharType="begin"/>
      </w:r>
      <w:r>
        <w:rPr>
          <w:rFonts w:hint="eastAsia" w:ascii="仿宋" w:hAnsi="仿宋" w:eastAsia="仿宋" w:cs="仿宋"/>
          <w:b/>
          <w:color w:val="000000"/>
          <w:spacing w:val="23"/>
          <w:sz w:val="32"/>
          <w:szCs w:val="32"/>
          <w:highlight w:val="none"/>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
          <w:color w:val="000000"/>
          <w:spacing w:val="23"/>
          <w:sz w:val="32"/>
          <w:szCs w:val="32"/>
          <w:highlight w:val="none"/>
        </w:rPr>
        <w:fldChar w:fldCharType="separate"/>
      </w:r>
      <w:r>
        <w:rPr>
          <w:rFonts w:hint="eastAsia" w:ascii="仿宋" w:hAnsi="仿宋" w:eastAsia="仿宋" w:cs="仿宋"/>
          <w:b/>
          <w:color w:val="000000"/>
          <w:spacing w:val="23"/>
          <w:sz w:val="32"/>
          <w:szCs w:val="32"/>
          <w:highlight w:val="none"/>
        </w:rPr>
        <w:t>乙方</w:t>
      </w:r>
      <w:r>
        <w:rPr>
          <w:rFonts w:hint="eastAsia" w:ascii="仿宋" w:hAnsi="仿宋" w:eastAsia="仿宋" w:cs="仿宋"/>
          <w:b/>
          <w:color w:val="000000"/>
          <w:spacing w:val="23"/>
          <w:sz w:val="32"/>
          <w:szCs w:val="32"/>
          <w:highlight w:val="none"/>
        </w:rPr>
        <w:fldChar w:fldCharType="end"/>
      </w:r>
      <w:r>
        <w:rPr>
          <w:rFonts w:hint="eastAsia" w:ascii="仿宋" w:hAnsi="仿宋" w:eastAsia="仿宋" w:cs="仿宋"/>
          <w:b/>
          <w:color w:val="000000"/>
          <w:spacing w:val="23"/>
          <w:sz w:val="32"/>
          <w:szCs w:val="32"/>
          <w:highlight w:val="none"/>
        </w:rPr>
        <w:t>(</w:t>
      </w:r>
      <w:r>
        <w:rPr>
          <w:rFonts w:hint="eastAsia" w:ascii="仿宋" w:hAnsi="仿宋" w:eastAsia="仿宋" w:cs="仿宋"/>
          <w:b/>
          <w:color w:val="000000"/>
          <w:spacing w:val="23"/>
          <w:sz w:val="32"/>
          <w:szCs w:val="32"/>
          <w:highlight w:val="none"/>
          <w:lang w:eastAsia="zh-CN"/>
        </w:rPr>
        <w:t>供应商</w:t>
      </w:r>
      <w:r>
        <w:rPr>
          <w:rFonts w:hint="eastAsia" w:ascii="仿宋" w:hAnsi="仿宋" w:eastAsia="仿宋" w:cs="仿宋"/>
          <w:b/>
          <w:color w:val="000000"/>
          <w:spacing w:val="23"/>
          <w:sz w:val="32"/>
          <w:szCs w:val="32"/>
          <w:highlight w:val="none"/>
        </w:rPr>
        <w:t>)：</w:t>
      </w:r>
      <w:r>
        <w:rPr>
          <w:rFonts w:hint="eastAsia" w:ascii="仿宋" w:hAnsi="仿宋" w:eastAsia="仿宋" w:cs="仿宋"/>
          <w:color w:val="000000"/>
          <w:spacing w:val="23"/>
          <w:sz w:val="28"/>
          <w:szCs w:val="28"/>
          <w:highlight w:val="none"/>
          <w:u w:val="single"/>
        </w:rPr>
        <w:t></w:t>
      </w:r>
    </w:p>
    <w:p w14:paraId="496D8C3D">
      <w:pPr>
        <w:ind w:firstLine="1469" w:firstLineChars="400"/>
        <w:rPr>
          <w:rFonts w:hint="eastAsia" w:ascii="仿宋" w:hAnsi="仿宋" w:eastAsia="仿宋" w:cs="仿宋"/>
          <w:b/>
          <w:color w:val="000000"/>
          <w:spacing w:val="23"/>
          <w:sz w:val="32"/>
          <w:szCs w:val="32"/>
          <w:highlight w:val="none"/>
        </w:rPr>
      </w:pPr>
      <w:r>
        <w:rPr>
          <w:rFonts w:hint="eastAsia" w:ascii="仿宋" w:hAnsi="仿宋" w:eastAsia="仿宋" w:cs="仿宋"/>
          <w:b/>
          <w:color w:val="000000"/>
          <w:spacing w:val="23"/>
          <w:sz w:val="32"/>
          <w:szCs w:val="32"/>
          <w:highlight w:val="none"/>
        </w:rPr>
        <w:t>签订时间：</w:t>
      </w:r>
      <w:r>
        <w:rPr>
          <w:rFonts w:hint="eastAsia" w:ascii="仿宋" w:hAnsi="仿宋" w:eastAsia="仿宋" w:cs="仿宋"/>
          <w:color w:val="000000"/>
          <w:spacing w:val="23"/>
          <w:sz w:val="28"/>
          <w:szCs w:val="28"/>
          <w:highlight w:val="none"/>
          <w:u w:val="single"/>
        </w:rPr>
        <w:t></w:t>
      </w:r>
      <w:r>
        <w:rPr>
          <w:rFonts w:hint="eastAsia" w:ascii="仿宋" w:hAnsi="仿宋" w:eastAsia="仿宋" w:cs="仿宋"/>
          <w:b/>
          <w:color w:val="000000"/>
          <w:spacing w:val="23"/>
          <w:sz w:val="32"/>
          <w:szCs w:val="32"/>
          <w:highlight w:val="none"/>
        </w:rPr>
        <w:t>年</w:t>
      </w:r>
      <w:r>
        <w:rPr>
          <w:rFonts w:hint="eastAsia" w:ascii="仿宋" w:hAnsi="仿宋" w:eastAsia="仿宋" w:cs="仿宋"/>
          <w:color w:val="000000"/>
          <w:spacing w:val="23"/>
          <w:sz w:val="28"/>
          <w:szCs w:val="28"/>
          <w:highlight w:val="none"/>
          <w:u w:val="single"/>
        </w:rPr>
        <w:t></w:t>
      </w:r>
      <w:r>
        <w:rPr>
          <w:rFonts w:hint="eastAsia" w:ascii="仿宋" w:hAnsi="仿宋" w:eastAsia="仿宋" w:cs="仿宋"/>
          <w:b/>
          <w:color w:val="000000"/>
          <w:spacing w:val="23"/>
          <w:sz w:val="32"/>
          <w:szCs w:val="32"/>
          <w:highlight w:val="none"/>
        </w:rPr>
        <w:t>月</w:t>
      </w:r>
      <w:r>
        <w:rPr>
          <w:rFonts w:hint="eastAsia" w:ascii="仿宋" w:hAnsi="仿宋" w:eastAsia="仿宋" w:cs="仿宋"/>
          <w:color w:val="000000"/>
          <w:spacing w:val="23"/>
          <w:sz w:val="28"/>
          <w:szCs w:val="28"/>
          <w:highlight w:val="none"/>
          <w:u w:val="single"/>
        </w:rPr>
        <w:t></w:t>
      </w:r>
      <w:r>
        <w:rPr>
          <w:rFonts w:hint="eastAsia" w:ascii="仿宋" w:hAnsi="仿宋" w:eastAsia="仿宋" w:cs="仿宋"/>
          <w:b/>
          <w:color w:val="000000"/>
          <w:spacing w:val="23"/>
          <w:sz w:val="32"/>
          <w:szCs w:val="32"/>
          <w:highlight w:val="none"/>
        </w:rPr>
        <w:t>日</w:t>
      </w:r>
    </w:p>
    <w:p w14:paraId="333A4AFE">
      <w:pPr>
        <w:pageBreakBefore w:val="0"/>
        <w:kinsoku/>
        <w:topLinePunct w:val="0"/>
        <w:bidi w:val="0"/>
        <w:spacing w:line="360" w:lineRule="auto"/>
        <w:rPr>
          <w:rFonts w:hint="eastAsia" w:ascii="宋体" w:hAnsi="宋体" w:eastAsia="宋体" w:cs="宋体"/>
          <w:sz w:val="24"/>
          <w:szCs w:val="24"/>
          <w:highlight w:val="none"/>
        </w:rPr>
      </w:pPr>
      <w:r>
        <w:rPr>
          <w:rFonts w:hint="eastAsia" w:ascii="仿宋" w:hAnsi="仿宋" w:eastAsia="仿宋" w:cs="仿宋"/>
          <w:b/>
          <w:color w:val="000000"/>
          <w:sz w:val="36"/>
          <w:szCs w:val="36"/>
          <w:highlight w:val="none"/>
          <w:lang w:bidi="ar"/>
        </w:rPr>
        <w:br w:type="page"/>
      </w:r>
      <w:r>
        <w:rPr>
          <w:rFonts w:hint="eastAsia" w:ascii="宋体" w:hAnsi="宋体" w:eastAsia="宋体" w:cs="宋体"/>
          <w:sz w:val="24"/>
          <w:szCs w:val="24"/>
          <w:highlight w:val="none"/>
        </w:rPr>
        <w:t>合同编号：</w:t>
      </w:r>
    </w:p>
    <w:p w14:paraId="476CBE28">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签订地点：</w:t>
      </w:r>
    </w:p>
    <w:p w14:paraId="2E8D995F">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签订时间：</w:t>
      </w:r>
    </w:p>
    <w:p w14:paraId="440BD392">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采购人（甲方）：</w:t>
      </w:r>
    </w:p>
    <w:p w14:paraId="3E19BA28">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中标人（乙方）：</w:t>
      </w:r>
    </w:p>
    <w:p w14:paraId="33786B18">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根据《中华人民共和国政府采购法》及实施条例</w:t>
      </w: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民法典</w:t>
      </w: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和</w:t>
      </w:r>
      <w:r>
        <w:rPr>
          <w:rFonts w:hint="eastAsia" w:ascii="宋体" w:hAnsi="宋体" w:eastAsia="宋体" w:cs="宋体"/>
          <w:sz w:val="24"/>
          <w:szCs w:val="24"/>
          <w:highlight w:val="none"/>
        </w:rPr>
        <w:t>甲方         采购项目（采购项目编号：     ）的招标文件、投标文件等有关规定，为确保甲方采购项目的顺利实施，甲、乙双方在平等自愿原则下签订本合同，并共同遵守如下条款：</w:t>
      </w:r>
    </w:p>
    <w:p w14:paraId="2B58C784">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第一条 合同标的及数量</w:t>
      </w:r>
    </w:p>
    <w:p w14:paraId="411AFBF8">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乙方向甲方提供下列货物（产品）：</w:t>
      </w:r>
    </w:p>
    <w:p w14:paraId="3DDDA45C">
      <w:pPr>
        <w:pageBreakBefore w:val="0"/>
        <w:kinsoku/>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b/>
          <w:bCs/>
          <w:sz w:val="24"/>
          <w:szCs w:val="24"/>
          <w:highlight w:val="none"/>
        </w:rPr>
        <w:t>供货一览表</w:t>
      </w:r>
    </w:p>
    <w:tbl>
      <w:tblPr>
        <w:tblStyle w:val="3"/>
        <w:tblW w:w="8293"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571"/>
        <w:gridCol w:w="1242"/>
        <w:gridCol w:w="867"/>
        <w:gridCol w:w="1227"/>
        <w:gridCol w:w="1551"/>
        <w:gridCol w:w="565"/>
        <w:gridCol w:w="567"/>
        <w:gridCol w:w="863"/>
        <w:gridCol w:w="840"/>
      </w:tblGrid>
      <w:tr w14:paraId="13B7ADB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89" w:hRule="atLeast"/>
          <w:jc w:val="center"/>
        </w:trPr>
        <w:tc>
          <w:tcPr>
            <w:tcW w:w="571" w:type="dxa"/>
            <w:noWrap w:val="0"/>
            <w:vAlign w:val="center"/>
          </w:tcPr>
          <w:p w14:paraId="575FE7AA">
            <w:pPr>
              <w:keepNext w:val="0"/>
              <w:keepLines w:val="0"/>
              <w:pageBreakBefore w:val="0"/>
              <w:widowControl/>
              <w:suppressLineNumbers w:val="0"/>
              <w:kinsoku w:val="0"/>
              <w:wordWrap/>
              <w:overflowPunct/>
              <w:topLinePunct w:val="0"/>
              <w:autoSpaceDE w:val="0"/>
              <w:autoSpaceDN w:val="0"/>
              <w:bidi w:val="0"/>
              <w:adjustRightInd w:val="0"/>
              <w:snapToGrid w:val="0"/>
              <w:spacing w:line="20" w:lineRule="atLeast"/>
              <w:jc w:val="center"/>
              <w:textAlignment w:val="center"/>
              <w:rPr>
                <w:rFonts w:hint="eastAsia" w:ascii="宋体" w:hAnsi="宋体" w:eastAsia="宋体" w:cs="宋体"/>
                <w:sz w:val="24"/>
                <w:szCs w:val="24"/>
                <w:highlight w:val="none"/>
              </w:rPr>
            </w:pPr>
            <w:r>
              <w:rPr>
                <w:rFonts w:hint="eastAsia" w:ascii="宋体" w:hAnsi="宋体" w:eastAsia="宋体" w:cs="宋体"/>
                <w:i w:val="0"/>
                <w:iCs w:val="0"/>
                <w:color w:val="000000"/>
                <w:kern w:val="0"/>
                <w:sz w:val="24"/>
                <w:szCs w:val="24"/>
                <w:u w:val="none"/>
                <w:lang w:val="en-US" w:eastAsia="zh-CN" w:bidi="ar"/>
              </w:rPr>
              <w:t>序号</w:t>
            </w:r>
          </w:p>
        </w:tc>
        <w:tc>
          <w:tcPr>
            <w:tcW w:w="1242" w:type="dxa"/>
            <w:noWrap w:val="0"/>
            <w:vAlign w:val="center"/>
          </w:tcPr>
          <w:p w14:paraId="633EA6A7">
            <w:pPr>
              <w:keepNext w:val="0"/>
              <w:keepLines w:val="0"/>
              <w:pageBreakBefore w:val="0"/>
              <w:widowControl/>
              <w:suppressLineNumbers w:val="0"/>
              <w:kinsoku w:val="0"/>
              <w:wordWrap/>
              <w:overflowPunct/>
              <w:topLinePunct w:val="0"/>
              <w:autoSpaceDE w:val="0"/>
              <w:autoSpaceDN w:val="0"/>
              <w:bidi w:val="0"/>
              <w:adjustRightInd w:val="0"/>
              <w:snapToGrid w:val="0"/>
              <w:spacing w:line="20" w:lineRule="atLeast"/>
              <w:jc w:val="center"/>
              <w:textAlignment w:val="center"/>
              <w:rPr>
                <w:rFonts w:hint="eastAsia" w:ascii="宋体" w:hAnsi="宋体" w:eastAsia="宋体" w:cs="宋体"/>
                <w:sz w:val="24"/>
                <w:szCs w:val="24"/>
                <w:highlight w:val="none"/>
              </w:rPr>
            </w:pPr>
            <w:r>
              <w:rPr>
                <w:rFonts w:hint="eastAsia" w:ascii="宋体" w:hAnsi="宋体" w:eastAsia="宋体" w:cs="宋体"/>
                <w:i w:val="0"/>
                <w:iCs w:val="0"/>
                <w:color w:val="000000"/>
                <w:kern w:val="0"/>
                <w:sz w:val="24"/>
                <w:szCs w:val="24"/>
                <w:u w:val="none"/>
                <w:lang w:val="en-US" w:eastAsia="zh-CN" w:bidi="ar"/>
              </w:rPr>
              <w:t>产品名称</w:t>
            </w:r>
          </w:p>
        </w:tc>
        <w:tc>
          <w:tcPr>
            <w:tcW w:w="867" w:type="dxa"/>
            <w:noWrap w:val="0"/>
            <w:vAlign w:val="center"/>
          </w:tcPr>
          <w:p w14:paraId="37C9C8FD">
            <w:pPr>
              <w:keepNext w:val="0"/>
              <w:keepLines w:val="0"/>
              <w:pageBreakBefore w:val="0"/>
              <w:widowControl/>
              <w:suppressLineNumbers w:val="0"/>
              <w:kinsoku w:val="0"/>
              <w:wordWrap/>
              <w:overflowPunct/>
              <w:topLinePunct w:val="0"/>
              <w:autoSpaceDE w:val="0"/>
              <w:autoSpaceDN w:val="0"/>
              <w:bidi w:val="0"/>
              <w:adjustRightInd w:val="0"/>
              <w:snapToGrid w:val="0"/>
              <w:spacing w:line="20" w:lineRule="atLeast"/>
              <w:jc w:val="center"/>
              <w:textAlignment w:val="center"/>
              <w:rPr>
                <w:rFonts w:hint="eastAsia" w:ascii="宋体" w:hAnsi="宋体" w:eastAsia="宋体" w:cs="宋体"/>
                <w:sz w:val="24"/>
                <w:szCs w:val="24"/>
                <w:highlight w:val="none"/>
              </w:rPr>
            </w:pPr>
            <w:r>
              <w:rPr>
                <w:rFonts w:hint="eastAsia" w:ascii="宋体" w:hAnsi="宋体" w:eastAsia="宋体" w:cs="宋体"/>
                <w:i w:val="0"/>
                <w:iCs w:val="0"/>
                <w:color w:val="000000"/>
                <w:kern w:val="0"/>
                <w:sz w:val="24"/>
                <w:szCs w:val="24"/>
                <w:u w:val="none"/>
                <w:lang w:val="en-US" w:eastAsia="zh-CN" w:bidi="ar"/>
              </w:rPr>
              <w:t>品牌</w:t>
            </w:r>
          </w:p>
        </w:tc>
        <w:tc>
          <w:tcPr>
            <w:tcW w:w="1227" w:type="dxa"/>
            <w:noWrap w:val="0"/>
            <w:vAlign w:val="center"/>
          </w:tcPr>
          <w:p w14:paraId="131677E1">
            <w:pPr>
              <w:keepNext w:val="0"/>
              <w:keepLines w:val="0"/>
              <w:pageBreakBefore w:val="0"/>
              <w:widowControl/>
              <w:suppressLineNumbers w:val="0"/>
              <w:kinsoku w:val="0"/>
              <w:wordWrap/>
              <w:overflowPunct/>
              <w:topLinePunct w:val="0"/>
              <w:autoSpaceDE w:val="0"/>
              <w:autoSpaceDN w:val="0"/>
              <w:bidi w:val="0"/>
              <w:adjustRightInd w:val="0"/>
              <w:snapToGrid w:val="0"/>
              <w:spacing w:line="20" w:lineRule="atLeast"/>
              <w:jc w:val="center"/>
              <w:textAlignment w:val="center"/>
              <w:rPr>
                <w:rFonts w:hint="eastAsia" w:ascii="宋体" w:hAnsi="宋体" w:eastAsia="宋体" w:cs="宋体"/>
                <w:sz w:val="24"/>
                <w:szCs w:val="24"/>
                <w:highlight w:val="none"/>
              </w:rPr>
            </w:pPr>
            <w:r>
              <w:rPr>
                <w:rFonts w:hint="eastAsia" w:ascii="宋体" w:hAnsi="宋体" w:eastAsia="宋体" w:cs="宋体"/>
                <w:i w:val="0"/>
                <w:iCs w:val="0"/>
                <w:color w:val="000000"/>
                <w:kern w:val="0"/>
                <w:sz w:val="24"/>
                <w:szCs w:val="24"/>
                <w:u w:val="none"/>
                <w:lang w:val="en-US" w:eastAsia="zh-CN" w:bidi="ar"/>
              </w:rPr>
              <w:t>型号规格</w:t>
            </w:r>
          </w:p>
        </w:tc>
        <w:tc>
          <w:tcPr>
            <w:tcW w:w="1551" w:type="dxa"/>
            <w:noWrap w:val="0"/>
            <w:vAlign w:val="center"/>
          </w:tcPr>
          <w:p w14:paraId="7AEB3CE9">
            <w:pPr>
              <w:keepNext w:val="0"/>
              <w:keepLines w:val="0"/>
              <w:pageBreakBefore w:val="0"/>
              <w:widowControl/>
              <w:suppressLineNumbers w:val="0"/>
              <w:kinsoku w:val="0"/>
              <w:wordWrap/>
              <w:overflowPunct/>
              <w:topLinePunct w:val="0"/>
              <w:autoSpaceDE w:val="0"/>
              <w:autoSpaceDN w:val="0"/>
              <w:bidi w:val="0"/>
              <w:adjustRightInd w:val="0"/>
              <w:snapToGrid w:val="0"/>
              <w:spacing w:line="20" w:lineRule="atLeast"/>
              <w:jc w:val="center"/>
              <w:textAlignment w:val="center"/>
              <w:rPr>
                <w:rFonts w:hint="eastAsia" w:ascii="宋体" w:hAnsi="宋体" w:eastAsia="宋体" w:cs="宋体"/>
                <w:sz w:val="24"/>
                <w:szCs w:val="24"/>
                <w:highlight w:val="none"/>
              </w:rPr>
            </w:pPr>
            <w:r>
              <w:rPr>
                <w:rFonts w:hint="eastAsia" w:ascii="宋体" w:hAnsi="宋体" w:eastAsia="宋体" w:cs="宋体"/>
                <w:i w:val="0"/>
                <w:iCs w:val="0"/>
                <w:color w:val="000000"/>
                <w:kern w:val="0"/>
                <w:sz w:val="24"/>
                <w:szCs w:val="24"/>
                <w:u w:val="none"/>
                <w:lang w:val="en-US" w:eastAsia="zh-CN" w:bidi="ar"/>
              </w:rPr>
              <w:t>制造厂商</w:t>
            </w:r>
          </w:p>
        </w:tc>
        <w:tc>
          <w:tcPr>
            <w:tcW w:w="565" w:type="dxa"/>
            <w:noWrap w:val="0"/>
            <w:vAlign w:val="center"/>
          </w:tcPr>
          <w:p w14:paraId="464F1EA3">
            <w:pPr>
              <w:keepNext w:val="0"/>
              <w:keepLines w:val="0"/>
              <w:pageBreakBefore w:val="0"/>
              <w:widowControl/>
              <w:suppressLineNumbers w:val="0"/>
              <w:kinsoku w:val="0"/>
              <w:wordWrap/>
              <w:overflowPunct/>
              <w:topLinePunct w:val="0"/>
              <w:autoSpaceDE w:val="0"/>
              <w:autoSpaceDN w:val="0"/>
              <w:bidi w:val="0"/>
              <w:adjustRightInd w:val="0"/>
              <w:snapToGrid w:val="0"/>
              <w:spacing w:line="20" w:lineRule="atLeast"/>
              <w:jc w:val="center"/>
              <w:textAlignment w:val="center"/>
              <w:rPr>
                <w:rFonts w:hint="eastAsia" w:ascii="宋体" w:hAnsi="宋体" w:eastAsia="宋体" w:cs="宋体"/>
                <w:sz w:val="24"/>
                <w:szCs w:val="24"/>
                <w:highlight w:val="none"/>
              </w:rPr>
            </w:pPr>
            <w:r>
              <w:rPr>
                <w:rFonts w:hint="eastAsia" w:ascii="宋体" w:hAnsi="宋体" w:eastAsia="宋体" w:cs="宋体"/>
                <w:i w:val="0"/>
                <w:iCs w:val="0"/>
                <w:color w:val="000000"/>
                <w:kern w:val="0"/>
                <w:sz w:val="24"/>
                <w:szCs w:val="24"/>
                <w:u w:val="none"/>
                <w:lang w:val="en-US" w:eastAsia="zh-CN" w:bidi="ar"/>
              </w:rPr>
              <w:t>数量</w:t>
            </w:r>
          </w:p>
        </w:tc>
        <w:tc>
          <w:tcPr>
            <w:tcW w:w="567" w:type="dxa"/>
            <w:noWrap w:val="0"/>
            <w:vAlign w:val="center"/>
          </w:tcPr>
          <w:p w14:paraId="4E304B74">
            <w:pPr>
              <w:keepNext w:val="0"/>
              <w:keepLines w:val="0"/>
              <w:pageBreakBefore w:val="0"/>
              <w:widowControl/>
              <w:suppressLineNumbers w:val="0"/>
              <w:kinsoku w:val="0"/>
              <w:wordWrap/>
              <w:overflowPunct/>
              <w:topLinePunct w:val="0"/>
              <w:autoSpaceDE w:val="0"/>
              <w:autoSpaceDN w:val="0"/>
              <w:bidi w:val="0"/>
              <w:adjustRightInd w:val="0"/>
              <w:snapToGrid w:val="0"/>
              <w:spacing w:line="20" w:lineRule="atLeast"/>
              <w:jc w:val="center"/>
              <w:textAlignment w:val="center"/>
              <w:rPr>
                <w:rFonts w:hint="eastAsia" w:ascii="宋体" w:hAnsi="宋体" w:eastAsia="宋体" w:cs="宋体"/>
                <w:sz w:val="24"/>
                <w:szCs w:val="24"/>
                <w:highlight w:val="none"/>
              </w:rPr>
            </w:pPr>
            <w:r>
              <w:rPr>
                <w:rFonts w:hint="eastAsia" w:ascii="宋体" w:hAnsi="宋体" w:eastAsia="宋体" w:cs="宋体"/>
                <w:i w:val="0"/>
                <w:iCs w:val="0"/>
                <w:color w:val="000000"/>
                <w:kern w:val="0"/>
                <w:sz w:val="24"/>
                <w:szCs w:val="24"/>
                <w:u w:val="none"/>
                <w:lang w:val="en-US" w:eastAsia="zh-CN" w:bidi="ar"/>
              </w:rPr>
              <w:t>单位</w:t>
            </w:r>
          </w:p>
        </w:tc>
        <w:tc>
          <w:tcPr>
            <w:tcW w:w="863" w:type="dxa"/>
            <w:noWrap w:val="0"/>
            <w:vAlign w:val="center"/>
          </w:tcPr>
          <w:p w14:paraId="70932B47">
            <w:pPr>
              <w:keepNext w:val="0"/>
              <w:keepLines w:val="0"/>
              <w:pageBreakBefore w:val="0"/>
              <w:widowControl/>
              <w:suppressLineNumbers w:val="0"/>
              <w:kinsoku w:val="0"/>
              <w:wordWrap/>
              <w:overflowPunct/>
              <w:topLinePunct w:val="0"/>
              <w:autoSpaceDE w:val="0"/>
              <w:autoSpaceDN w:val="0"/>
              <w:bidi w:val="0"/>
              <w:adjustRightInd w:val="0"/>
              <w:snapToGrid w:val="0"/>
              <w:spacing w:line="20" w:lineRule="atLeast"/>
              <w:jc w:val="center"/>
              <w:textAlignment w:val="center"/>
              <w:rPr>
                <w:rFonts w:hint="eastAsia" w:ascii="宋体" w:hAnsi="宋体" w:eastAsia="宋体" w:cs="宋体"/>
                <w:sz w:val="24"/>
                <w:szCs w:val="24"/>
                <w:highlight w:val="none"/>
              </w:rPr>
            </w:pPr>
            <w:r>
              <w:rPr>
                <w:rFonts w:hint="eastAsia" w:ascii="宋体" w:hAnsi="宋体" w:eastAsia="宋体" w:cs="宋体"/>
                <w:i w:val="0"/>
                <w:iCs w:val="0"/>
                <w:color w:val="000000"/>
                <w:kern w:val="0"/>
                <w:sz w:val="24"/>
                <w:szCs w:val="24"/>
                <w:u w:val="none"/>
                <w:lang w:val="en-US" w:eastAsia="zh-CN" w:bidi="ar"/>
              </w:rPr>
              <w:t>单价（元）</w:t>
            </w:r>
          </w:p>
        </w:tc>
        <w:tc>
          <w:tcPr>
            <w:tcW w:w="840" w:type="dxa"/>
            <w:noWrap w:val="0"/>
            <w:vAlign w:val="center"/>
          </w:tcPr>
          <w:p w14:paraId="73A40BEB">
            <w:pPr>
              <w:keepNext w:val="0"/>
              <w:keepLines w:val="0"/>
              <w:pageBreakBefore w:val="0"/>
              <w:widowControl/>
              <w:suppressLineNumbers w:val="0"/>
              <w:kinsoku w:val="0"/>
              <w:wordWrap/>
              <w:overflowPunct/>
              <w:topLinePunct w:val="0"/>
              <w:autoSpaceDE w:val="0"/>
              <w:autoSpaceDN w:val="0"/>
              <w:bidi w:val="0"/>
              <w:adjustRightInd w:val="0"/>
              <w:snapToGrid w:val="0"/>
              <w:spacing w:line="20" w:lineRule="atLeast"/>
              <w:jc w:val="center"/>
              <w:textAlignment w:val="center"/>
              <w:rPr>
                <w:rFonts w:hint="eastAsia" w:ascii="宋体" w:hAnsi="宋体" w:eastAsia="宋体" w:cs="宋体"/>
                <w:sz w:val="24"/>
                <w:szCs w:val="24"/>
                <w:highlight w:val="none"/>
              </w:rPr>
            </w:pPr>
            <w:r>
              <w:rPr>
                <w:rFonts w:hint="eastAsia" w:ascii="宋体" w:hAnsi="宋体" w:eastAsia="宋体" w:cs="宋体"/>
                <w:i w:val="0"/>
                <w:iCs w:val="0"/>
                <w:color w:val="000000"/>
                <w:kern w:val="0"/>
                <w:sz w:val="24"/>
                <w:szCs w:val="24"/>
                <w:u w:val="none"/>
                <w:lang w:val="en-US" w:eastAsia="zh-CN" w:bidi="ar"/>
              </w:rPr>
              <w:t>总价（元）</w:t>
            </w:r>
          </w:p>
        </w:tc>
      </w:tr>
      <w:tr w14:paraId="35C201B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exact"/>
          <w:jc w:val="center"/>
        </w:trPr>
        <w:tc>
          <w:tcPr>
            <w:tcW w:w="571" w:type="dxa"/>
            <w:noWrap w:val="0"/>
            <w:vAlign w:val="center"/>
          </w:tcPr>
          <w:p w14:paraId="289EBABB">
            <w:pPr>
              <w:keepNext w:val="0"/>
              <w:keepLines w:val="0"/>
              <w:pageBreakBefore w:val="0"/>
              <w:widowControl/>
              <w:suppressLineNumbers w:val="0"/>
              <w:kinsoku w:val="0"/>
              <w:wordWrap/>
              <w:overflowPunct/>
              <w:topLinePunct w:val="0"/>
              <w:autoSpaceDE w:val="0"/>
              <w:autoSpaceDN w:val="0"/>
              <w:bidi w:val="0"/>
              <w:adjustRightInd w:val="0"/>
              <w:snapToGrid w:val="0"/>
              <w:spacing w:line="20" w:lineRule="atLeast"/>
              <w:jc w:val="center"/>
              <w:textAlignment w:val="center"/>
              <w:rPr>
                <w:rFonts w:hint="eastAsia" w:ascii="宋体" w:hAnsi="宋体" w:eastAsia="宋体" w:cs="宋体"/>
                <w:sz w:val="24"/>
                <w:szCs w:val="24"/>
                <w:highlight w:val="none"/>
              </w:rPr>
            </w:pPr>
          </w:p>
        </w:tc>
        <w:tc>
          <w:tcPr>
            <w:tcW w:w="1242" w:type="dxa"/>
            <w:noWrap w:val="0"/>
            <w:vAlign w:val="center"/>
          </w:tcPr>
          <w:p w14:paraId="4511984D">
            <w:pPr>
              <w:keepNext w:val="0"/>
              <w:keepLines w:val="0"/>
              <w:pageBreakBefore w:val="0"/>
              <w:widowControl/>
              <w:suppressLineNumbers w:val="0"/>
              <w:kinsoku w:val="0"/>
              <w:wordWrap/>
              <w:overflowPunct/>
              <w:topLinePunct w:val="0"/>
              <w:autoSpaceDE w:val="0"/>
              <w:autoSpaceDN w:val="0"/>
              <w:bidi w:val="0"/>
              <w:adjustRightInd w:val="0"/>
              <w:snapToGrid w:val="0"/>
              <w:spacing w:line="20" w:lineRule="atLeast"/>
              <w:jc w:val="center"/>
              <w:textAlignment w:val="center"/>
              <w:rPr>
                <w:rFonts w:hint="eastAsia" w:ascii="宋体" w:hAnsi="宋体" w:eastAsia="宋体" w:cs="宋体"/>
                <w:sz w:val="24"/>
                <w:szCs w:val="24"/>
                <w:highlight w:val="none"/>
              </w:rPr>
            </w:pPr>
          </w:p>
        </w:tc>
        <w:tc>
          <w:tcPr>
            <w:tcW w:w="867" w:type="dxa"/>
            <w:noWrap w:val="0"/>
            <w:vAlign w:val="center"/>
          </w:tcPr>
          <w:p w14:paraId="2E6796E9">
            <w:pPr>
              <w:keepNext w:val="0"/>
              <w:keepLines w:val="0"/>
              <w:pageBreakBefore w:val="0"/>
              <w:widowControl/>
              <w:kinsoku w:val="0"/>
              <w:wordWrap/>
              <w:overflowPunct/>
              <w:topLinePunct w:val="0"/>
              <w:autoSpaceDE w:val="0"/>
              <w:autoSpaceDN w:val="0"/>
              <w:bidi w:val="0"/>
              <w:adjustRightInd w:val="0"/>
              <w:snapToGrid w:val="0"/>
              <w:spacing w:line="20" w:lineRule="atLeast"/>
              <w:jc w:val="center"/>
              <w:rPr>
                <w:rFonts w:hint="eastAsia" w:ascii="宋体" w:hAnsi="宋体" w:eastAsia="宋体" w:cs="宋体"/>
                <w:sz w:val="24"/>
                <w:szCs w:val="24"/>
                <w:highlight w:val="none"/>
              </w:rPr>
            </w:pPr>
          </w:p>
        </w:tc>
        <w:tc>
          <w:tcPr>
            <w:tcW w:w="1227" w:type="dxa"/>
            <w:noWrap w:val="0"/>
            <w:vAlign w:val="center"/>
          </w:tcPr>
          <w:p w14:paraId="084D6A5B">
            <w:pPr>
              <w:keepNext w:val="0"/>
              <w:keepLines w:val="0"/>
              <w:pageBreakBefore w:val="0"/>
              <w:widowControl/>
              <w:kinsoku w:val="0"/>
              <w:wordWrap/>
              <w:overflowPunct/>
              <w:topLinePunct w:val="0"/>
              <w:autoSpaceDE w:val="0"/>
              <w:autoSpaceDN w:val="0"/>
              <w:bidi w:val="0"/>
              <w:adjustRightInd w:val="0"/>
              <w:snapToGrid w:val="0"/>
              <w:spacing w:line="20" w:lineRule="atLeast"/>
              <w:jc w:val="center"/>
              <w:rPr>
                <w:rFonts w:hint="eastAsia" w:ascii="宋体" w:hAnsi="宋体" w:eastAsia="宋体" w:cs="宋体"/>
                <w:sz w:val="24"/>
                <w:szCs w:val="24"/>
                <w:highlight w:val="none"/>
              </w:rPr>
            </w:pPr>
          </w:p>
        </w:tc>
        <w:tc>
          <w:tcPr>
            <w:tcW w:w="1551" w:type="dxa"/>
            <w:noWrap w:val="0"/>
            <w:vAlign w:val="center"/>
          </w:tcPr>
          <w:p w14:paraId="4DE45B78">
            <w:pPr>
              <w:keepNext w:val="0"/>
              <w:keepLines w:val="0"/>
              <w:pageBreakBefore w:val="0"/>
              <w:widowControl/>
              <w:kinsoku w:val="0"/>
              <w:wordWrap/>
              <w:overflowPunct/>
              <w:topLinePunct w:val="0"/>
              <w:autoSpaceDE w:val="0"/>
              <w:autoSpaceDN w:val="0"/>
              <w:bidi w:val="0"/>
              <w:adjustRightInd w:val="0"/>
              <w:snapToGrid w:val="0"/>
              <w:spacing w:line="20" w:lineRule="atLeast"/>
              <w:jc w:val="center"/>
              <w:rPr>
                <w:rFonts w:hint="eastAsia" w:ascii="宋体" w:hAnsi="宋体" w:eastAsia="宋体" w:cs="宋体"/>
                <w:sz w:val="24"/>
                <w:szCs w:val="24"/>
                <w:highlight w:val="none"/>
              </w:rPr>
            </w:pPr>
          </w:p>
        </w:tc>
        <w:tc>
          <w:tcPr>
            <w:tcW w:w="565" w:type="dxa"/>
            <w:noWrap w:val="0"/>
            <w:vAlign w:val="center"/>
          </w:tcPr>
          <w:p w14:paraId="4E2BB710">
            <w:pPr>
              <w:keepNext w:val="0"/>
              <w:keepLines w:val="0"/>
              <w:pageBreakBefore w:val="0"/>
              <w:widowControl/>
              <w:kinsoku w:val="0"/>
              <w:wordWrap/>
              <w:overflowPunct/>
              <w:topLinePunct w:val="0"/>
              <w:autoSpaceDE w:val="0"/>
              <w:autoSpaceDN w:val="0"/>
              <w:bidi w:val="0"/>
              <w:adjustRightInd w:val="0"/>
              <w:snapToGrid w:val="0"/>
              <w:spacing w:line="20" w:lineRule="atLeast"/>
              <w:jc w:val="center"/>
              <w:rPr>
                <w:rFonts w:hint="eastAsia" w:ascii="宋体" w:hAnsi="宋体" w:eastAsia="宋体" w:cs="宋体"/>
                <w:sz w:val="24"/>
                <w:szCs w:val="24"/>
                <w:highlight w:val="none"/>
              </w:rPr>
            </w:pPr>
          </w:p>
        </w:tc>
        <w:tc>
          <w:tcPr>
            <w:tcW w:w="567" w:type="dxa"/>
            <w:noWrap w:val="0"/>
            <w:vAlign w:val="center"/>
          </w:tcPr>
          <w:p w14:paraId="6F864DBE">
            <w:pPr>
              <w:keepNext w:val="0"/>
              <w:keepLines w:val="0"/>
              <w:pageBreakBefore w:val="0"/>
              <w:widowControl/>
              <w:kinsoku w:val="0"/>
              <w:wordWrap/>
              <w:overflowPunct/>
              <w:topLinePunct w:val="0"/>
              <w:autoSpaceDE w:val="0"/>
              <w:autoSpaceDN w:val="0"/>
              <w:bidi w:val="0"/>
              <w:adjustRightInd w:val="0"/>
              <w:snapToGrid w:val="0"/>
              <w:spacing w:line="20" w:lineRule="atLeast"/>
              <w:jc w:val="center"/>
              <w:rPr>
                <w:rFonts w:hint="eastAsia" w:ascii="宋体" w:hAnsi="宋体" w:eastAsia="宋体" w:cs="宋体"/>
                <w:sz w:val="24"/>
                <w:szCs w:val="24"/>
                <w:highlight w:val="none"/>
              </w:rPr>
            </w:pPr>
          </w:p>
        </w:tc>
        <w:tc>
          <w:tcPr>
            <w:tcW w:w="863" w:type="dxa"/>
            <w:noWrap w:val="0"/>
            <w:vAlign w:val="center"/>
          </w:tcPr>
          <w:p w14:paraId="68AEB1C3">
            <w:pPr>
              <w:keepNext w:val="0"/>
              <w:keepLines w:val="0"/>
              <w:pageBreakBefore w:val="0"/>
              <w:widowControl/>
              <w:kinsoku w:val="0"/>
              <w:wordWrap/>
              <w:overflowPunct/>
              <w:topLinePunct w:val="0"/>
              <w:autoSpaceDE w:val="0"/>
              <w:autoSpaceDN w:val="0"/>
              <w:bidi w:val="0"/>
              <w:adjustRightInd w:val="0"/>
              <w:snapToGrid w:val="0"/>
              <w:spacing w:line="20" w:lineRule="atLeast"/>
              <w:jc w:val="center"/>
              <w:rPr>
                <w:rFonts w:hint="eastAsia" w:ascii="宋体" w:hAnsi="宋体" w:eastAsia="宋体" w:cs="宋体"/>
                <w:sz w:val="24"/>
                <w:szCs w:val="24"/>
                <w:highlight w:val="none"/>
              </w:rPr>
            </w:pPr>
          </w:p>
        </w:tc>
        <w:tc>
          <w:tcPr>
            <w:tcW w:w="840" w:type="dxa"/>
            <w:noWrap w:val="0"/>
            <w:vAlign w:val="center"/>
          </w:tcPr>
          <w:p w14:paraId="5EA74D24">
            <w:pPr>
              <w:keepNext w:val="0"/>
              <w:keepLines w:val="0"/>
              <w:pageBreakBefore w:val="0"/>
              <w:widowControl/>
              <w:kinsoku w:val="0"/>
              <w:wordWrap/>
              <w:overflowPunct/>
              <w:topLinePunct w:val="0"/>
              <w:autoSpaceDE w:val="0"/>
              <w:autoSpaceDN w:val="0"/>
              <w:bidi w:val="0"/>
              <w:adjustRightInd w:val="0"/>
              <w:snapToGrid w:val="0"/>
              <w:spacing w:line="20" w:lineRule="atLeast"/>
              <w:jc w:val="center"/>
              <w:rPr>
                <w:rFonts w:hint="eastAsia" w:ascii="宋体" w:hAnsi="宋体" w:eastAsia="宋体" w:cs="宋体"/>
                <w:sz w:val="24"/>
                <w:szCs w:val="24"/>
                <w:highlight w:val="none"/>
              </w:rPr>
            </w:pPr>
          </w:p>
        </w:tc>
      </w:tr>
      <w:tr w14:paraId="638E3E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40" w:hRule="exact"/>
          <w:jc w:val="center"/>
        </w:trPr>
        <w:tc>
          <w:tcPr>
            <w:tcW w:w="571" w:type="dxa"/>
            <w:noWrap w:val="0"/>
            <w:vAlign w:val="center"/>
          </w:tcPr>
          <w:p w14:paraId="54F3C81E">
            <w:pPr>
              <w:keepNext w:val="0"/>
              <w:keepLines w:val="0"/>
              <w:pageBreakBefore w:val="0"/>
              <w:widowControl/>
              <w:suppressLineNumbers w:val="0"/>
              <w:kinsoku w:val="0"/>
              <w:wordWrap/>
              <w:overflowPunct/>
              <w:topLinePunct w:val="0"/>
              <w:autoSpaceDE w:val="0"/>
              <w:autoSpaceDN w:val="0"/>
              <w:bidi w:val="0"/>
              <w:adjustRightInd w:val="0"/>
              <w:snapToGrid w:val="0"/>
              <w:spacing w:line="20" w:lineRule="atLeast"/>
              <w:jc w:val="center"/>
              <w:textAlignment w:val="center"/>
              <w:rPr>
                <w:rFonts w:hint="eastAsia" w:ascii="宋体" w:hAnsi="宋体" w:eastAsia="宋体" w:cs="宋体"/>
                <w:sz w:val="24"/>
                <w:szCs w:val="24"/>
                <w:highlight w:val="none"/>
              </w:rPr>
            </w:pPr>
          </w:p>
        </w:tc>
        <w:tc>
          <w:tcPr>
            <w:tcW w:w="1242" w:type="dxa"/>
            <w:noWrap w:val="0"/>
            <w:vAlign w:val="center"/>
          </w:tcPr>
          <w:p w14:paraId="4A02CAB4">
            <w:pPr>
              <w:keepNext w:val="0"/>
              <w:keepLines w:val="0"/>
              <w:pageBreakBefore w:val="0"/>
              <w:widowControl/>
              <w:suppressLineNumbers w:val="0"/>
              <w:kinsoku w:val="0"/>
              <w:wordWrap/>
              <w:overflowPunct/>
              <w:topLinePunct w:val="0"/>
              <w:autoSpaceDE w:val="0"/>
              <w:autoSpaceDN w:val="0"/>
              <w:bidi w:val="0"/>
              <w:adjustRightInd w:val="0"/>
              <w:snapToGrid w:val="0"/>
              <w:spacing w:line="20" w:lineRule="atLeast"/>
              <w:jc w:val="center"/>
              <w:textAlignment w:val="center"/>
              <w:rPr>
                <w:rFonts w:hint="eastAsia" w:ascii="宋体" w:hAnsi="宋体" w:eastAsia="宋体" w:cs="宋体"/>
                <w:sz w:val="24"/>
                <w:szCs w:val="24"/>
                <w:highlight w:val="none"/>
              </w:rPr>
            </w:pPr>
          </w:p>
        </w:tc>
        <w:tc>
          <w:tcPr>
            <w:tcW w:w="867" w:type="dxa"/>
            <w:noWrap w:val="0"/>
            <w:vAlign w:val="center"/>
          </w:tcPr>
          <w:p w14:paraId="5FD32482">
            <w:pPr>
              <w:keepNext w:val="0"/>
              <w:keepLines w:val="0"/>
              <w:pageBreakBefore w:val="0"/>
              <w:widowControl/>
              <w:suppressLineNumbers w:val="0"/>
              <w:kinsoku w:val="0"/>
              <w:wordWrap/>
              <w:overflowPunct/>
              <w:topLinePunct w:val="0"/>
              <w:autoSpaceDE w:val="0"/>
              <w:autoSpaceDN w:val="0"/>
              <w:bidi w:val="0"/>
              <w:adjustRightInd w:val="0"/>
              <w:snapToGrid w:val="0"/>
              <w:spacing w:line="20" w:lineRule="atLeast"/>
              <w:jc w:val="center"/>
              <w:textAlignment w:val="center"/>
              <w:rPr>
                <w:rFonts w:hint="eastAsia" w:ascii="宋体" w:hAnsi="宋体" w:eastAsia="宋体" w:cs="宋体"/>
                <w:sz w:val="24"/>
                <w:szCs w:val="24"/>
                <w:highlight w:val="none"/>
              </w:rPr>
            </w:pPr>
          </w:p>
        </w:tc>
        <w:tc>
          <w:tcPr>
            <w:tcW w:w="1227" w:type="dxa"/>
            <w:noWrap w:val="0"/>
            <w:vAlign w:val="center"/>
          </w:tcPr>
          <w:p w14:paraId="6E5C70FF">
            <w:pPr>
              <w:keepNext w:val="0"/>
              <w:keepLines w:val="0"/>
              <w:pageBreakBefore w:val="0"/>
              <w:widowControl/>
              <w:suppressLineNumbers w:val="0"/>
              <w:kinsoku w:val="0"/>
              <w:wordWrap/>
              <w:overflowPunct/>
              <w:topLinePunct w:val="0"/>
              <w:autoSpaceDE w:val="0"/>
              <w:autoSpaceDN w:val="0"/>
              <w:bidi w:val="0"/>
              <w:adjustRightInd w:val="0"/>
              <w:snapToGrid w:val="0"/>
              <w:spacing w:line="20" w:lineRule="atLeast"/>
              <w:jc w:val="center"/>
              <w:textAlignment w:val="center"/>
              <w:rPr>
                <w:rFonts w:hint="eastAsia" w:ascii="宋体" w:hAnsi="宋体" w:eastAsia="宋体" w:cs="宋体"/>
                <w:sz w:val="24"/>
                <w:szCs w:val="24"/>
                <w:highlight w:val="none"/>
              </w:rPr>
            </w:pPr>
          </w:p>
        </w:tc>
        <w:tc>
          <w:tcPr>
            <w:tcW w:w="1551" w:type="dxa"/>
            <w:noWrap w:val="0"/>
            <w:vAlign w:val="center"/>
          </w:tcPr>
          <w:p w14:paraId="489515E5">
            <w:pPr>
              <w:keepNext w:val="0"/>
              <w:keepLines w:val="0"/>
              <w:pageBreakBefore w:val="0"/>
              <w:widowControl/>
              <w:kinsoku w:val="0"/>
              <w:wordWrap/>
              <w:overflowPunct/>
              <w:topLinePunct w:val="0"/>
              <w:autoSpaceDE w:val="0"/>
              <w:autoSpaceDN w:val="0"/>
              <w:bidi w:val="0"/>
              <w:adjustRightInd w:val="0"/>
              <w:snapToGrid w:val="0"/>
              <w:spacing w:line="20" w:lineRule="atLeast"/>
              <w:jc w:val="both"/>
              <w:rPr>
                <w:rFonts w:hint="eastAsia" w:ascii="宋体" w:hAnsi="宋体" w:eastAsia="宋体" w:cs="宋体"/>
                <w:sz w:val="24"/>
                <w:szCs w:val="24"/>
                <w:highlight w:val="none"/>
              </w:rPr>
            </w:pPr>
          </w:p>
        </w:tc>
        <w:tc>
          <w:tcPr>
            <w:tcW w:w="565" w:type="dxa"/>
            <w:noWrap w:val="0"/>
            <w:vAlign w:val="center"/>
          </w:tcPr>
          <w:p w14:paraId="26B72309">
            <w:pPr>
              <w:keepNext w:val="0"/>
              <w:keepLines w:val="0"/>
              <w:pageBreakBefore w:val="0"/>
              <w:widowControl/>
              <w:suppressLineNumbers w:val="0"/>
              <w:kinsoku w:val="0"/>
              <w:wordWrap/>
              <w:overflowPunct/>
              <w:topLinePunct w:val="0"/>
              <w:autoSpaceDE w:val="0"/>
              <w:autoSpaceDN w:val="0"/>
              <w:bidi w:val="0"/>
              <w:adjustRightInd w:val="0"/>
              <w:snapToGrid w:val="0"/>
              <w:spacing w:line="20" w:lineRule="atLeast"/>
              <w:jc w:val="center"/>
              <w:textAlignment w:val="center"/>
              <w:rPr>
                <w:rFonts w:hint="eastAsia" w:ascii="宋体" w:hAnsi="宋体" w:eastAsia="宋体" w:cs="宋体"/>
                <w:sz w:val="24"/>
                <w:szCs w:val="24"/>
                <w:highlight w:val="none"/>
              </w:rPr>
            </w:pPr>
          </w:p>
        </w:tc>
        <w:tc>
          <w:tcPr>
            <w:tcW w:w="567" w:type="dxa"/>
            <w:noWrap w:val="0"/>
            <w:vAlign w:val="center"/>
          </w:tcPr>
          <w:p w14:paraId="2BDF3E15">
            <w:pPr>
              <w:keepNext w:val="0"/>
              <w:keepLines w:val="0"/>
              <w:pageBreakBefore w:val="0"/>
              <w:widowControl/>
              <w:suppressLineNumbers w:val="0"/>
              <w:kinsoku w:val="0"/>
              <w:wordWrap/>
              <w:overflowPunct/>
              <w:topLinePunct w:val="0"/>
              <w:autoSpaceDE w:val="0"/>
              <w:autoSpaceDN w:val="0"/>
              <w:bidi w:val="0"/>
              <w:adjustRightInd w:val="0"/>
              <w:snapToGrid w:val="0"/>
              <w:spacing w:line="20" w:lineRule="atLeast"/>
              <w:jc w:val="center"/>
              <w:textAlignment w:val="center"/>
              <w:rPr>
                <w:rFonts w:hint="eastAsia" w:ascii="宋体" w:hAnsi="宋体" w:eastAsia="宋体" w:cs="宋体"/>
                <w:sz w:val="24"/>
                <w:szCs w:val="24"/>
                <w:highlight w:val="none"/>
              </w:rPr>
            </w:pPr>
          </w:p>
        </w:tc>
        <w:tc>
          <w:tcPr>
            <w:tcW w:w="863" w:type="dxa"/>
            <w:noWrap w:val="0"/>
            <w:vAlign w:val="center"/>
          </w:tcPr>
          <w:p w14:paraId="62573C4F">
            <w:pPr>
              <w:keepNext w:val="0"/>
              <w:keepLines w:val="0"/>
              <w:pageBreakBefore w:val="0"/>
              <w:widowControl/>
              <w:suppressLineNumbers w:val="0"/>
              <w:kinsoku w:val="0"/>
              <w:wordWrap/>
              <w:overflowPunct/>
              <w:topLinePunct w:val="0"/>
              <w:autoSpaceDE w:val="0"/>
              <w:autoSpaceDN w:val="0"/>
              <w:bidi w:val="0"/>
              <w:adjustRightInd w:val="0"/>
              <w:snapToGrid w:val="0"/>
              <w:spacing w:line="20" w:lineRule="atLeast"/>
              <w:jc w:val="center"/>
              <w:textAlignment w:val="center"/>
              <w:rPr>
                <w:rFonts w:hint="eastAsia" w:ascii="宋体" w:hAnsi="宋体" w:eastAsia="宋体" w:cs="宋体"/>
                <w:sz w:val="24"/>
                <w:szCs w:val="24"/>
                <w:highlight w:val="none"/>
              </w:rPr>
            </w:pPr>
          </w:p>
        </w:tc>
        <w:tc>
          <w:tcPr>
            <w:tcW w:w="840" w:type="dxa"/>
            <w:noWrap w:val="0"/>
            <w:vAlign w:val="center"/>
          </w:tcPr>
          <w:p w14:paraId="1ED16950">
            <w:pPr>
              <w:keepNext w:val="0"/>
              <w:keepLines w:val="0"/>
              <w:pageBreakBefore w:val="0"/>
              <w:widowControl/>
              <w:suppressLineNumbers w:val="0"/>
              <w:kinsoku w:val="0"/>
              <w:wordWrap/>
              <w:overflowPunct/>
              <w:topLinePunct w:val="0"/>
              <w:autoSpaceDE w:val="0"/>
              <w:autoSpaceDN w:val="0"/>
              <w:bidi w:val="0"/>
              <w:adjustRightInd w:val="0"/>
              <w:snapToGrid w:val="0"/>
              <w:spacing w:line="20" w:lineRule="atLeast"/>
              <w:jc w:val="center"/>
              <w:textAlignment w:val="center"/>
              <w:rPr>
                <w:rFonts w:hint="eastAsia" w:ascii="宋体" w:hAnsi="宋体" w:eastAsia="宋体" w:cs="宋体"/>
                <w:sz w:val="24"/>
                <w:szCs w:val="24"/>
                <w:highlight w:val="none"/>
              </w:rPr>
            </w:pPr>
          </w:p>
        </w:tc>
      </w:tr>
      <w:tr w14:paraId="570DDB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40" w:hRule="exact"/>
          <w:jc w:val="center"/>
        </w:trPr>
        <w:tc>
          <w:tcPr>
            <w:tcW w:w="571" w:type="dxa"/>
            <w:noWrap w:val="0"/>
            <w:vAlign w:val="center"/>
          </w:tcPr>
          <w:p w14:paraId="042EFE2F">
            <w:pPr>
              <w:keepNext w:val="0"/>
              <w:keepLines w:val="0"/>
              <w:pageBreakBefore w:val="0"/>
              <w:widowControl/>
              <w:suppressLineNumbers w:val="0"/>
              <w:kinsoku w:val="0"/>
              <w:wordWrap/>
              <w:overflowPunct/>
              <w:topLinePunct w:val="0"/>
              <w:autoSpaceDE w:val="0"/>
              <w:autoSpaceDN w:val="0"/>
              <w:bidi w:val="0"/>
              <w:adjustRightInd w:val="0"/>
              <w:snapToGrid w:val="0"/>
              <w:spacing w:line="20" w:lineRule="atLeast"/>
              <w:jc w:val="center"/>
              <w:textAlignment w:val="center"/>
              <w:rPr>
                <w:rFonts w:hint="eastAsia" w:ascii="宋体" w:hAnsi="宋体" w:eastAsia="宋体" w:cs="宋体"/>
                <w:sz w:val="24"/>
                <w:szCs w:val="24"/>
                <w:highlight w:val="none"/>
              </w:rPr>
            </w:pPr>
          </w:p>
        </w:tc>
        <w:tc>
          <w:tcPr>
            <w:tcW w:w="1242" w:type="dxa"/>
            <w:noWrap w:val="0"/>
            <w:vAlign w:val="center"/>
          </w:tcPr>
          <w:p w14:paraId="24FE5914">
            <w:pPr>
              <w:keepNext w:val="0"/>
              <w:keepLines w:val="0"/>
              <w:pageBreakBefore w:val="0"/>
              <w:widowControl/>
              <w:suppressLineNumbers w:val="0"/>
              <w:kinsoku w:val="0"/>
              <w:wordWrap/>
              <w:overflowPunct/>
              <w:topLinePunct w:val="0"/>
              <w:autoSpaceDE w:val="0"/>
              <w:autoSpaceDN w:val="0"/>
              <w:bidi w:val="0"/>
              <w:adjustRightInd w:val="0"/>
              <w:snapToGrid w:val="0"/>
              <w:spacing w:line="20" w:lineRule="atLeast"/>
              <w:jc w:val="center"/>
              <w:textAlignment w:val="center"/>
              <w:rPr>
                <w:rFonts w:hint="eastAsia" w:ascii="宋体" w:hAnsi="宋体" w:eastAsia="宋体" w:cs="宋体"/>
                <w:sz w:val="24"/>
                <w:szCs w:val="24"/>
                <w:highlight w:val="none"/>
              </w:rPr>
            </w:pPr>
          </w:p>
        </w:tc>
        <w:tc>
          <w:tcPr>
            <w:tcW w:w="867" w:type="dxa"/>
            <w:noWrap w:val="0"/>
            <w:vAlign w:val="center"/>
          </w:tcPr>
          <w:p w14:paraId="345147C7">
            <w:pPr>
              <w:keepNext w:val="0"/>
              <w:keepLines w:val="0"/>
              <w:pageBreakBefore w:val="0"/>
              <w:widowControl/>
              <w:suppressLineNumbers w:val="0"/>
              <w:kinsoku w:val="0"/>
              <w:wordWrap/>
              <w:overflowPunct/>
              <w:topLinePunct w:val="0"/>
              <w:autoSpaceDE w:val="0"/>
              <w:autoSpaceDN w:val="0"/>
              <w:bidi w:val="0"/>
              <w:adjustRightInd w:val="0"/>
              <w:snapToGrid w:val="0"/>
              <w:spacing w:line="20" w:lineRule="atLeast"/>
              <w:jc w:val="center"/>
              <w:textAlignment w:val="center"/>
              <w:rPr>
                <w:rFonts w:hint="eastAsia" w:ascii="宋体" w:hAnsi="宋体" w:eastAsia="宋体" w:cs="宋体"/>
                <w:sz w:val="24"/>
                <w:szCs w:val="24"/>
                <w:highlight w:val="none"/>
              </w:rPr>
            </w:pPr>
          </w:p>
        </w:tc>
        <w:tc>
          <w:tcPr>
            <w:tcW w:w="1227" w:type="dxa"/>
            <w:noWrap w:val="0"/>
            <w:vAlign w:val="center"/>
          </w:tcPr>
          <w:p w14:paraId="085768B2">
            <w:pPr>
              <w:keepNext w:val="0"/>
              <w:keepLines w:val="0"/>
              <w:pageBreakBefore w:val="0"/>
              <w:widowControl/>
              <w:suppressLineNumbers w:val="0"/>
              <w:kinsoku w:val="0"/>
              <w:wordWrap/>
              <w:overflowPunct/>
              <w:topLinePunct w:val="0"/>
              <w:autoSpaceDE w:val="0"/>
              <w:autoSpaceDN w:val="0"/>
              <w:bidi w:val="0"/>
              <w:adjustRightInd w:val="0"/>
              <w:snapToGrid w:val="0"/>
              <w:spacing w:line="20" w:lineRule="atLeast"/>
              <w:jc w:val="center"/>
              <w:textAlignment w:val="center"/>
              <w:rPr>
                <w:rFonts w:hint="eastAsia" w:ascii="宋体" w:hAnsi="宋体" w:eastAsia="宋体" w:cs="宋体"/>
                <w:sz w:val="24"/>
                <w:szCs w:val="24"/>
                <w:highlight w:val="none"/>
              </w:rPr>
            </w:pPr>
          </w:p>
        </w:tc>
        <w:tc>
          <w:tcPr>
            <w:tcW w:w="1551" w:type="dxa"/>
            <w:noWrap w:val="0"/>
            <w:vAlign w:val="center"/>
          </w:tcPr>
          <w:p w14:paraId="50BC7923">
            <w:pPr>
              <w:keepNext w:val="0"/>
              <w:keepLines w:val="0"/>
              <w:pageBreakBefore w:val="0"/>
              <w:widowControl/>
              <w:suppressLineNumbers w:val="0"/>
              <w:kinsoku w:val="0"/>
              <w:wordWrap/>
              <w:overflowPunct/>
              <w:topLinePunct w:val="0"/>
              <w:autoSpaceDE w:val="0"/>
              <w:autoSpaceDN w:val="0"/>
              <w:bidi w:val="0"/>
              <w:adjustRightInd w:val="0"/>
              <w:snapToGrid w:val="0"/>
              <w:spacing w:line="20" w:lineRule="atLeast"/>
              <w:jc w:val="center"/>
              <w:textAlignment w:val="center"/>
              <w:rPr>
                <w:rFonts w:hint="eastAsia" w:ascii="宋体" w:hAnsi="宋体" w:eastAsia="宋体" w:cs="宋体"/>
                <w:sz w:val="24"/>
                <w:szCs w:val="24"/>
                <w:highlight w:val="none"/>
              </w:rPr>
            </w:pPr>
          </w:p>
        </w:tc>
        <w:tc>
          <w:tcPr>
            <w:tcW w:w="565" w:type="dxa"/>
            <w:noWrap w:val="0"/>
            <w:vAlign w:val="center"/>
          </w:tcPr>
          <w:p w14:paraId="6CB1EA28">
            <w:pPr>
              <w:keepNext w:val="0"/>
              <w:keepLines w:val="0"/>
              <w:pageBreakBefore w:val="0"/>
              <w:widowControl/>
              <w:suppressLineNumbers w:val="0"/>
              <w:kinsoku w:val="0"/>
              <w:wordWrap/>
              <w:overflowPunct/>
              <w:topLinePunct w:val="0"/>
              <w:autoSpaceDE w:val="0"/>
              <w:autoSpaceDN w:val="0"/>
              <w:bidi w:val="0"/>
              <w:adjustRightInd w:val="0"/>
              <w:snapToGrid w:val="0"/>
              <w:spacing w:line="20" w:lineRule="atLeast"/>
              <w:jc w:val="center"/>
              <w:textAlignment w:val="center"/>
              <w:rPr>
                <w:rFonts w:hint="eastAsia" w:ascii="宋体" w:hAnsi="宋体" w:eastAsia="宋体" w:cs="宋体"/>
                <w:sz w:val="24"/>
                <w:szCs w:val="24"/>
                <w:highlight w:val="none"/>
              </w:rPr>
            </w:pPr>
          </w:p>
        </w:tc>
        <w:tc>
          <w:tcPr>
            <w:tcW w:w="567" w:type="dxa"/>
            <w:noWrap w:val="0"/>
            <w:vAlign w:val="center"/>
          </w:tcPr>
          <w:p w14:paraId="26D1E248">
            <w:pPr>
              <w:keepNext w:val="0"/>
              <w:keepLines w:val="0"/>
              <w:pageBreakBefore w:val="0"/>
              <w:widowControl/>
              <w:suppressLineNumbers w:val="0"/>
              <w:kinsoku w:val="0"/>
              <w:wordWrap/>
              <w:overflowPunct/>
              <w:topLinePunct w:val="0"/>
              <w:autoSpaceDE w:val="0"/>
              <w:autoSpaceDN w:val="0"/>
              <w:bidi w:val="0"/>
              <w:adjustRightInd w:val="0"/>
              <w:snapToGrid w:val="0"/>
              <w:spacing w:line="20" w:lineRule="atLeast"/>
              <w:jc w:val="center"/>
              <w:textAlignment w:val="center"/>
              <w:rPr>
                <w:rFonts w:hint="eastAsia" w:ascii="宋体" w:hAnsi="宋体" w:eastAsia="宋体" w:cs="宋体"/>
                <w:sz w:val="24"/>
                <w:szCs w:val="24"/>
                <w:highlight w:val="none"/>
              </w:rPr>
            </w:pPr>
          </w:p>
        </w:tc>
        <w:tc>
          <w:tcPr>
            <w:tcW w:w="863" w:type="dxa"/>
            <w:noWrap w:val="0"/>
            <w:vAlign w:val="center"/>
          </w:tcPr>
          <w:p w14:paraId="75649723">
            <w:pPr>
              <w:keepNext w:val="0"/>
              <w:keepLines w:val="0"/>
              <w:pageBreakBefore w:val="0"/>
              <w:widowControl/>
              <w:suppressLineNumbers w:val="0"/>
              <w:kinsoku w:val="0"/>
              <w:wordWrap/>
              <w:overflowPunct/>
              <w:topLinePunct w:val="0"/>
              <w:autoSpaceDE w:val="0"/>
              <w:autoSpaceDN w:val="0"/>
              <w:bidi w:val="0"/>
              <w:adjustRightInd w:val="0"/>
              <w:snapToGrid w:val="0"/>
              <w:spacing w:line="20" w:lineRule="atLeast"/>
              <w:jc w:val="center"/>
              <w:textAlignment w:val="center"/>
              <w:rPr>
                <w:rFonts w:hint="eastAsia" w:ascii="宋体" w:hAnsi="宋体" w:eastAsia="宋体" w:cs="宋体"/>
                <w:sz w:val="24"/>
                <w:szCs w:val="24"/>
                <w:highlight w:val="none"/>
              </w:rPr>
            </w:pPr>
          </w:p>
        </w:tc>
        <w:tc>
          <w:tcPr>
            <w:tcW w:w="840" w:type="dxa"/>
            <w:noWrap w:val="0"/>
            <w:vAlign w:val="center"/>
          </w:tcPr>
          <w:p w14:paraId="5F203E6F">
            <w:pPr>
              <w:keepNext w:val="0"/>
              <w:keepLines w:val="0"/>
              <w:pageBreakBefore w:val="0"/>
              <w:widowControl/>
              <w:suppressLineNumbers w:val="0"/>
              <w:kinsoku w:val="0"/>
              <w:wordWrap/>
              <w:overflowPunct/>
              <w:topLinePunct w:val="0"/>
              <w:autoSpaceDE w:val="0"/>
              <w:autoSpaceDN w:val="0"/>
              <w:bidi w:val="0"/>
              <w:adjustRightInd w:val="0"/>
              <w:snapToGrid w:val="0"/>
              <w:spacing w:line="20" w:lineRule="atLeast"/>
              <w:jc w:val="center"/>
              <w:textAlignment w:val="center"/>
              <w:rPr>
                <w:rFonts w:hint="eastAsia" w:ascii="宋体" w:hAnsi="宋体" w:eastAsia="宋体" w:cs="宋体"/>
                <w:sz w:val="24"/>
                <w:szCs w:val="24"/>
                <w:highlight w:val="none"/>
              </w:rPr>
            </w:pPr>
          </w:p>
        </w:tc>
      </w:tr>
      <w:tr w14:paraId="2A2906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exact"/>
          <w:jc w:val="center"/>
        </w:trPr>
        <w:tc>
          <w:tcPr>
            <w:tcW w:w="1813" w:type="dxa"/>
            <w:gridSpan w:val="2"/>
            <w:noWrap w:val="0"/>
            <w:vAlign w:val="center"/>
          </w:tcPr>
          <w:p w14:paraId="7FFA8D48">
            <w:pPr>
              <w:keepNext w:val="0"/>
              <w:keepLines w:val="0"/>
              <w:pageBreakBefore w:val="0"/>
              <w:widowControl/>
              <w:kinsoku w:val="0"/>
              <w:wordWrap/>
              <w:overflowPunct/>
              <w:topLinePunct w:val="0"/>
              <w:autoSpaceDE w:val="0"/>
              <w:autoSpaceDN w:val="0"/>
              <w:bidi w:val="0"/>
              <w:adjustRightInd w:val="0"/>
              <w:snapToGrid w:val="0"/>
              <w:spacing w:line="20" w:lineRule="atLeast"/>
              <w:rPr>
                <w:rFonts w:hint="eastAsia" w:ascii="宋体" w:hAnsi="宋体" w:eastAsia="宋体" w:cs="宋体"/>
                <w:sz w:val="24"/>
                <w:szCs w:val="24"/>
                <w:highlight w:val="none"/>
              </w:rPr>
            </w:pPr>
            <w:r>
              <w:rPr>
                <w:rFonts w:hint="eastAsia" w:ascii="宋体" w:hAnsi="宋体" w:eastAsia="宋体" w:cs="宋体"/>
                <w:sz w:val="24"/>
                <w:szCs w:val="24"/>
                <w:highlight w:val="none"/>
              </w:rPr>
              <w:t>合计（大写）</w:t>
            </w:r>
          </w:p>
        </w:tc>
        <w:tc>
          <w:tcPr>
            <w:tcW w:w="6480" w:type="dxa"/>
            <w:gridSpan w:val="7"/>
            <w:noWrap w:val="0"/>
            <w:vAlign w:val="center"/>
          </w:tcPr>
          <w:p w14:paraId="5EDF70D9">
            <w:pPr>
              <w:keepNext w:val="0"/>
              <w:keepLines w:val="0"/>
              <w:pageBreakBefore w:val="0"/>
              <w:widowControl/>
              <w:kinsoku w:val="0"/>
              <w:wordWrap/>
              <w:overflowPunct/>
              <w:topLinePunct w:val="0"/>
              <w:autoSpaceDE w:val="0"/>
              <w:autoSpaceDN w:val="0"/>
              <w:bidi w:val="0"/>
              <w:adjustRightInd w:val="0"/>
              <w:snapToGrid w:val="0"/>
              <w:spacing w:line="20" w:lineRule="atLeas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 元（大写：</w:t>
            </w:r>
            <w:r>
              <w:rPr>
                <w:rFonts w:hint="eastAsia" w:ascii="宋体" w:hAnsi="宋体" w:eastAsia="宋体" w:cs="宋体"/>
                <w:sz w:val="24"/>
                <w:szCs w:val="24"/>
                <w:highlight w:val="none"/>
                <w:lang w:eastAsia="zh-CN"/>
              </w:rPr>
              <w:t>）</w:t>
            </w:r>
          </w:p>
        </w:tc>
      </w:tr>
      <w:tr w14:paraId="5EB2BF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exact"/>
          <w:jc w:val="center"/>
        </w:trPr>
        <w:tc>
          <w:tcPr>
            <w:tcW w:w="1813" w:type="dxa"/>
            <w:gridSpan w:val="2"/>
            <w:noWrap w:val="0"/>
            <w:vAlign w:val="center"/>
          </w:tcPr>
          <w:p w14:paraId="19694F90">
            <w:pPr>
              <w:keepNext w:val="0"/>
              <w:keepLines w:val="0"/>
              <w:pageBreakBefore w:val="0"/>
              <w:widowControl/>
              <w:kinsoku w:val="0"/>
              <w:wordWrap/>
              <w:overflowPunct/>
              <w:topLinePunct w:val="0"/>
              <w:autoSpaceDE w:val="0"/>
              <w:autoSpaceDN w:val="0"/>
              <w:bidi w:val="0"/>
              <w:adjustRightInd w:val="0"/>
              <w:snapToGrid w:val="0"/>
              <w:spacing w:line="20" w:lineRule="atLeas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优惠后总价</w:t>
            </w:r>
          </w:p>
        </w:tc>
        <w:tc>
          <w:tcPr>
            <w:tcW w:w="6480" w:type="dxa"/>
            <w:gridSpan w:val="7"/>
            <w:noWrap w:val="0"/>
            <w:vAlign w:val="center"/>
          </w:tcPr>
          <w:p w14:paraId="1644E003">
            <w:pPr>
              <w:keepNext w:val="0"/>
              <w:keepLines w:val="0"/>
              <w:pageBreakBefore w:val="0"/>
              <w:widowControl/>
              <w:kinsoku w:val="0"/>
              <w:wordWrap/>
              <w:overflowPunct/>
              <w:topLinePunct w:val="0"/>
              <w:autoSpaceDE w:val="0"/>
              <w:autoSpaceDN w:val="0"/>
              <w:bidi w:val="0"/>
              <w:adjustRightInd w:val="0"/>
              <w:snapToGrid w:val="0"/>
              <w:spacing w:line="20" w:lineRule="atLeas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元（大写：）</w:t>
            </w:r>
          </w:p>
        </w:tc>
      </w:tr>
    </w:tbl>
    <w:p w14:paraId="45B888E3">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ab/>
      </w:r>
      <w:r>
        <w:rPr>
          <w:rFonts w:hint="eastAsia" w:ascii="宋体" w:hAnsi="宋体" w:eastAsia="宋体" w:cs="宋体"/>
          <w:sz w:val="24"/>
          <w:szCs w:val="24"/>
          <w:highlight w:val="none"/>
        </w:rPr>
        <w:tab/>
      </w:r>
      <w:r>
        <w:rPr>
          <w:rFonts w:hint="eastAsia" w:ascii="宋体" w:hAnsi="宋体" w:eastAsia="宋体" w:cs="宋体"/>
          <w:sz w:val="24"/>
          <w:szCs w:val="24"/>
          <w:highlight w:val="none"/>
        </w:rPr>
        <w:tab/>
      </w:r>
      <w:r>
        <w:rPr>
          <w:rFonts w:hint="eastAsia" w:ascii="宋体" w:hAnsi="宋体" w:eastAsia="宋体" w:cs="宋体"/>
          <w:sz w:val="24"/>
          <w:szCs w:val="24"/>
          <w:highlight w:val="none"/>
        </w:rPr>
        <w:tab/>
      </w:r>
      <w:r>
        <w:rPr>
          <w:rFonts w:hint="eastAsia" w:ascii="宋体" w:hAnsi="宋体" w:eastAsia="宋体" w:cs="宋体"/>
          <w:sz w:val="24"/>
          <w:szCs w:val="24"/>
          <w:highlight w:val="none"/>
        </w:rPr>
        <w:tab/>
      </w:r>
      <w:r>
        <w:rPr>
          <w:rFonts w:hint="eastAsia" w:ascii="宋体" w:hAnsi="宋体" w:eastAsia="宋体" w:cs="宋体"/>
          <w:sz w:val="24"/>
          <w:szCs w:val="24"/>
          <w:highlight w:val="none"/>
        </w:rPr>
        <w:tab/>
      </w:r>
      <w:r>
        <w:rPr>
          <w:rFonts w:hint="eastAsia" w:ascii="宋体" w:hAnsi="宋体" w:eastAsia="宋体" w:cs="宋体"/>
          <w:sz w:val="24"/>
          <w:szCs w:val="24"/>
          <w:highlight w:val="none"/>
        </w:rPr>
        <w:tab/>
      </w:r>
      <w:r>
        <w:rPr>
          <w:rFonts w:hint="eastAsia" w:ascii="宋体" w:hAnsi="宋体" w:eastAsia="宋体" w:cs="宋体"/>
          <w:sz w:val="24"/>
          <w:szCs w:val="24"/>
          <w:highlight w:val="none"/>
        </w:rPr>
        <w:tab/>
      </w:r>
    </w:p>
    <w:p w14:paraId="4F30E78F">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第二条 合同价款</w:t>
      </w:r>
    </w:p>
    <w:p w14:paraId="54552108">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1、合同总价为人民币大写： </w:t>
      </w:r>
      <w:r>
        <w:rPr>
          <w:rFonts w:hint="eastAsia" w:ascii="宋体" w:hAnsi="宋体" w:cs="宋体"/>
          <w:sz w:val="24"/>
          <w:szCs w:val="24"/>
          <w:highlight w:val="none"/>
          <w:lang w:val="en-US" w:eastAsia="zh-CN"/>
        </w:rPr>
        <w:t>元</w:t>
      </w:r>
      <w:r>
        <w:rPr>
          <w:rFonts w:hint="eastAsia" w:ascii="宋体" w:hAnsi="宋体" w:eastAsia="宋体" w:cs="宋体"/>
          <w:sz w:val="24"/>
          <w:szCs w:val="24"/>
          <w:highlight w:val="none"/>
        </w:rPr>
        <w:t>整，RMB¥ 元。</w:t>
      </w:r>
    </w:p>
    <w:p w14:paraId="112FAB26">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2、本合同总价是货物（产品）设计、材料、制造、包装、运输、安装、调试、检测、验收合格交付使用之前及保修期内保修服务与备用物件等其他有关各项的含税费用。</w:t>
      </w:r>
    </w:p>
    <w:p w14:paraId="0DEB9861">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3、本合同总价还包含乙方应当提供的伴随服务和售后服务费用。</w:t>
      </w:r>
    </w:p>
    <w:p w14:paraId="609E40F8">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4、本合同执行期间合同总价不变，甲方无须另向乙方支付本合同规定之外的其他任何费用。</w:t>
      </w:r>
    </w:p>
    <w:p w14:paraId="276E9E76">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第三条 款项结算</w:t>
      </w:r>
    </w:p>
    <w:p w14:paraId="0375879F">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1、货物（产品）按下列比例支付价款：交付完毕并验收合格后，甲方向乙方支付合同总价100%的价款。</w:t>
      </w:r>
    </w:p>
    <w:p w14:paraId="41C9A272">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2、乙方须向甲方出具合法有效的完税发票，甲方进行支付结算。</w:t>
      </w:r>
    </w:p>
    <w:p w14:paraId="267A8DBC">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3、结算方式：银行转账。</w:t>
      </w:r>
    </w:p>
    <w:p w14:paraId="75187446">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第四条 权利保证</w:t>
      </w:r>
    </w:p>
    <w:p w14:paraId="04AC2AA6">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1、乙方保证对其出售的货物享有合法的权利。</w:t>
      </w:r>
    </w:p>
    <w:p w14:paraId="14598B91">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2、乙方保证对其出售的货物上不存在任何未曾向甲方透露的担保物权，如抵押权、质押权、留置权。</w:t>
      </w:r>
    </w:p>
    <w:p w14:paraId="4341D73C">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3、乙方保证对其出售的货物或其任何一部分没有侵犯第三方的专利权、版权、商标权或其他权利。</w:t>
      </w:r>
    </w:p>
    <w:p w14:paraId="1C873908">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4、如甲方在使用该货物构成上述侵权的，则由乙方承担全部责任。</w:t>
      </w:r>
    </w:p>
    <w:p w14:paraId="36E230D9">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第五条 交货时间与地点</w:t>
      </w:r>
    </w:p>
    <w:p w14:paraId="4563223C">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乙方在合同签订生效之日起，按甲方指定时间、地点交货。</w:t>
      </w:r>
    </w:p>
    <w:p w14:paraId="42F0EB1F">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1、交货及安装期：自合同签订生效之日起</w:t>
      </w:r>
      <w:r>
        <w:rPr>
          <w:rFonts w:hint="eastAsia" w:ascii="宋体" w:hAnsi="宋体" w:cs="宋体"/>
          <w:sz w:val="24"/>
          <w:szCs w:val="24"/>
          <w:highlight w:val="none"/>
          <w:u w:val="single"/>
          <w:lang w:val="en-US" w:eastAsia="zh-CN"/>
        </w:rPr>
        <w:t xml:space="preserve">  </w:t>
      </w:r>
      <w:r>
        <w:rPr>
          <w:rFonts w:hint="eastAsia" w:ascii="宋体" w:hAnsi="宋体"/>
          <w:sz w:val="24"/>
          <w:u w:val="single"/>
        </w:rPr>
        <w:t>30</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rPr>
        <w:t>个日历日完成供货、安装、调试及验收。</w:t>
      </w:r>
    </w:p>
    <w:p w14:paraId="38444843">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2、交货地点：甲方指定地点。</w:t>
      </w:r>
    </w:p>
    <w:p w14:paraId="0911BC7D">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3、质保期：</w:t>
      </w:r>
      <w:r>
        <w:rPr>
          <w:rFonts w:hint="eastAsia" w:ascii="宋体" w:hAnsi="宋体" w:cs="宋体"/>
          <w:sz w:val="24"/>
          <w:szCs w:val="24"/>
          <w:highlight w:val="none"/>
          <w:lang w:val="en-US" w:eastAsia="zh-CN"/>
        </w:rPr>
        <w:t>1年</w:t>
      </w:r>
      <w:r>
        <w:rPr>
          <w:rFonts w:hint="eastAsia" w:ascii="宋体" w:hAnsi="宋体" w:eastAsia="宋体" w:cs="宋体"/>
          <w:sz w:val="24"/>
          <w:szCs w:val="24"/>
          <w:highlight w:val="none"/>
        </w:rPr>
        <w:t>。</w:t>
      </w:r>
    </w:p>
    <w:p w14:paraId="321D588B">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第六条 包装要求与运输方式</w:t>
      </w:r>
    </w:p>
    <w:p w14:paraId="45406B23">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1、除合同另有规定外，乙方提供的全部货物均应按标准保护措施进行包装，该包装适应于远距离运输、防潮、防震、防锈和防野蛮装卸，以确保货物安全运抵指定地点。</w:t>
      </w:r>
    </w:p>
    <w:p w14:paraId="30004D65">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2、每一包装单元应附详细的装箱单和质量合格证。</w:t>
      </w:r>
    </w:p>
    <w:p w14:paraId="6A39EFC8">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3、货物（产品）运输方式：                                   </w:t>
      </w:r>
    </w:p>
    <w:p w14:paraId="23E45805">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4、乙方负责货物（产品）运输，货物运输的合理损耗及计算方法。</w:t>
      </w:r>
    </w:p>
    <w:p w14:paraId="3EF36319">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第七条 质量保证</w:t>
      </w:r>
    </w:p>
    <w:p w14:paraId="222A0282">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1、乙方须提供全新的、未使用过的合格正品货物（含零部件、配件等），完全符合合同规定的质量、规格和性能的要求。</w:t>
      </w:r>
    </w:p>
    <w:p w14:paraId="33893AEF">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2、乙方提供的节能和环保产品必须是列入政府采购清单的产品。</w:t>
      </w:r>
    </w:p>
    <w:p w14:paraId="4F7AA14F">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3、质量标准按照最新颁布的国家标准、行业标准或制造商企业标准确定，上述标准不一致的，以严格标准为准。</w:t>
      </w:r>
    </w:p>
    <w:p w14:paraId="60F18749">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4、乙方所提供货物还应符合国家和陕西省有关安全、环保、节能之规定，“3C ”认证的货物（产品）应加贴“3C ”认证标志。</w:t>
      </w:r>
    </w:p>
    <w:p w14:paraId="2B67E84C">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5、货物制造质量出现问题，乙方应负责三包（包修、包换、包退），费用由乙方负担，甲方有权到乙方生产场地检查货物质量和生产进度。</w:t>
      </w:r>
    </w:p>
    <w:p w14:paraId="43F52C24">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第八条 货物验收</w:t>
      </w:r>
    </w:p>
    <w:p w14:paraId="6DBE971E">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1、货物验收由甲方组织，乙方配合，并按下列程序进行：</w:t>
      </w:r>
    </w:p>
    <w:p w14:paraId="0C699302">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（1）交货验收时，乙方须提供质检部门产品抽样检查合格的检测报告（或制造 商自检报告）及所提供货物（产品）的合格证、装箱清单、配件、随机工具、用户使用手册（产品使用说明书）、保修卡等资料交付给甲方；</w:t>
      </w:r>
    </w:p>
    <w:p w14:paraId="7A3431EA">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（2）到货验收：货物到达后，按合同第一条款的货物清单和装箱单经行逐一核对，同时检查货物外观，是否有划痕或破损的，并做好相应记录；</w:t>
      </w:r>
    </w:p>
    <w:p w14:paraId="096CE5FE">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（3）货物初验：乙方应在货物到货之日起，日内全部完成安装调试完毕；乙方 安装调试完毕后日内完成初步验收；初步验收合格后，进入日试用期；试用期间发 生重大质量问题的乙方应按照甲方要求履行退换货责任，对于小的质量瑕疵在乙方修复后试用期相应顺延；</w:t>
      </w:r>
    </w:p>
    <w:p w14:paraId="71C22F57">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（4）货物终验：试用期结束后日内完成最终验收；</w:t>
      </w:r>
    </w:p>
    <w:p w14:paraId="76A8F108">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（5）质量验收合格，双方签署质量验收报告。</w:t>
      </w:r>
    </w:p>
    <w:p w14:paraId="545D2B1E">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2、货物验收依据：</w:t>
      </w:r>
    </w:p>
    <w:p w14:paraId="5D40DE20">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（1）采购文件；</w:t>
      </w:r>
    </w:p>
    <w:p w14:paraId="1B3A1E17">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（2）响应文件；</w:t>
      </w:r>
    </w:p>
    <w:p w14:paraId="3D4BAC70">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（3）采购合同及补充协议；</w:t>
      </w:r>
    </w:p>
    <w:p w14:paraId="53287578">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（4）质检部门抽样检查货物（产品）合格的检测报告。</w:t>
      </w:r>
    </w:p>
    <w:p w14:paraId="33F112C0">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3、货物验收时发现问题的处理办法：</w:t>
      </w:r>
    </w:p>
    <w:p w14:paraId="18DDED28">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（1）乙方提供不符合招标文件和本合同规定的货物（产品），甲方有权拒绝接受；</w:t>
      </w:r>
    </w:p>
    <w:p w14:paraId="65E03549">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2）如发现所交付的货物有短装、次品、损坏或其它不符合标准及本合同规定之情形者，甲方有权要求更换货物（产品），同时做出详尽的现场记录，或由甲乙双方签署备忘录，此现场记录或备忘录可用作补充、缺失和更换损坏部件或更换整个货物（产品）有效证据，由此产生的时间延误与有关费用由乙方承担，验收期限相应顺延；</w:t>
      </w:r>
    </w:p>
    <w:p w14:paraId="7DA761B7">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（3）如货物经乙方次维修仍不能达到合同约定的质量标准，甲方有权退货，并视作乙方不能交付货物而须支付违约赔偿金给甲方，甲方还可依法追究乙方的违约责任；</w:t>
      </w:r>
    </w:p>
    <w:p w14:paraId="05E7F957">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（4）货物安装完成后日内，甲方无故不进行验收工作并已使用货物的，视同已安装调试完成并验收合格；</w:t>
      </w:r>
    </w:p>
    <w:p w14:paraId="2B350181">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（5）乙方不能完整交付货物及本条第一款规定的单证和工具的，必须负责补齐，否则视为未按合同约定交货；</w:t>
      </w:r>
    </w:p>
    <w:p w14:paraId="641CA00E">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（6）超出合理磅差的处理方法：           。</w:t>
      </w:r>
    </w:p>
    <w:p w14:paraId="66BD929A">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第九条 售后服务</w:t>
      </w:r>
    </w:p>
    <w:p w14:paraId="057775C4">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乙方所供货物提供以下售后服务：</w:t>
      </w:r>
    </w:p>
    <w:p w14:paraId="78481ED6">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（一）质保期内：</w:t>
      </w:r>
    </w:p>
    <w:p w14:paraId="7CCA8012">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1、发生质量问题，接到甲方通知后，应于当日派出专业的维修人员到现场进行检测维修，发生的全部费用由乙方承担，若需送回生产厂，乙方承担往返费用。</w:t>
      </w:r>
    </w:p>
    <w:p w14:paraId="5EE1E96A">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2、定期派技术人员到现场走访，给予检查维护 。</w:t>
      </w:r>
    </w:p>
    <w:p w14:paraId="7C1D7F2B">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3、排除故障的期限不得超过     小时（工作日）。否则甲方有权指定第三方维修，维修费用由乙方承担。</w:t>
      </w:r>
    </w:p>
    <w:p w14:paraId="0FEFBBB2">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（二）质保期结束前，进行系统测试，全面保养维护，确保正常运行。</w:t>
      </w:r>
    </w:p>
    <w:p w14:paraId="1363FC6A">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第十条 履约保证金</w:t>
      </w:r>
    </w:p>
    <w:p w14:paraId="3174C355">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1、乙方在签订本合同之前，向甲方提交履约保证金人民币 / 元，￥ / 元。</w:t>
      </w:r>
    </w:p>
    <w:p w14:paraId="4679BF37">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2、履约保证金的有效期为乙方承诺的货物（产品）质保期。</w:t>
      </w:r>
    </w:p>
    <w:p w14:paraId="2778843A">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3、如乙方未能履行合同规定的义务，甲方有权从履约保证金中取得补偿。</w:t>
      </w:r>
    </w:p>
    <w:p w14:paraId="4E0E0F0C">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4、货物（产品）质保期结束后，甲方财务部门接到甲方确认本合同货物质量与服务等约定事项已经履行完毕的正式书面文件后的日内，向乙方退还履约保证金。</w:t>
      </w:r>
    </w:p>
    <w:p w14:paraId="7BFADD55">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5、乙方可以以履约担保函的形式交纳履约保证金。</w:t>
      </w:r>
    </w:p>
    <w:p w14:paraId="61D53FA3">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第十一条 违约责任</w:t>
      </w:r>
    </w:p>
    <w:p w14:paraId="1D4AB5DB">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1、甲方违约责任</w:t>
      </w:r>
    </w:p>
    <w:p w14:paraId="6F1D958A">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（1）甲方无正当理由拒收货物的，甲方应偿付合同总价     %的违约金；</w:t>
      </w:r>
    </w:p>
    <w:p w14:paraId="30FE7168">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（2）甲方逾期支付货款的，除应及时付足货款外，应向乙方每天支付欠款总额      ‰的滞纳金；但累计滞纳金总额不超过欠款总额的      %。</w:t>
      </w:r>
    </w:p>
    <w:p w14:paraId="76DA0A62">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2、乙方违约责任</w:t>
      </w:r>
    </w:p>
    <w:p w14:paraId="675D5B20">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（1）如乙方不能交付货物，乙方应向甲方支付合同总价     ％的违约金；</w:t>
      </w:r>
    </w:p>
    <w:p w14:paraId="08E43846">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（2）乙方逾期交付货物的，每逾期 1 天，乙方向甲方偿付逾期交货部分货款总额的     ‰的滞纳金。如乙方逾期交货达      天，甲方有权解除合同，解除合同的通知自到达乙方时生效；</w:t>
      </w:r>
    </w:p>
    <w:p w14:paraId="6134FF02">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（3）乙方所交付的货物品种、型号、规格不符合合同规定的，甲方有权拒收。甲方拒收的，乙方应向甲方支付货款总额        %的违约金；</w:t>
      </w:r>
    </w:p>
    <w:p w14:paraId="05C25DF5">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4）乙方货物经甲方送交具有法定资格条件的质量技术监督机构检测后，如检测结果认定货物质量不符合本合同规定标准的，则视为乙方没有按时交货而违约，乙方须在天内无条件更换合格的货物，如逾期不能更换合格的货物，甲方有权终止本合同，乙方应另向甲方支付货款总额的        %的违约金；</w:t>
      </w:r>
    </w:p>
    <w:p w14:paraId="6E97D9DE">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（5）在乙方承诺的或国家规定的质量保证期内（取两者中最长的期限），如经 乙方两次维修或更换，货物仍不能达到合同约定的质量标准，甲方有权退货，乙方应退回全部货款，并按第 3 款处理，同时，乙方还须赔偿甲方因此遭受的损失；</w:t>
      </w:r>
    </w:p>
    <w:p w14:paraId="76CCD2B1">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（6）乙方未按本合同的规定和“服务承诺 ”提供伴随服务/售后服务的，应按合同总价款的%向甲方承担违约责任；</w:t>
      </w:r>
    </w:p>
    <w:p w14:paraId="3A536A95">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（7）乙方在承担上述 1-7 款一项或多项违约责任后，仍应继续履行合同规定的 义务（甲方解除合同的除外）。甲方未能及时追究乙方的任何一项违约责任并不表明甲方放弃追究乙方该项或其他违约责任；</w:t>
      </w:r>
    </w:p>
    <w:p w14:paraId="4A4A17EF">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（8）乙方偿付的违约金不足以弥补甲方损失的，还应按甲方损失尚未弥补的部分，支付赔偿金给甲方。</w:t>
      </w:r>
    </w:p>
    <w:p w14:paraId="39215CA7">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第十二条 合同的变更和终止</w:t>
      </w:r>
    </w:p>
    <w:p w14:paraId="740F43D8">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除《中华人民共和国政府采购法》第49 条、第50条第二款规定的情形外，本合同一经签订，甲乙双方不得擅自变更、中止或终止合同。</w:t>
      </w:r>
    </w:p>
    <w:p w14:paraId="7F3556B9">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第十三条 争议的解决</w:t>
      </w:r>
    </w:p>
    <w:p w14:paraId="1F89DA17">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1、因货物的质量问题发生争议，由质量技术监督部门或其指定的质量鉴定机构进行质量鉴定。货物符合标准的，鉴定费由甲方承担；货物不符合质量标准的，鉴定费由乙方承担。</w:t>
      </w:r>
    </w:p>
    <w:p w14:paraId="01B9BE54">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2、因履行本合同引起的或与本合同有关的争议，甲、乙双方应首先通过友好协商解决，如果协商不成，则采取以下第  (2)   种方式解决争议：</w:t>
      </w:r>
    </w:p>
    <w:p w14:paraId="45777761">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（1）向甲方所在地有管辖权的人民法院提起诉讼；</w:t>
      </w:r>
    </w:p>
    <w:p w14:paraId="4819365A">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（2）向西安仲裁委员会按其仲裁规则申请仲裁。</w:t>
      </w:r>
    </w:p>
    <w:p w14:paraId="35AB6D33">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3、在仲裁期间，本合同应继续履行。</w:t>
      </w:r>
    </w:p>
    <w:p w14:paraId="16CEDA61">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第十四条 合同生效及其他</w:t>
      </w:r>
    </w:p>
    <w:p w14:paraId="288F4F18">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1、如有未尽事宜，由双方依法订立补充合同。</w:t>
      </w:r>
    </w:p>
    <w:p w14:paraId="0F69EC86">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2、本合同自签订之日起生效。</w:t>
      </w:r>
    </w:p>
    <w:p w14:paraId="4A9B1B8C">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3、本合同一式       份，具有同等法律效力，甲乙双方各执      份。</w:t>
      </w:r>
    </w:p>
    <w:p w14:paraId="3D948A6E">
      <w:pPr>
        <w:pageBreakBefore w:val="0"/>
        <w:kinsoku/>
        <w:topLinePunct w:val="0"/>
        <w:bidi w:val="0"/>
        <w:spacing w:line="360" w:lineRule="auto"/>
        <w:rPr>
          <w:rFonts w:hint="eastAsia" w:ascii="宋体" w:hAnsi="宋体" w:eastAsia="宋体" w:cs="宋体"/>
          <w:sz w:val="24"/>
          <w:szCs w:val="24"/>
          <w:highlight w:val="none"/>
        </w:rPr>
      </w:pPr>
    </w:p>
    <w:p w14:paraId="0F94792B">
      <w:pPr>
        <w:pageBreakBefore w:val="0"/>
        <w:kinsoku/>
        <w:topLinePunct w:val="0"/>
        <w:bidi w:val="0"/>
        <w:spacing w:line="360" w:lineRule="auto"/>
        <w:rPr>
          <w:rFonts w:hint="eastAsia" w:ascii="宋体" w:hAnsi="宋体" w:eastAsia="宋体" w:cs="宋体"/>
          <w:sz w:val="24"/>
          <w:szCs w:val="24"/>
          <w:highlight w:val="none"/>
        </w:rPr>
      </w:pPr>
    </w:p>
    <w:p w14:paraId="0A9AEBF6">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甲方：  （盖章）               </w:t>
      </w:r>
      <w:r>
        <w:rPr>
          <w:rFonts w:hint="eastAsia" w:ascii="宋体" w:hAnsi="宋体" w:cs="宋体"/>
          <w:sz w:val="24"/>
          <w:szCs w:val="24"/>
          <w:highlight w:val="none"/>
          <w:lang w:val="en-US" w:eastAsia="zh-CN"/>
        </w:rPr>
        <w:t xml:space="preserve">    </w:t>
      </w:r>
      <w:r>
        <w:rPr>
          <w:rFonts w:hint="eastAsia" w:ascii="宋体" w:hAnsi="宋体" w:eastAsia="宋体" w:cs="宋体"/>
          <w:sz w:val="24"/>
          <w:szCs w:val="24"/>
          <w:highlight w:val="none"/>
        </w:rPr>
        <w:t xml:space="preserve">   乙方：  （盖章）</w:t>
      </w:r>
    </w:p>
    <w:p w14:paraId="5FE1384D">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法定代表人/授权代表：             </w:t>
      </w:r>
      <w:r>
        <w:rPr>
          <w:rFonts w:hint="eastAsia" w:ascii="宋体" w:hAnsi="宋体" w:cs="宋体"/>
          <w:sz w:val="24"/>
          <w:szCs w:val="24"/>
          <w:highlight w:val="none"/>
          <w:lang w:val="en-US" w:eastAsia="zh-CN"/>
        </w:rPr>
        <w:t xml:space="preserve">   </w:t>
      </w:r>
      <w:r>
        <w:rPr>
          <w:rFonts w:hint="eastAsia" w:ascii="宋体" w:hAnsi="宋体" w:eastAsia="宋体" w:cs="宋体"/>
          <w:sz w:val="24"/>
          <w:szCs w:val="24"/>
          <w:highlight w:val="none"/>
        </w:rPr>
        <w:t xml:space="preserve"> 法定代表人/授权代表：</w:t>
      </w:r>
    </w:p>
    <w:p w14:paraId="1E500E52">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地    址：                        </w:t>
      </w:r>
      <w:r>
        <w:rPr>
          <w:rFonts w:hint="eastAsia" w:ascii="宋体" w:hAnsi="宋体" w:cs="宋体"/>
          <w:sz w:val="24"/>
          <w:szCs w:val="24"/>
          <w:highlight w:val="none"/>
          <w:lang w:val="en-US" w:eastAsia="zh-CN"/>
        </w:rPr>
        <w:t xml:space="preserve">   </w:t>
      </w:r>
      <w:r>
        <w:rPr>
          <w:rFonts w:hint="eastAsia" w:ascii="宋体" w:hAnsi="宋体" w:eastAsia="宋体" w:cs="宋体"/>
          <w:sz w:val="24"/>
          <w:szCs w:val="24"/>
          <w:highlight w:val="none"/>
        </w:rPr>
        <w:t xml:space="preserve"> 地    址：</w:t>
      </w:r>
    </w:p>
    <w:p w14:paraId="7A4C59B1">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开户银行：                        </w:t>
      </w:r>
      <w:r>
        <w:rPr>
          <w:rFonts w:hint="eastAsia" w:ascii="宋体" w:hAnsi="宋体" w:cs="宋体"/>
          <w:sz w:val="24"/>
          <w:szCs w:val="24"/>
          <w:highlight w:val="none"/>
          <w:lang w:val="en-US" w:eastAsia="zh-CN"/>
        </w:rPr>
        <w:t xml:space="preserve">   </w:t>
      </w:r>
      <w:r>
        <w:rPr>
          <w:rFonts w:hint="eastAsia" w:ascii="宋体" w:hAnsi="宋体" w:eastAsia="宋体" w:cs="宋体"/>
          <w:sz w:val="24"/>
          <w:szCs w:val="24"/>
          <w:highlight w:val="none"/>
        </w:rPr>
        <w:t xml:space="preserve"> 开户银行：</w:t>
      </w:r>
    </w:p>
    <w:p w14:paraId="4B34B356">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账    号：                          </w:t>
      </w:r>
      <w:r>
        <w:rPr>
          <w:rFonts w:hint="eastAsia" w:ascii="宋体" w:hAnsi="宋体" w:cs="宋体"/>
          <w:sz w:val="24"/>
          <w:szCs w:val="24"/>
          <w:highlight w:val="none"/>
          <w:lang w:val="en-US" w:eastAsia="zh-CN"/>
        </w:rPr>
        <w:t xml:space="preserve">  </w:t>
      </w:r>
      <w:r>
        <w:rPr>
          <w:rFonts w:hint="eastAsia" w:ascii="宋体" w:hAnsi="宋体" w:eastAsia="宋体" w:cs="宋体"/>
          <w:sz w:val="24"/>
          <w:szCs w:val="24"/>
          <w:highlight w:val="none"/>
        </w:rPr>
        <w:t>账    号：</w:t>
      </w:r>
    </w:p>
    <w:p w14:paraId="5402134C">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电    话：                          </w:t>
      </w:r>
      <w:r>
        <w:rPr>
          <w:rFonts w:hint="eastAsia" w:ascii="宋体" w:hAnsi="宋体" w:cs="宋体"/>
          <w:sz w:val="24"/>
          <w:szCs w:val="24"/>
          <w:highlight w:val="none"/>
          <w:lang w:val="en-US" w:eastAsia="zh-CN"/>
        </w:rPr>
        <w:t xml:space="preserve">  </w:t>
      </w:r>
      <w:r>
        <w:rPr>
          <w:rFonts w:hint="eastAsia" w:ascii="宋体" w:hAnsi="宋体" w:eastAsia="宋体" w:cs="宋体"/>
          <w:sz w:val="24"/>
          <w:szCs w:val="24"/>
          <w:highlight w:val="none"/>
        </w:rPr>
        <w:t xml:space="preserve"> 电    话：</w:t>
      </w:r>
    </w:p>
    <w:p w14:paraId="4E885772">
      <w:pPr>
        <w:pageBreakBefore w:val="0"/>
        <w:kinsoku/>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传    真：                        </w:t>
      </w:r>
      <w:r>
        <w:rPr>
          <w:rFonts w:hint="eastAsia" w:ascii="宋体" w:hAnsi="宋体" w:cs="宋体"/>
          <w:sz w:val="24"/>
          <w:szCs w:val="24"/>
          <w:highlight w:val="none"/>
          <w:lang w:val="en-US" w:eastAsia="zh-CN"/>
        </w:rPr>
        <w:t xml:space="preserve">    </w:t>
      </w:r>
      <w:r>
        <w:rPr>
          <w:rFonts w:hint="eastAsia" w:ascii="宋体" w:hAnsi="宋体" w:eastAsia="宋体" w:cs="宋体"/>
          <w:sz w:val="24"/>
          <w:szCs w:val="24"/>
          <w:highlight w:val="none"/>
        </w:rPr>
        <w:t xml:space="preserve"> 传    真：</w:t>
      </w:r>
    </w:p>
    <w:p w14:paraId="0AD805A0">
      <w:pPr>
        <w:pageBreakBefore w:val="0"/>
        <w:kinsoku/>
        <w:topLinePunct w:val="0"/>
        <w:bidi w:val="0"/>
        <w:spacing w:line="360" w:lineRule="auto"/>
        <w:rPr>
          <w:rFonts w:hint="eastAsia" w:ascii="宋体" w:hAnsi="宋体" w:eastAsia="宋体" w:cs="宋体"/>
          <w:sz w:val="24"/>
          <w:szCs w:val="24"/>
        </w:rPr>
      </w:pPr>
      <w:r>
        <w:rPr>
          <w:rFonts w:hint="eastAsia" w:ascii="宋体" w:hAnsi="宋体" w:eastAsia="宋体" w:cs="宋体"/>
          <w:sz w:val="24"/>
          <w:szCs w:val="24"/>
          <w:highlight w:val="none"/>
        </w:rPr>
        <w:t xml:space="preserve">签约日期：    年  月  日         </w:t>
      </w:r>
      <w:r>
        <w:rPr>
          <w:rFonts w:hint="eastAsia" w:ascii="宋体" w:hAnsi="宋体" w:cs="宋体"/>
          <w:sz w:val="24"/>
          <w:szCs w:val="24"/>
          <w:highlight w:val="none"/>
          <w:lang w:val="en-US" w:eastAsia="zh-CN"/>
        </w:rPr>
        <w:t xml:space="preserve">    </w:t>
      </w:r>
      <w:r>
        <w:rPr>
          <w:rFonts w:hint="eastAsia" w:ascii="宋体" w:hAnsi="宋体" w:eastAsia="宋体" w:cs="宋体"/>
          <w:sz w:val="24"/>
          <w:szCs w:val="24"/>
          <w:highlight w:val="none"/>
        </w:rPr>
        <w:t xml:space="preserve">  签约日期：    年   月   日  </w:t>
      </w:r>
    </w:p>
    <w:p w14:paraId="1E73D630">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0AFF" w:usb1="00007843" w:usb2="00000001" w:usb3="00000000" w:csb0="400001BF" w:csb1="DFF7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DEB69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Indent"/>
    <w:basedOn w:val="1"/>
    <w:next w:val="1"/>
    <w:qFormat/>
    <w:uiPriority w:val="99"/>
    <w:pPr>
      <w:ind w:firstLine="420"/>
    </w:pPr>
    <w:rPr>
      <w:rFonts w:ascii="Times New Roman" w:hAnsi="Times New Roma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2026-07-07T08:18:10Z</dcterms:created>
  <dc:creator>Administrator</dc:creator>
  <cp:lastModifiedBy>肖先生</cp:lastModifiedBy>
  <dcterms:modified xsi:type="dcterms:W3CDTF">2026-07-07T08:18:23Z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eyJoZGlkIjoiNWVlYWVhMDIwYzYzODAwMzBhMDhhNzRhNjk3YjBlNjQiLCJ1c2VySWQiOiIzNTUwNDA0OTMifQ==</vt:lpwstr>
  </property>
  <property fmtid="{D5CDD505-2E9C-101B-9397-08002B2CF9AE}" pid="4" name="ICV">
    <vt:lpwstr>5626E740E82D4FCEAC6E7761423BCC7E_12</vt:lpwstr>
  </property>
</Properties>
</file>