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版本号：DQB-2026022-US20260527002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陕西省危化品西南运输通道交通安全管控能力提升工程光、电缆租赁项目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DQB-2026022-US</w:t>
      </w:r>
      <w:r>
        <w:br/>
      </w:r>
      <w:r>
        <w:br/>
      </w:r>
      <w:r>
        <w:br/>
      </w:r>
    </w:p>
    <w:p>
      <w:pPr>
        <w:pStyle w:val="null3"/>
        <w:jc w:val="center"/>
        <w:outlineLvl w:val="5"/>
      </w:pPr>
      <w:r>
        <w:rPr>
          <w:rFonts w:ascii="仿宋_GB2312" w:hAnsi="仿宋_GB2312" w:cs="仿宋_GB2312" w:eastAsia="仿宋_GB2312"/>
          <w:sz w:val="15"/>
          <w:b/>
        </w:rPr>
        <w:t>陕西省公安厅交通管理总队（交通管理局）</w:t>
      </w:r>
    </w:p>
    <w:p>
      <w:pPr>
        <w:pStyle w:val="null3"/>
        <w:jc w:val="center"/>
        <w:outlineLvl w:val="5"/>
      </w:pPr>
      <w:r>
        <w:rPr>
          <w:rFonts w:ascii="仿宋_GB2312" w:hAnsi="仿宋_GB2312" w:cs="仿宋_GB2312" w:eastAsia="仿宋_GB2312"/>
          <w:sz w:val="15"/>
          <w:b/>
        </w:rPr>
        <w:t>陕西德勤招标有限公司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陕西省危化品西南运输通道交通安全管控能力提升工程光、电缆租赁项目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DQB-2026022-US</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陕西省危化品西南运输通道交通安全管控能力提升工程光、电缆租赁项目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陕西省危化品西南运输通道交通安全管控能力提升工程光、电缆租赁。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采购包1（陕西省危化品西南运输通道交通安全管控能力提升工程光、电缆租赁）：属于专门面向中小企业采购。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银行账号：52880188000158033</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参照国家计委关于印发《招标代理服务收费管理暂行办法》的通知（计价格〔2002〕1980号）、《国家发展和改革委员会办公厅关于招标代理服务收费有关问题的通知》（发改办价格〔2003〕857号）文件规定，按三年收取，成交供应商参照相关标准，一次性向代理机构支付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陕西省危化品西南运输通道交通安全管控能力提升工程光、电缆租赁项目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陕西省危化品西南运输通道交通安全管控能力提升工程光电缆租赁项目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标的名称：陕西省危化品西南运输通道交通安全管控能力提升工程光电缆租赁项目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项目</w:t>
            </w:r>
            <w:r>
              <w:rPr>
                <w:rFonts w:ascii="仿宋_GB2312" w:hAnsi="仿宋_GB2312" w:cs="仿宋_GB2312" w:eastAsia="仿宋_GB2312"/>
              </w:rPr>
              <w:t>概况</w:t>
            </w:r>
          </w:p>
          <w:p>
            <w:pPr>
              <w:pStyle w:val="null3"/>
            </w:pPr>
            <w:r>
              <w:rPr>
                <w:rFonts w:ascii="仿宋_GB2312" w:hAnsi="仿宋_GB2312" w:cs="仿宋_GB2312" w:eastAsia="仿宋_GB2312"/>
              </w:rPr>
              <w:t>该项目位于</w:t>
            </w:r>
            <w:r>
              <w:rPr>
                <w:rFonts w:ascii="仿宋_GB2312" w:hAnsi="仿宋_GB2312" w:cs="仿宋_GB2312" w:eastAsia="仿宋_GB2312"/>
              </w:rPr>
              <w:t>G85 银昆线（宝鸡潘家湾枢纽至石门枢纽），线路全长160.476公里，截止目前G85银昆高速宝鸡至石门枢纽段已按照设计要求已完成该段所有设备基础、立杆、摄像机及检测设备安装，同时汉中段（田坝枢纽至石门枢纽）其他标段所供设备安装单机调试也已完成。</w:t>
            </w:r>
          </w:p>
          <w:p>
            <w:pPr>
              <w:pStyle w:val="null3"/>
            </w:pPr>
            <w:r>
              <w:rPr>
                <w:rFonts w:ascii="仿宋_GB2312" w:hAnsi="仿宋_GB2312" w:cs="仿宋_GB2312" w:eastAsia="仿宋_GB2312"/>
              </w:rPr>
              <w:t>现阶段项目硬件设备安装及单机调试工作均已完成，但项目无可用自建传输及供电通道，已安装的外场机电设备无法实现联调，导致无法开展后续系统调试、试运行等工作。故租赁对应规格供电和网络通信及配套运维服务，搭建供电及通信传输通道，保障机电系统正常联调运行。</w:t>
            </w:r>
          </w:p>
          <w:p>
            <w:pPr>
              <w:pStyle w:val="null3"/>
            </w:pPr>
            <w:r>
              <w:rPr>
                <w:rFonts w:ascii="仿宋_GB2312" w:hAnsi="仿宋_GB2312" w:cs="仿宋_GB2312" w:eastAsia="仿宋_GB2312"/>
              </w:rPr>
              <w:t>二、服务清单及要求</w:t>
            </w:r>
          </w:p>
          <w:p>
            <w:pPr>
              <w:pStyle w:val="null3"/>
            </w:pPr>
            <w:r>
              <w:rPr>
                <w:rFonts w:ascii="仿宋_GB2312" w:hAnsi="仿宋_GB2312" w:cs="仿宋_GB2312" w:eastAsia="仿宋_GB2312"/>
              </w:rPr>
              <w:t>1.服务清单</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YJV22 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10581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YJV22 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28634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YJV22 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YJV22 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YJV22 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YJV22 4*16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8720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9"/>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GYTA53-12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9"/>
                    </w:rPr>
                    <w:t>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9"/>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配套运维服务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bl>
          <w:p>
            <w:pPr>
              <w:pStyle w:val="null3"/>
            </w:pPr>
            <w:r>
              <w:rPr>
                <w:rFonts w:ascii="仿宋_GB2312" w:hAnsi="仿宋_GB2312" w:cs="仿宋_GB2312" w:eastAsia="仿宋_GB2312"/>
              </w:rPr>
              <w:t>2.服务要求</w:t>
            </w:r>
          </w:p>
          <w:p>
            <w:pPr>
              <w:pStyle w:val="null3"/>
            </w:pPr>
            <w:r>
              <w:rPr>
                <w:rFonts w:ascii="仿宋_GB2312" w:hAnsi="仿宋_GB2312" w:cs="仿宋_GB2312" w:eastAsia="仿宋_GB2312"/>
              </w:rPr>
              <w:t>以租赁模式购买供电和网络通信服务（含服务期内所产生的电费），满足总队对数据传输和电力供应的需求，供应商应保证线缆链路的稳定性，保障交通安全管控设备的正常运行。</w:t>
            </w:r>
          </w:p>
          <w:p>
            <w:pPr>
              <w:pStyle w:val="null3"/>
            </w:pPr>
            <w:r>
              <w:rPr>
                <w:rFonts w:ascii="仿宋_GB2312" w:hAnsi="仿宋_GB2312" w:cs="仿宋_GB2312" w:eastAsia="仿宋_GB2312"/>
              </w:rPr>
              <w:t>3.</w:t>
            </w:r>
            <w:r>
              <w:rPr>
                <w:rFonts w:ascii="仿宋_GB2312" w:hAnsi="仿宋_GB2312" w:cs="仿宋_GB2312" w:eastAsia="仿宋_GB2312"/>
              </w:rPr>
              <w:t>运维服务标准：</w:t>
            </w:r>
          </w:p>
          <w:p>
            <w:pPr>
              <w:pStyle w:val="null3"/>
            </w:pPr>
            <w:r>
              <w:rPr>
                <w:rFonts w:ascii="仿宋_GB2312" w:hAnsi="仿宋_GB2312" w:cs="仿宋_GB2312" w:eastAsia="仿宋_GB2312"/>
              </w:rPr>
              <w:t>3.1乙方运维服务须符合《中华人民共和国政府采购法》《民法典》等规定。</w:t>
            </w:r>
          </w:p>
          <w:p>
            <w:pPr>
              <w:pStyle w:val="null3"/>
            </w:pPr>
            <w:r>
              <w:rPr>
                <w:rFonts w:ascii="仿宋_GB2312" w:hAnsi="仿宋_GB2312" w:cs="仿宋_GB2312" w:eastAsia="仿宋_GB2312"/>
              </w:rPr>
              <w:t>3.2服务覆盖针对本项目的电缆租赁及配套运维服务。</w:t>
            </w:r>
          </w:p>
          <w:p>
            <w:pPr>
              <w:pStyle w:val="null3"/>
            </w:pPr>
            <w:r>
              <w:rPr>
                <w:rFonts w:ascii="仿宋_GB2312" w:hAnsi="仿宋_GB2312" w:cs="仿宋_GB2312" w:eastAsia="仿宋_GB2312"/>
              </w:rPr>
              <w:t>4.故障处置：</w:t>
            </w:r>
          </w:p>
          <w:p>
            <w:pPr>
              <w:pStyle w:val="null3"/>
            </w:pPr>
            <w:r>
              <w:rPr>
                <w:rFonts w:ascii="仿宋_GB2312" w:hAnsi="仿宋_GB2312" w:cs="仿宋_GB2312" w:eastAsia="仿宋_GB2312"/>
              </w:rPr>
              <w:t>4.1故障分级处置，明确响应及修复时限，流程全程留痕，供应商承担全部相关责任，重大故障按要求报备监管部门。</w:t>
            </w:r>
          </w:p>
          <w:p>
            <w:pPr>
              <w:pStyle w:val="null3"/>
            </w:pPr>
            <w:r>
              <w:rPr>
                <w:rFonts w:ascii="仿宋_GB2312" w:hAnsi="仿宋_GB2312" w:cs="仿宋_GB2312" w:eastAsia="仿宋_GB2312"/>
              </w:rPr>
              <w:t>5.链路保障：</w:t>
            </w:r>
          </w:p>
          <w:p>
            <w:pPr>
              <w:pStyle w:val="null3"/>
            </w:pPr>
            <w:r>
              <w:rPr>
                <w:rFonts w:ascii="仿宋_GB2312" w:hAnsi="仿宋_GB2312" w:cs="仿宋_GB2312" w:eastAsia="仿宋_GB2312"/>
              </w:rPr>
              <w:t>保障链路稳定，主备双链路切换达标，做好防护及实时监测，完善应急保障，物资采购符合政府采购政策。</w:t>
            </w:r>
          </w:p>
          <w:p>
            <w:pPr>
              <w:pStyle w:val="null3"/>
            </w:pPr>
            <w:r>
              <w:rPr>
                <w:rFonts w:ascii="仿宋_GB2312" w:hAnsi="仿宋_GB2312" w:cs="仿宋_GB2312" w:eastAsia="仿宋_GB2312"/>
              </w:rPr>
              <w:t>6.验收细则：</w:t>
            </w:r>
          </w:p>
          <w:p>
            <w:pPr>
              <w:pStyle w:val="null3"/>
            </w:pPr>
            <w:r>
              <w:rPr>
                <w:rFonts w:ascii="仿宋_GB2312" w:hAnsi="仿宋_GB2312" w:cs="仿宋_GB2312" w:eastAsia="仿宋_GB2312"/>
              </w:rPr>
              <w:t>由多方共同验收，分故障修复、月度、年度三类验收，不合格项由供应商限期整改并承担费用。</w:t>
            </w:r>
          </w:p>
          <w:p>
            <w:pPr>
              <w:pStyle w:val="null3"/>
            </w:pPr>
            <w:r>
              <w:rPr>
                <w:rFonts w:ascii="仿宋_GB2312" w:hAnsi="仿宋_GB2312" w:cs="仿宋_GB2312" w:eastAsia="仿宋_GB2312"/>
              </w:rPr>
              <w:t>7.考核扣款等条款：</w:t>
            </w:r>
          </w:p>
          <w:p>
            <w:pPr>
              <w:pStyle w:val="null3"/>
            </w:pPr>
            <w:r>
              <w:rPr>
                <w:rFonts w:ascii="仿宋_GB2312" w:hAnsi="仿宋_GB2312" w:cs="仿宋_GB2312" w:eastAsia="仿宋_GB2312"/>
                <w:sz w:val="21"/>
              </w:rPr>
              <w:t>服务周期结束根据考核标准对供应商服务质量进行评价。服务质量评价结果作为服务最终支付款额、合同是否继续履行的依据。</w:t>
            </w:r>
            <w:r>
              <w:rPr>
                <w:rFonts w:ascii="仿宋_GB2312" w:hAnsi="仿宋_GB2312" w:cs="仿宋_GB2312" w:eastAsia="仿宋_GB2312"/>
                <w:sz w:val="21"/>
              </w:rPr>
              <w:t>采购人</w:t>
            </w:r>
            <w:r>
              <w:rPr>
                <w:rFonts w:ascii="仿宋_GB2312" w:hAnsi="仿宋_GB2312" w:cs="仿宋_GB2312" w:eastAsia="仿宋_GB2312"/>
                <w:sz w:val="21"/>
              </w:rPr>
              <w:t>有权根据考评结果对供应商做出处罚。结合履约情况进行考核，考核结果不达标，违规严重者将终止合同并追究责任。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具备满足采购需求的人员配置。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具备满足采购需求的设施设备。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1.首期服务期限是1年，每年对应的项目预算为80万元； 2.首期满后供应商服务质量达标、履约无违约情形，双方协商一致，可续签合同，最长不超过3年。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进度款，服务完成，达到付款条件起30个工作日内，支付合同总金额的100.0%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1.供应商将依据签署的合同，并参照成交供应商提供的采购文件对其提供的服务进行验收。 2.验收依据：(1)采购文件、响应文件、澄清表(如有)；(2)本项目采购合同及附件文本；(3)合同签订时国家及行业现行的标准和技术规范。 3.成交供应商向采购人提交项目实施过程中的所有资料，以便采购人日后管理和维护。 4.采购及人相关人员组成验收小组完成验收。双方根据最终验收情况，编写验收报告。成交供应商应完成项目验收资料的准备。 本项目的实施过程中将产生大量的技术及管理文档，成交供应商应协助采购人，负责建立、维护、交接项目实施过程中产生的各类文档，确保项目文档的内容体现本项目的实施过程，并确保项目文档的完整性和准确性。 供应商按照要求提交全部项目文档。</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不可抗力外，如果成交供应商没有按照本合同约定的期限、地点和方式履行，那么采购人可要求成交供应商支付违约金，违约金按每迟延履行一日的应提供而未提供服务价格的0.05%计算，最高不超过合同总价的5%；迟延履行的违约金计算数额达到前述最高限额之日起，采购人有权在要求成交供应商支付违约金的同时，书面通知乙方解除本合同。 （2）除不可抗力外，如果采购人没有按照本合同约定的付款方式付款，那么成交供应商可要求采购人支付违约金，违约金按每迟延付款一日的应付而未付款的0.05%计算，最高不超过合同总价的5%；迟延付款的违约金计算数额达到前述最高限额之日起，成交供应商有权在要求采购人支付违约金的同时，书面通知采购人解除本合同。 （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 （4）合同执行中发生争议的，采购人、成交供应商双方应协商解决，协商达不成一致时，可向采购人所在地人民法院提请诉讼。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续页码），在封口处加盖供应商公章；纸质响应文件递交截止时间与线上开评标时间一致；纸质响应文件可邮寄递交，应于递交响应文件截止时间前邮寄到代理机构（地点：西安市高新区丈八一路1号汇鑫中心D座2206陕西德勤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法定代表人授权书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响应文件语言及有效期符合招标文件要求。</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法定代表人授权书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法定代表人授权书 响应文件封面 近三年无重大违法、违纪书面声明 残疾人福利性单位声明函 标的清单 响应函 书面声明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