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版本号：HJCS2601-02820260520001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网络安全协调指挥平台运维及技术服务项目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HJCS2601-028</w:t>
      </w:r>
      <w:r>
        <w:br/>
      </w:r>
      <w:r>
        <w:br/>
      </w:r>
      <w:r>
        <w:br/>
      </w:r>
    </w:p>
    <w:p>
      <w:pPr>
        <w:pStyle w:val="null3"/>
        <w:jc w:val="center"/>
        <w:outlineLvl w:val="2"/>
      </w:pPr>
      <w:r>
        <w:rPr>
          <w:rFonts w:ascii="仿宋_GB2312" w:hAnsi="仿宋_GB2312" w:cs="仿宋_GB2312" w:eastAsia="仿宋_GB2312"/>
          <w:sz w:val="28"/>
          <w:b/>
        </w:rPr>
        <w:t>陕西省互联网信息办公室</w:t>
      </w:r>
    </w:p>
    <w:p>
      <w:pPr>
        <w:pStyle w:val="null3"/>
        <w:jc w:val="center"/>
        <w:outlineLvl w:val="2"/>
      </w:pPr>
      <w:r>
        <w:rPr>
          <w:rFonts w:ascii="仿宋_GB2312" w:hAnsi="仿宋_GB2312" w:cs="仿宋_GB2312" w:eastAsia="仿宋_GB2312"/>
          <w:sz w:val="28"/>
          <w:b/>
        </w:rPr>
        <w:t>陕西海佳项目管理有限公司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陕西省互联网信息办公室</w:t>
      </w:r>
      <w:r>
        <w:rPr>
          <w:rFonts w:ascii="仿宋_GB2312" w:hAnsi="仿宋_GB2312" w:cs="仿宋_GB2312" w:eastAsia="仿宋_GB2312"/>
        </w:rPr>
        <w:t>委托，拟对</w:t>
      </w:r>
      <w:r>
        <w:rPr>
          <w:rFonts w:ascii="仿宋_GB2312" w:hAnsi="仿宋_GB2312" w:cs="仿宋_GB2312" w:eastAsia="仿宋_GB2312"/>
        </w:rPr>
        <w:t>网络安全协调指挥平台运维及技术服务项目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HJCS2601-028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网络安全协调指挥平台运维及技术服务项目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相关法规政策规定、网络信息系统运维标准和技术规范，建立陕西省互联网信息办公室网络安全协调指挥平台运维及技术服务工作体系，保障陕西省互联网信息办公室网络安全协调指挥平台系统的规范化管理和安全高效运行。要求符合国家、地方、行业相关合格标准及采购人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本次采购采取书面推荐邀请磋商的供应商。</w:t>
      </w:r>
    </w:p>
    <w:p>
      <w:pPr>
        <w:pStyle w:val="null3"/>
      </w:pPr>
      <w:r>
        <w:rPr>
          <w:rFonts w:ascii="仿宋_GB2312" w:hAnsi="仿宋_GB2312" w:cs="仿宋_GB2312" w:eastAsia="仿宋_GB2312"/>
        </w:rPr>
        <w:t xml:space="preserve"> 书面推荐：通过采购人和评审专家各自出具书面推荐意见，推荐符合相应资格条件的供应商参与本次采购活动；</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采购包1（网络安全协调指挥平台运维及技术服务项目）：属于专门面向中小企业采购。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代理服务费收费标准：（1）采购代理服务费参照国家计委《招标代理服务收费管理暂行办法》（计价格[2002]1980号）规定的收费标准收取。（2）采购代理服务费缴纳账户： 开户名称：陕西海佳项目管理有限公司 开户银行： 招商银行股份有限公司西安城西支行 账 号： 129911759510401。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陕西省互联网信息办公室</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陕西省互联网信息办公室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联系人：雷鹏飞</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地址：陕西省西安市高新区唐延路35号旺座现代城C座2604室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相关法规政策规定、网络信息系统运维标准和技术规范，建立陕西省互联网信息办公室网络安全协调指挥平台运维及技术服务工作体系，保障陕西省互联网信息办公室网络安全协调指挥平台系统的规范化管理和安全高效运行。要求符合国家、地方、行业相关合格标准及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网络安全协调指挥平台运维及技术服务项目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标的名称：网络安全协调指挥平台运维及技术服务项目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ind w:left="-15"/>
              <w:jc w:val="left"/>
              <w:outlineLvl w:val="0"/>
            </w:pPr>
            <w:r>
              <w:rPr>
                <w:rFonts w:ascii="仿宋_GB2312" w:hAnsi="仿宋_GB2312" w:cs="仿宋_GB2312" w:eastAsia="仿宋_GB2312"/>
                <w:sz w:val="20"/>
                <w:b/>
              </w:rPr>
              <w:t>一、</w:t>
            </w:r>
            <w:r>
              <w:rPr>
                <w:rFonts w:ascii="仿宋_GB2312" w:hAnsi="仿宋_GB2312" w:cs="仿宋_GB2312" w:eastAsia="仿宋_GB2312"/>
                <w:sz w:val="20"/>
                <w:b/>
              </w:rPr>
              <w:t>项目概述</w:t>
            </w:r>
          </w:p>
          <w:p>
            <w:pPr>
              <w:pStyle w:val="null3"/>
              <w:ind w:firstLine="480"/>
            </w:pPr>
            <w:r>
              <w:rPr>
                <w:rFonts w:ascii="仿宋_GB2312" w:hAnsi="仿宋_GB2312" w:cs="仿宋_GB2312" w:eastAsia="仿宋_GB2312"/>
                <w:sz w:val="20"/>
              </w:rPr>
              <w:t>按照相关法规政策规定、网络信息系统运维标准和技术规范，建立陕西省互联网信息办公室网络安全协调指挥平台运维及技术服务工作体系，保障陕西省互联网信息办公室网络安全协调指挥平台系统的规范化管理和安全高效运行。</w:t>
            </w:r>
          </w:p>
          <w:p>
            <w:pPr>
              <w:pStyle w:val="null3"/>
              <w:ind w:firstLine="480"/>
            </w:pPr>
            <w:r>
              <w:rPr>
                <w:rFonts w:ascii="仿宋_GB2312" w:hAnsi="仿宋_GB2312" w:cs="仿宋_GB2312" w:eastAsia="仿宋_GB2312"/>
                <w:sz w:val="20"/>
              </w:rPr>
              <w:t>陕西省网络安全协调指挥平台是为了适应网络安全发展新趋势，落实中央网络安全相关政策法规要求，按照中央统一部署，于2019年开始建设的省级网络安全技术体系平台。平台主要提供流量监测、态势感知、网站监测、资产管理、威胁情报、数据交换、预警通报、日志审计等功能，以网信系统业务流程为主线，赋能全省网络安全业务。</w:t>
            </w:r>
          </w:p>
          <w:p>
            <w:pPr>
              <w:pStyle w:val="null3"/>
              <w:ind w:left="435"/>
              <w:jc w:val="both"/>
              <w:outlineLvl w:val="0"/>
            </w:pPr>
            <w:r>
              <w:rPr>
                <w:rFonts w:ascii="仿宋_GB2312" w:hAnsi="仿宋_GB2312" w:cs="仿宋_GB2312" w:eastAsia="仿宋_GB2312"/>
                <w:sz w:val="20"/>
                <w:b/>
              </w:rPr>
              <w:t>二、</w:t>
            </w:r>
            <w:r>
              <w:rPr>
                <w:rFonts w:ascii="仿宋_GB2312" w:hAnsi="仿宋_GB2312" w:cs="仿宋_GB2312" w:eastAsia="仿宋_GB2312"/>
                <w:sz w:val="20"/>
                <w:b/>
              </w:rPr>
              <w:t>服务总体要求</w:t>
            </w:r>
          </w:p>
          <w:p>
            <w:pPr>
              <w:pStyle w:val="null3"/>
              <w:ind w:firstLine="480"/>
            </w:pPr>
            <w:r>
              <w:rPr>
                <w:rFonts w:ascii="仿宋_GB2312" w:hAnsi="仿宋_GB2312" w:cs="仿宋_GB2312" w:eastAsia="仿宋_GB2312"/>
                <w:sz w:val="20"/>
              </w:rPr>
              <w:t>供应商应当具备相应的技术支持和运维经验，具有与本项目相关的运维服务能力。</w:t>
            </w:r>
          </w:p>
          <w:p>
            <w:pPr>
              <w:pStyle w:val="null3"/>
              <w:ind w:firstLine="480"/>
            </w:pPr>
            <w:r>
              <w:rPr>
                <w:rFonts w:ascii="仿宋_GB2312" w:hAnsi="仿宋_GB2312" w:cs="仿宋_GB2312" w:eastAsia="仿宋_GB2312"/>
                <w:sz w:val="20"/>
              </w:rPr>
              <w:t>供应商应具备完善的服务管理能力和专业的服务管理组织机构，能够7*24小时响应采购人服务要求。</w:t>
            </w:r>
          </w:p>
          <w:p>
            <w:pPr>
              <w:pStyle w:val="null3"/>
              <w:ind w:firstLine="480"/>
            </w:pPr>
            <w:r>
              <w:rPr>
                <w:rFonts w:ascii="仿宋_GB2312" w:hAnsi="仿宋_GB2312" w:cs="仿宋_GB2312" w:eastAsia="仿宋_GB2312"/>
                <w:sz w:val="20"/>
              </w:rPr>
              <w:t>供应商提供的服务应当严格遵循采购人要求的服务内容和标准。</w:t>
            </w:r>
          </w:p>
          <w:p>
            <w:pPr>
              <w:pStyle w:val="null3"/>
              <w:ind w:firstLine="480"/>
            </w:pPr>
            <w:r>
              <w:rPr>
                <w:rFonts w:ascii="仿宋_GB2312" w:hAnsi="仿宋_GB2312" w:cs="仿宋_GB2312" w:eastAsia="仿宋_GB2312"/>
                <w:sz w:val="20"/>
              </w:rPr>
              <w:t>供应商应结合采购人目前的实际情况，统一制定陕西省互联网信息办公室网络安全协调指挥平台运维及技术服务工作体系、规范与流程，并定期修改和完善。</w:t>
            </w:r>
          </w:p>
          <w:p>
            <w:pPr>
              <w:pStyle w:val="null3"/>
              <w:ind w:firstLine="480"/>
            </w:pPr>
            <w:r>
              <w:rPr>
                <w:rFonts w:ascii="仿宋_GB2312" w:hAnsi="仿宋_GB2312" w:cs="仿宋_GB2312" w:eastAsia="仿宋_GB2312"/>
                <w:sz w:val="20"/>
              </w:rPr>
              <w:t>供应商应按技术服务要求和内容提供服务，在进行运维工作过程中，应当保证运维设备、网络及系统的安全。对采购人的所有相关数据进行保密，不得外泄。如发生因服务导致的网络与信息安全事件，供应商应承担由此引起的所有责任，采购人保留追究供应商责任的权力。</w:t>
            </w:r>
          </w:p>
          <w:p>
            <w:pPr>
              <w:pStyle w:val="null3"/>
              <w:ind w:firstLine="480"/>
            </w:pPr>
            <w:r>
              <w:rPr>
                <w:rFonts w:ascii="仿宋_GB2312" w:hAnsi="仿宋_GB2312" w:cs="仿宋_GB2312" w:eastAsia="仿宋_GB2312"/>
                <w:sz w:val="20"/>
              </w:rPr>
              <w:t>供应商应具备信息系统集成相关的信息安全管理活动能力，具有为外部客户提供计算机软硬件运维服务相关的信息服务管理能力。</w:t>
            </w:r>
          </w:p>
          <w:p>
            <w:pPr>
              <w:pStyle w:val="null3"/>
              <w:ind w:firstLine="480"/>
            </w:pPr>
            <w:r>
              <w:rPr>
                <w:rFonts w:ascii="仿宋_GB2312" w:hAnsi="仿宋_GB2312" w:cs="仿宋_GB2312" w:eastAsia="仿宋_GB2312"/>
                <w:sz w:val="20"/>
              </w:rPr>
              <w:t>供应商应具备信息系统安全运维能力、信息安全应急处理能力、信息安全风险评估服务能力。</w:t>
            </w:r>
          </w:p>
          <w:p>
            <w:pPr>
              <w:pStyle w:val="null3"/>
              <w:ind w:firstLine="480"/>
            </w:pPr>
            <w:r>
              <w:rPr>
                <w:rFonts w:ascii="仿宋_GB2312" w:hAnsi="仿宋_GB2312" w:cs="仿宋_GB2312" w:eastAsia="仿宋_GB2312"/>
                <w:sz w:val="20"/>
              </w:rPr>
              <w:t>供应商应符合ITSS信息技术服务运行维护相关要求。</w:t>
            </w:r>
          </w:p>
          <w:p>
            <w:pPr>
              <w:pStyle w:val="null3"/>
              <w:ind w:firstLine="480"/>
            </w:pPr>
            <w:r>
              <w:rPr>
                <w:rFonts w:ascii="仿宋_GB2312" w:hAnsi="仿宋_GB2312" w:cs="仿宋_GB2312" w:eastAsia="仿宋_GB2312"/>
                <w:sz w:val="20"/>
              </w:rPr>
              <w:t>供应商为采购人开展的所有工作应当建立工作记录、出具工作报告，以便于完整反映服务内容及工作情况。工作记录和报告格式可由供应商定制。</w:t>
            </w:r>
          </w:p>
          <w:p>
            <w:pPr>
              <w:pStyle w:val="null3"/>
              <w:ind w:left="435"/>
              <w:jc w:val="both"/>
              <w:outlineLvl w:val="0"/>
            </w:pPr>
            <w:r>
              <w:rPr>
                <w:rFonts w:ascii="仿宋_GB2312" w:hAnsi="仿宋_GB2312" w:cs="仿宋_GB2312" w:eastAsia="仿宋_GB2312"/>
                <w:sz w:val="20"/>
                <w:b/>
              </w:rPr>
              <w:t>三、</w:t>
            </w:r>
            <w:r>
              <w:rPr>
                <w:rFonts w:ascii="仿宋_GB2312" w:hAnsi="仿宋_GB2312" w:cs="仿宋_GB2312" w:eastAsia="仿宋_GB2312"/>
                <w:sz w:val="20"/>
                <w:b/>
              </w:rPr>
              <w:t>服务范围</w:t>
            </w:r>
          </w:p>
          <w:p>
            <w:pPr>
              <w:pStyle w:val="null3"/>
              <w:ind w:firstLine="400"/>
            </w:pPr>
            <w:r>
              <w:rPr>
                <w:rFonts w:ascii="仿宋_GB2312" w:hAnsi="仿宋_GB2312" w:cs="仿宋_GB2312" w:eastAsia="仿宋_GB2312"/>
                <w:sz w:val="20"/>
              </w:rPr>
              <w:t>（一）采购人所属的网络安全协调指挥平台及配套设备的运维服务。</w:t>
            </w:r>
          </w:p>
          <w:p>
            <w:pPr>
              <w:pStyle w:val="null3"/>
              <w:ind w:firstLine="400"/>
            </w:pPr>
            <w:r>
              <w:rPr>
                <w:rFonts w:ascii="仿宋_GB2312" w:hAnsi="仿宋_GB2312" w:cs="仿宋_GB2312" w:eastAsia="仿宋_GB2312"/>
                <w:sz w:val="20"/>
              </w:rPr>
              <w:t>（二）采购人委托的各类网络安全业务支撑和技术保障工作。</w:t>
            </w:r>
          </w:p>
          <w:p>
            <w:pPr>
              <w:pStyle w:val="null3"/>
              <w:ind w:firstLine="400"/>
            </w:pPr>
            <w:r>
              <w:rPr>
                <w:rFonts w:ascii="仿宋_GB2312" w:hAnsi="仿宋_GB2312" w:cs="仿宋_GB2312" w:eastAsia="仿宋_GB2312"/>
                <w:sz w:val="20"/>
              </w:rPr>
              <w:t>（三）在服务期内，供应商应当保证运维对象运行正常、平稳、安全、可靠运行，解决除业务（应用）系统外所有操作系统级别软件故障，确保业务系统正常运行。</w:t>
            </w:r>
          </w:p>
          <w:p>
            <w:pPr>
              <w:pStyle w:val="null3"/>
              <w:ind w:firstLine="400"/>
              <w:jc w:val="both"/>
            </w:pPr>
            <w:r>
              <w:rPr>
                <w:rFonts w:ascii="仿宋_GB2312" w:hAnsi="仿宋_GB2312" w:cs="仿宋_GB2312" w:eastAsia="仿宋_GB2312"/>
                <w:sz w:val="20"/>
              </w:rPr>
              <w:t>（四）在服务期内，供应商应组建驻场服务团队，团队成员应具相关技术服务能力，提供5*8小时现场服务，7*24小时服务响应及特殊时段24小时驻场服务（如重大会议、重要活动、业务高峰期和其他对系统设备稳定性、安全性要求较高的特殊时段）</w:t>
            </w:r>
          </w:p>
          <w:p>
            <w:pPr>
              <w:pStyle w:val="null3"/>
              <w:ind w:firstLine="400"/>
              <w:jc w:val="both"/>
            </w:pPr>
            <w:r>
              <w:rPr>
                <w:rFonts w:ascii="仿宋_GB2312" w:hAnsi="仿宋_GB2312" w:cs="仿宋_GB2312" w:eastAsia="仿宋_GB2312"/>
                <w:sz w:val="20"/>
              </w:rPr>
              <w:t>（五）服务期内针对网络安全协调指挥平台及现场网络安全设备进行≥1次/月的巡检服务。</w:t>
            </w:r>
          </w:p>
          <w:p>
            <w:pPr>
              <w:pStyle w:val="null3"/>
              <w:jc w:val="both"/>
              <w:outlineLvl w:val="0"/>
            </w:pPr>
            <w:r>
              <w:rPr>
                <w:rFonts w:ascii="仿宋_GB2312" w:hAnsi="仿宋_GB2312" w:cs="仿宋_GB2312" w:eastAsia="仿宋_GB2312"/>
                <w:sz w:val="20"/>
                <w:b/>
              </w:rPr>
              <w:t>四、</w:t>
            </w:r>
            <w:r>
              <w:rPr>
                <w:rFonts w:ascii="仿宋_GB2312" w:hAnsi="仿宋_GB2312" w:cs="仿宋_GB2312" w:eastAsia="仿宋_GB2312"/>
                <w:sz w:val="20"/>
                <w:b/>
              </w:rPr>
              <w:t>服务内容</w:t>
            </w:r>
          </w:p>
          <w:p>
            <w:pPr>
              <w:pStyle w:val="null3"/>
              <w:ind w:firstLine="400"/>
              <w:jc w:val="both"/>
            </w:pPr>
            <w:r>
              <w:rPr>
                <w:rFonts w:ascii="仿宋_GB2312" w:hAnsi="仿宋_GB2312" w:cs="仿宋_GB2312" w:eastAsia="仿宋_GB2312"/>
                <w:sz w:val="20"/>
              </w:rPr>
              <w:t>（一）业务系统运营</w:t>
            </w:r>
          </w:p>
          <w:p>
            <w:pPr>
              <w:pStyle w:val="null3"/>
              <w:ind w:firstLine="400"/>
              <w:jc w:val="both"/>
            </w:pPr>
            <w:r>
              <w:rPr>
                <w:rFonts w:ascii="仿宋_GB2312" w:hAnsi="仿宋_GB2312" w:cs="仿宋_GB2312" w:eastAsia="仿宋_GB2312"/>
                <w:sz w:val="20"/>
              </w:rPr>
              <w:t>通过运营省委网信办网络安全协调指挥平台各业务系统，支撑各项网络安全工作。日常运营网信办内各业务系统，在系统问题处理、账号开设、使用问题解答等方面完成各项甲方工作安排。推进陕西省网络安全资产管理系统应用，对各省级部门讲解系统设计理念和使用方法，并协助相关单位安装资产采集工具</w:t>
            </w:r>
            <w:r>
              <w:rPr>
                <w:rFonts w:ascii="仿宋_GB2312" w:hAnsi="仿宋_GB2312" w:cs="仿宋_GB2312" w:eastAsia="仿宋_GB2312"/>
                <w:sz w:val="20"/>
              </w:rPr>
              <w:t>，采集资产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（二）安全威胁分析</w:t>
            </w:r>
          </w:p>
          <w:p>
            <w:pPr>
              <w:pStyle w:val="null3"/>
              <w:ind w:firstLine="400"/>
              <w:jc w:val="both"/>
            </w:pPr>
            <w:r>
              <w:rPr>
                <w:rFonts w:ascii="仿宋_GB2312" w:hAnsi="仿宋_GB2312" w:cs="仿宋_GB2312" w:eastAsia="仿宋_GB2312"/>
                <w:sz w:val="20"/>
              </w:rPr>
              <w:t>依托网络安全协调指挥平台，做好网络安全威胁分析工作。日常监测网络安全协调指挥平台流量，对异常日志告警记录进行分析确认并形成网络安全事件；定期为部署探针的11家省级单位形成网络安全监测季度和月度监测报告；通过网络空间风险监测系统对省内重点行业领域和省级单位阶段性进行漏洞扫描监测；在重要敏感时间段，安全人员7*24小时安全值守，按要求完成重要时期的网络安全保障工作；按照威胁情报研判及监测工作要求，依据中央网信办下发的威胁情报数据，对全省存在受攻击情况进行汇总报送。</w:t>
            </w:r>
          </w:p>
          <w:p>
            <w:pPr>
              <w:pStyle w:val="null3"/>
              <w:ind w:firstLine="400"/>
              <w:jc w:val="both"/>
            </w:pPr>
            <w:r>
              <w:rPr>
                <w:rFonts w:ascii="仿宋_GB2312" w:hAnsi="仿宋_GB2312" w:cs="仿宋_GB2312" w:eastAsia="仿宋_GB2312"/>
                <w:sz w:val="20"/>
              </w:rPr>
              <w:t>（三）安全风险、事件和预警通报</w:t>
            </w:r>
          </w:p>
          <w:p>
            <w:pPr>
              <w:pStyle w:val="null3"/>
              <w:ind w:firstLine="400"/>
              <w:jc w:val="both"/>
            </w:pPr>
            <w:r>
              <w:rPr>
                <w:rFonts w:ascii="仿宋_GB2312" w:hAnsi="仿宋_GB2312" w:cs="仿宋_GB2312" w:eastAsia="仿宋_GB2312"/>
                <w:sz w:val="20"/>
              </w:rPr>
              <w:t>日常完成陕西省网络安全协调指挥平台的相关任务，转发中央网信办指令，按照网信办统一要求，做好省内网络安全事件的现场处置工作，并承担全省网络安全风险和预警通报的常态化运行任务。</w:t>
            </w:r>
          </w:p>
          <w:p>
            <w:pPr>
              <w:pStyle w:val="null3"/>
              <w:ind w:firstLine="400"/>
              <w:jc w:val="both"/>
            </w:pPr>
            <w:r>
              <w:rPr>
                <w:rFonts w:ascii="仿宋_GB2312" w:hAnsi="仿宋_GB2312" w:cs="仿宋_GB2312" w:eastAsia="仿宋_GB2312"/>
                <w:sz w:val="20"/>
              </w:rPr>
              <w:t>（四）威胁应急处置</w:t>
            </w:r>
          </w:p>
          <w:p>
            <w:pPr>
              <w:pStyle w:val="null3"/>
              <w:ind w:firstLine="400"/>
              <w:jc w:val="both"/>
            </w:pPr>
            <w:r>
              <w:rPr>
                <w:rFonts w:ascii="仿宋_GB2312" w:hAnsi="仿宋_GB2312" w:cs="仿宋_GB2312" w:eastAsia="仿宋_GB2312"/>
                <w:sz w:val="20"/>
              </w:rPr>
              <w:t>按照省委网信办工作部署，现场进行威胁应急处置工作并形成技术报告提供致省委网信办。</w:t>
            </w:r>
          </w:p>
          <w:p>
            <w:pPr>
              <w:pStyle w:val="null3"/>
              <w:ind w:firstLine="400"/>
              <w:jc w:val="both"/>
            </w:pPr>
            <w:r>
              <w:rPr>
                <w:rFonts w:ascii="仿宋_GB2312" w:hAnsi="仿宋_GB2312" w:cs="仿宋_GB2312" w:eastAsia="仿宋_GB2312"/>
                <w:sz w:val="20"/>
              </w:rPr>
              <w:t>（五）安全检查</w:t>
            </w:r>
          </w:p>
          <w:p>
            <w:pPr>
              <w:pStyle w:val="null3"/>
              <w:ind w:firstLine="400"/>
              <w:jc w:val="both"/>
            </w:pPr>
            <w:r>
              <w:rPr>
                <w:rFonts w:ascii="仿宋_GB2312" w:hAnsi="仿宋_GB2312" w:cs="仿宋_GB2312" w:eastAsia="仿宋_GB2312"/>
                <w:sz w:val="20"/>
              </w:rPr>
              <w:t>按照省委网信办工作部署，配合年度网络安全检查工作，与检查工作技术团队对相关单位的互联网资产进行远程渗透工作。</w:t>
            </w:r>
          </w:p>
          <w:p>
            <w:pPr>
              <w:pStyle w:val="null3"/>
              <w:ind w:firstLine="400"/>
              <w:jc w:val="both"/>
            </w:pPr>
            <w:r>
              <w:rPr>
                <w:rFonts w:ascii="仿宋_GB2312" w:hAnsi="仿宋_GB2312" w:cs="仿宋_GB2312" w:eastAsia="仿宋_GB2312"/>
                <w:sz w:val="20"/>
              </w:rPr>
              <w:t>（六）日常其他资料汇总</w:t>
            </w:r>
          </w:p>
          <w:p>
            <w:pPr>
              <w:pStyle w:val="null3"/>
              <w:ind w:firstLine="400"/>
              <w:jc w:val="both"/>
            </w:pPr>
            <w:r>
              <w:rPr>
                <w:rFonts w:ascii="仿宋_GB2312" w:hAnsi="仿宋_GB2312" w:cs="仿宋_GB2312" w:eastAsia="仿宋_GB2312"/>
                <w:sz w:val="20"/>
              </w:rPr>
              <w:t>配合省委网信办完成网络安全信息汇总、互联网政务应用情况统计、月度、年度网络安全风险和事件通报工作情况报告等其他工作。</w:t>
            </w:r>
          </w:p>
          <w:p>
            <w:pPr>
              <w:pStyle w:val="null3"/>
              <w:ind w:firstLine="400"/>
              <w:jc w:val="both"/>
            </w:pPr>
            <w:r>
              <w:rPr>
                <w:rFonts w:ascii="仿宋_GB2312" w:hAnsi="仿宋_GB2312" w:cs="仿宋_GB2312" w:eastAsia="仿宋_GB2312"/>
                <w:sz w:val="20"/>
              </w:rPr>
              <w:t>（七）网络安全协调指挥平台维护</w:t>
            </w:r>
          </w:p>
          <w:p>
            <w:pPr>
              <w:pStyle w:val="null3"/>
              <w:ind w:firstLine="400"/>
              <w:jc w:val="both"/>
            </w:pPr>
            <w:r>
              <w:rPr>
                <w:rFonts w:ascii="仿宋_GB2312" w:hAnsi="仿宋_GB2312" w:cs="仿宋_GB2312" w:eastAsia="仿宋_GB2312"/>
                <w:sz w:val="20"/>
              </w:rPr>
              <w:t>提供网络安全协调指挥平台系统软件运维服务，保证平台正常运行、提供安全威胁分析服务，实现对监测范围内安全威胁的及时发现和验证、提供安全预警通报服务，保证预警通报工作正常开展、形成分析报告。</w:t>
            </w:r>
          </w:p>
          <w:p>
            <w:pPr>
              <w:pStyle w:val="null3"/>
              <w:ind w:firstLine="400"/>
              <w:jc w:val="both"/>
            </w:pPr>
            <w:r>
              <w:rPr>
                <w:rFonts w:ascii="仿宋_GB2312" w:hAnsi="仿宋_GB2312" w:cs="仿宋_GB2312" w:eastAsia="仿宋_GB2312"/>
                <w:sz w:val="20"/>
              </w:rPr>
              <w:t>（八）威胁应急处置</w:t>
            </w:r>
          </w:p>
          <w:p>
            <w:pPr>
              <w:pStyle w:val="null3"/>
              <w:ind w:firstLine="400"/>
              <w:jc w:val="both"/>
            </w:pPr>
            <w:r>
              <w:rPr>
                <w:rFonts w:ascii="仿宋_GB2312" w:hAnsi="仿宋_GB2312" w:cs="仿宋_GB2312" w:eastAsia="仿宋_GB2312"/>
                <w:sz w:val="20"/>
                <w:color w:val="000000"/>
              </w:rPr>
              <w:t>提供威胁应急处置服务，按照工作要求进行应急响应提供数据安全防护服务，保证平台有价值数据的安全可控和有序开放。</w:t>
            </w:r>
          </w:p>
          <w:p>
            <w:pPr>
              <w:pStyle w:val="null3"/>
              <w:ind w:firstLine="400"/>
              <w:jc w:val="both"/>
            </w:pPr>
            <w:r>
              <w:rPr>
                <w:rFonts w:ascii="仿宋_GB2312" w:hAnsi="仿宋_GB2312" w:cs="仿宋_GB2312" w:eastAsia="仿宋_GB2312"/>
                <w:sz w:val="20"/>
                <w:color w:val="000000"/>
              </w:rPr>
              <w:t>（九）定期巡检</w:t>
            </w:r>
          </w:p>
          <w:p>
            <w:pPr>
              <w:pStyle w:val="null3"/>
              <w:ind w:firstLine="400"/>
              <w:jc w:val="both"/>
            </w:pPr>
            <w:r>
              <w:rPr>
                <w:rFonts w:ascii="仿宋_GB2312" w:hAnsi="仿宋_GB2312" w:cs="仿宋_GB2312" w:eastAsia="仿宋_GB2312"/>
                <w:sz w:val="20"/>
              </w:rPr>
              <w:t>主动定期对机房运维服务设备进行巡检，及时发现各设备硬件故障隐患，向采购人提出书面报告。对于系统故障处理应有详细的报告记录，包含故障原因、响应时间、解决方案以及合理建议等。</w:t>
            </w:r>
          </w:p>
          <w:p>
            <w:pPr>
              <w:pStyle w:val="null3"/>
              <w:ind w:firstLine="400"/>
              <w:jc w:val="both"/>
            </w:pPr>
            <w:r>
              <w:rPr>
                <w:rFonts w:ascii="仿宋_GB2312" w:hAnsi="仿宋_GB2312" w:cs="仿宋_GB2312" w:eastAsia="仿宋_GB2312"/>
                <w:sz w:val="20"/>
              </w:rPr>
              <w:t>主动定期进行预防性巡检维护（每月至少一次）：对系统运行环境、设备状况以及硬件运行情况的检查；对系统运行状态、性能检查和优化；对系统健康检查和硬件故障诊断；其它临时性工作。</w:t>
            </w:r>
          </w:p>
          <w:p>
            <w:pPr>
              <w:pStyle w:val="null3"/>
              <w:ind w:left="435"/>
              <w:jc w:val="both"/>
              <w:outlineLvl w:val="0"/>
            </w:pPr>
            <w:r>
              <w:rPr>
                <w:rFonts w:ascii="仿宋_GB2312" w:hAnsi="仿宋_GB2312" w:cs="仿宋_GB2312" w:eastAsia="仿宋_GB2312"/>
                <w:sz w:val="20"/>
                <w:b/>
              </w:rPr>
              <w:t>五、</w:t>
            </w:r>
            <w:r>
              <w:rPr>
                <w:rFonts w:ascii="仿宋_GB2312" w:hAnsi="仿宋_GB2312" w:cs="仿宋_GB2312" w:eastAsia="仿宋_GB2312"/>
                <w:sz w:val="20"/>
                <w:b/>
              </w:rPr>
              <w:t>人员配置要求</w:t>
            </w:r>
          </w:p>
          <w:p>
            <w:pPr>
              <w:pStyle w:val="null3"/>
              <w:ind w:firstLine="400"/>
              <w:jc w:val="both"/>
            </w:pPr>
            <w:r>
              <w:rPr>
                <w:rFonts w:ascii="仿宋_GB2312" w:hAnsi="仿宋_GB2312" w:cs="仿宋_GB2312" w:eastAsia="仿宋_GB2312"/>
                <w:sz w:val="20"/>
              </w:rPr>
              <w:t>供应商应该按照项目的需求配备合理的服务人员，其中包括1名项目经理、驻场团队人员≥5人，确保项目实施质量。</w:t>
            </w:r>
          </w:p>
          <w:p>
            <w:pPr>
              <w:pStyle w:val="null3"/>
              <w:ind w:left="480"/>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项目经理要求</w:t>
            </w:r>
          </w:p>
          <w:p>
            <w:pPr>
              <w:pStyle w:val="null3"/>
              <w:ind w:firstLine="400"/>
              <w:jc w:val="both"/>
            </w:pPr>
            <w:r>
              <w:rPr>
                <w:rFonts w:ascii="仿宋_GB2312" w:hAnsi="仿宋_GB2312" w:cs="仿宋_GB2312" w:eastAsia="仿宋_GB2312"/>
                <w:sz w:val="20"/>
              </w:rPr>
              <w:t>1.须具有同类网络安全行业5年以上工作经验。</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.须具有本科及以上学历证明。</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.全面负责客户现场网络安全驻场服务整体管理工作，统筹项目进度、服务质量、交付成果，严格按照合同及 SLA 服务标准开展驻场运维工作。</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color w:val="000000"/>
              </w:rPr>
              <w:t>每月、半年、年度例行工作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color w:val="000000"/>
              </w:rPr>
              <w:t>每月15日-20日之间安排相关工程师对设备做深度巡检。</w:t>
            </w:r>
          </w:p>
          <w:p>
            <w:pPr>
              <w:pStyle w:val="null3"/>
              <w:ind w:firstLine="400"/>
              <w:jc w:val="both"/>
            </w:pPr>
            <w:r>
              <w:rPr>
                <w:rFonts w:ascii="仿宋_GB2312" w:hAnsi="仿宋_GB2312" w:cs="仿宋_GB2312" w:eastAsia="仿宋_GB2312"/>
                <w:sz w:val="20"/>
                <w:color w:val="000000"/>
              </w:rPr>
              <w:t>每月初1日-5日之间由值班人员统计上月巡检巡查、设备运行、故障记录、配件更换、视频会议保障等情况，向采购人提交“工作月度报告”。</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.项目经理在运维期半年结束后一周内、运维期全年结束后一周内，提交“半年运维总结报告”和“年度运维工作总结报告”。</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.完成公司及客户交办的其他网络安全驻场相关工作。</w:t>
            </w:r>
          </w:p>
          <w:p>
            <w:pPr>
              <w:pStyle w:val="null3"/>
              <w:ind w:left="480"/>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驻场团队人员要求</w:t>
            </w:r>
          </w:p>
          <w:p>
            <w:pPr>
              <w:pStyle w:val="null3"/>
              <w:ind w:firstLine="400"/>
              <w:jc w:val="both"/>
            </w:pPr>
            <w:r>
              <w:rPr>
                <w:rFonts w:ascii="仿宋_GB2312" w:hAnsi="仿宋_GB2312" w:cs="仿宋_GB2312" w:eastAsia="仿宋_GB2312"/>
                <w:sz w:val="20"/>
              </w:rPr>
              <w:t>1.驻场团队人员须≥5人；</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.驻场团队人员须具有同类网络安全行业3年以上工作经验；</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.驻场团队人员须全部具有本科及以上学历证明。</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每周值班例行工作，若有故障发生首先在“日常检查记录表”详细记录故障发生时间、故障描述、故障处理过程、故障结束时间、处置人等信息。故障发现人跟踪故障处理过程直到故障处理结束，驻场人员跟踪机房内所有故障处理过程直至故障处理结束。</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.负责网络安全日常运维管理，包含安全设备巡检、告警分析处置、日志审计、策略核查、账号权限管理、资产台账维护等工作。</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.负责漏洞管理全流程工作，组织漏洞扫描、风险排查、整改下发、跟踪闭环、复测验收，建立漏洞整改台账并持续跟进。</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.负责应急响应管理，处置网络安全突发事件、攻击告警、异常流量、入侵事件，开展溯源排查、应急处置及事后总结报告编制。</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.负责重大活动网络安全重保、护网攻防演练工作，制定重保方案、值守排班、防护加固、监测拦截、过程记录及复盘总结。</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.配合客户开展安全培训、安全宣导、安全管理制度落地执行，规范现场运维操作流程。</w:t>
            </w:r>
          </w:p>
          <w:p>
            <w:pPr>
              <w:pStyle w:val="null3"/>
              <w:ind w:firstLine="400"/>
              <w:jc w:val="left"/>
            </w:pPr>
            <w:r>
              <w:rPr>
                <w:rFonts w:ascii="仿宋_GB2312" w:hAnsi="仿宋_GB2312" w:cs="仿宋_GB2312" w:eastAsia="仿宋_GB2312"/>
                <w:sz w:val="20"/>
              </w:rPr>
              <w:t>六</w:t>
            </w:r>
            <w:r>
              <w:rPr>
                <w:rFonts w:ascii="仿宋_GB2312" w:hAnsi="仿宋_GB2312" w:cs="仿宋_GB2312" w:eastAsia="仿宋_GB2312"/>
                <w:sz w:val="20"/>
              </w:rPr>
              <w:t>、其它要求：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）供应商须与采购人签订保密协议，对项目相关的各种数据、应用和设备使用情况严格保密。</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二</w:t>
            </w:r>
            <w:r>
              <w:rPr>
                <w:rFonts w:ascii="仿宋_GB2312" w:hAnsi="仿宋_GB2312" w:cs="仿宋_GB2312" w:eastAsia="仿宋_GB2312"/>
                <w:sz w:val="20"/>
              </w:rPr>
              <w:t>）供应商须组织运维人员与采购人签订保密协议，对运维工作相关的各种数据、应用和设备使用情况严格保密。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供应商应该按照项目的需求配备合理的设施设备，确保项目实施质量。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要求符合国家、地方、行业相关合格标准及采购人要求。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 ，成交供应商持付款申请书向采购人申请支付，达到付款条件起10个工作日内，支付合同总金额的100.0%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1.甲方逾期支付合同款项的，经乙方书面催告且15日催告期满后每逾期一日，按当期应付未付款项的0.05%向乙方支付违约金，违约金总额最高不超过合同总价的5%； 2.乙方运维服务不达标、响应不及时、未按要求提交资料、擅自更换服务人员的，甲方有权扣减当期服务费、扣除履约保证金（如有）；若造成甲方系统瘫痪、业务中断、数据丢失、网络安全事故的，乙方需全额赔偿甲方全部直接及间接经济损失； 3.乙方存在转包、违法分包、提供服务不符合法定或约定标准、擅自终止服务、泄露保密信息、弄虚作假等严重违约行为的，甲方可单方解除合同，没收全部履约保证金（如有），乙方需支付合同总价20%的违约金，不足以弥补甲方损失的，需继续赔偿甲方剩余损失； 4.任何一方无正当理由擅自变更、解除合同的，需承担全部违约责任。 （二）争议解决 本合同履行过程中发生的一切争议、纠纷，甲乙双方优先友好协商解决；协商不成的，提交甲方所在地人民法院诉讼解决。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（一）本项目采购标的所属行业为：软件和信息技术服务业。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二）成交供应商在领取成交通知书前，须向采购代理机构提供纸质版响应文件2套，且提供的响应文件必须与在陕西省政府采购综合管理平台的项目电子化交易系统中递交的电子投标文件内容一致，纸质版投标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的营业执照等证明文件，自然人提供身份证明；（2）供应商应提供健全的财务会计制度：提供2024年度或2025年度经审计的供应商财务会计报告或者提供磋商截止时间3个月内其基本账户开户银行出具的资信证明；（3）税收缴纳证明：提供供应商自磋商前1年以来已缴纳任意时段完税凭证或税务机关开具的完税证明（任意税种）；依法免税的应提供相关文件证明；（4）社会保障资金缴纳证明：提供供应商自磋商前1年以来已缴存的任意时段的社会保障资金缴存单据或社保机构开具的社会保险参保缴费情况证明；依法不需要缴纳社会保障资金的供应商应提供相关文件证明；（5）提供供应商具备履行合同所必需的设备和专业技术能力的证明材料；（6）供应商参加本次招标前3年内，在经营活动中没有重大违法记录的书面声明；（7）供应商不得被“信用中国”网站（www.creditchina.gov.cn）和中国政府采购网站（www.ccgp.gov.cn）列入失信被执行人、重大税收违法案件当事人名单、政府采购严重违法失信行为记录名单（此项由采购代理机构现场查询）；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服务内容及商务要求应答表.docx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服务内容及商务要求应答表.docx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服务内容及商务要求应答表.docx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供应商具有规范的服务体系和工作流程，针对本项目需求制订切实可行的运维服务方案。方案应包含：①运维服务内容；②运维服务流程；③运维服务范围；④运维服务保障措施；⑤运维服务工作计划。 二、评审标准 1、完整性：方案必须全面，对评审内容中的各项要求有详细描述； 2、可实施性：切合本项目实际情况，提出步骤清晰、合理的方案； 3、针对性：方案能够紧扣项目实际情况，内容科学合理。 三、赋分标准（满分15分） ①运维服务内容：此评审项满分3分，每完全满足一个评审标准得1分；针对每条评审标准，如存在不合理的方面，得0.5分；针对每条评审标准，方案内容与本项目无关或未提供的，得0分。 ②运维服务流程：此评审项满分3分，每完全满足一个评审标准得1分；针对每条评审标准，如存在不合理的方面，得0.5分；针对每条评审标准，方案内容与本项目无关或未提供的，得0分。 ③运维服务范围：此评审项满分3分，每完全满足一个评审标准得1分；针对每条评审标准，如存在不合理的方面，得0.5分；针对每条评审标准，方案内容与本项目无关或未提供的，得0分。 ④运维服务保障措施：此评审项满分3分，每完全满足一个评审标准得1分；针对每条评审标准，如存在不合理的方面，得0.5分；针对每条评审标准，方案内容与本项目无关或未提供的，得0分。 ⑤运维服务工作计划：此评审项满分3分，每完全满足一个评审标准得1分；针对每条评审标准，如存在不合理的方面，得0.5分；针对每条评审标准，方案内容与本项目无关或未提供的，得0分。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根据本项目服务内容结合以往服务经验，制定应急预案，方案应包含：①应急分类分级；②应急响应流程；③应急响应措施；④应急响应总结；⑤应急事件处理流程；⑥后期处置。 二、评审标准 1、完整性：方案必须全面，对评审内容中的各项要求有详细描述； 2、可实施性：切合本项目实际情况，提出步骤清晰、合理的方案； 3、针对性：方案能够紧扣项目实际情况，内容科学合理。 二、赋分标准（满分18分） ①应急分类分级：此评审项满分3分，每完全满足一个评审标准得1分；针对每条评审标准，如存在不合理的方面，得0.5分；针对每条评审标准，方案内容与本项目无关或未提供的，得0分。 ②应急响应流程：此评审项满分3分，每完全满足一个评审标准得1分；针对每条评审标准，如存在不合理的方面，得0.5分；针对每条评审标准，方案内容与本项目无关或未提供的，得0分。 ③应急响应措施：此评审项满分3分，每完全满足一个评审标准得1分；针对每条评审标准，如存在不合理的方面，得0.5分；针对每条评审标准，方案内容与本项目无关或未提供的，得0分。 ④应急响应总结：此评审项满分3分，每完全满足一个评审标准得1分；针对每条评审标准，如存在不合理的方面，得0.5分；针对每条评审标准，方案内容与本项目无关或未提供的，得0分。 ⑤应急事件处理流程：此评审项满分3分，每完全满足一个评审标准得1分；针对每条评审标准，如存在不合理的方面，得0.5分；针对每条评审标准，方案内容与本项目无关或未提供的，得0分。 ⑥后期处置：此评审项满分3分，每完全满足一个评审标准得1分；针对每条评审标准，如存在不合理的方面，得0.5分；针对每条评审标准，方案内容与本项目无关或未提供的，得0分。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根据本项目服务内容结合以往服务经验，制定质量保证方案，方案应包含：①质量管理目标；②质量工作体系；③质量管理制度；④服务保证措施。 二、评审标准 1、完整性：方案必须全面，对评审内容中的各项要求有详细描述； 2、可实施性：切合本项目实际情况，提出步骤清晰、合理的方案； 3、针对性：方案能够紧扣项目实际情况，内容科学合理。 三、赋分标准（满分12分） ①质量管理目标：此评审项满分3分，每完全满足一个评审标准得1分；针对每条评审标准，如存在不合理的方面，得0.5分；针对每条评审标准，方案内容与本项目无关或未提供的，得0分。 ②质量工作体系：此评审项满分3分，每完全满足一个评审标准得1分；针对每条评审标准，如存在不合理的方面，得0.5分；针对每条评审标准，方案内容与本项目无关或未提供的，得0分。 ③质量管理制度：此评审项满分3分，每完全满足一个评审标准得1分；针对每条评审标准，如存在不合理的方面，得0.5分；针对每条评审标准，方案内容与本项目无关或未提供的，得0分。 ④服务保证措施：此评审项满分3分，每完全满足一个评审标准得1分；针对每条评审标准，如存在不合理的方面，得0.5分；针对每条评审标准，方案内容与本项目无关或未提供的，得0分。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支撑服务方案</w:t>
            </w:r>
          </w:p>
        </w:tc>
        <w:tc>
          <w:tcPr>
            <w:tcW w:type="dxa" w:w="2492"/>
          </w:tcPr>
          <w:p>
            <w:pPr>
              <w:pStyle w:val="null3"/>
            </w:pPr>
            <w:r>
              <w:rPr>
                <w:rFonts w:ascii="仿宋_GB2312" w:hAnsi="仿宋_GB2312" w:cs="仿宋_GB2312" w:eastAsia="仿宋_GB2312"/>
              </w:rPr>
              <w:t>一、评审内容 提供针对本项目支撑服务方案，方案内容包括但不限于：①现场运营支撑；②技术服务支撑等。 二、评审标准 1、完整性：方案必须全面，对评审内容中的各项要求有详细描述； 2、可实施性：切合本项目实际情况，提出步骤清晰、合理的方案； 3、针对性：方案能够紧扣项目实际情况，内容科学合理。 三、赋分标准（满分6分） ①现场运营支撑：此评审项满分3分，每完全满足一个评审标准得1分；针对每条评审标准，如存在不合理的方面，得0.5分；针对每条评审标准，方案内容与本项目无关或未提供的，得0分。 ②技术服务支撑等：此评审项满分3分，每完全满足一个评审标准得1分；针对每条评审标准，如存在不合理的方面，得0.5分；针对每条评审标准，方案内容与本项目无关或未提供的，得0分。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保密制度及措施</w:t>
            </w:r>
          </w:p>
        </w:tc>
        <w:tc>
          <w:tcPr>
            <w:tcW w:type="dxa" w:w="2492"/>
          </w:tcPr>
          <w:p>
            <w:pPr>
              <w:pStyle w:val="null3"/>
            </w:pPr>
            <w:r>
              <w:rPr>
                <w:rFonts w:ascii="仿宋_GB2312" w:hAnsi="仿宋_GB2312" w:cs="仿宋_GB2312" w:eastAsia="仿宋_GB2312"/>
              </w:rPr>
              <w:t>一、评审内容 提供针对本项目的保密制度及措施，内容包括但不限于：①保密制度；②保密措施。 二、评审标准 1、完整性：方案必须全面，对评审内容中的各项要求有详细描述； 2、可实施性：切合本项目实际情况，提出步骤清晰、合理的方案； 3、针对性：方案能够紧扣项目实际情况，内容科学合理。 三、赋分标准（满分6分） ①保密制度：此评审项满分3分，每完全满足一个评审标准得1分；针对每条评审标准，如存在不合理的方面，得0.5分；针对每条评审标准，方案内容与本项目无关或未提供的，得0分。 ②保密措施：此评审项满分3分，每完全满足一个评审标准得1分；针对每条评审标准，如存在不合理的方面，得0.5分；针对每条评审标准，方案内容与本项目无关或未提供的，得0分。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内容，提出有利于本项目开展的承诺，承诺包括：①对服务时限内团队稳定性等相关内容等做出承诺；②对服务质量一致性相关内容等做出承诺；③在服务期内供应商有积极配合采购人工作的相关承诺。 二、评审标准 1、完整性：承诺必须全面，对评审内容中的各项要求有详细描述； 2、可实施性：切合本项目实际情况，提出步骤清晰、合理的承诺； 3、针对性：方案能够紧扣项目实际情况，内容科学合理。 三、赋分标准（满分9分） ①对服务时限内团队稳定性等相关内容等做出承诺：此评审项满分3分，每完全满足一个评审标准得1分；针对每条评审标准，如存在不合理的方面，得0.5分；针对每条评审标准，方案内容与本项目无关或未提供的，得0分。 ②对服务质量一致性相关内容等做出承诺：此评审项满分3分，每完全满足一个评审标准得1分；针对每条评审标准，如存在不合理的方面，得0.5分；针对每条评审标准，方案内容与本项目无关或未提供的，得0分。 ③在服务期内供应商有积极配合采购人工作的相关承诺：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供应商综合实力评审</w:t>
            </w:r>
          </w:p>
        </w:tc>
        <w:tc>
          <w:tcPr>
            <w:tcW w:type="dxa" w:w="2492"/>
          </w:tcPr>
          <w:p>
            <w:pPr>
              <w:pStyle w:val="null3"/>
            </w:pPr>
            <w:r>
              <w:rPr>
                <w:rFonts w:ascii="仿宋_GB2312" w:hAnsi="仿宋_GB2312" w:cs="仿宋_GB2312" w:eastAsia="仿宋_GB2312"/>
              </w:rPr>
              <w:t>①供应商需具备信息系统安全运维能力、信息安全应急处理能力、信息安全风险评估服务能力，提供相关证明材料，每提供一项能力证明材料得1分，最高3分，不提供不得分。 ②考察供应商是否满足《信息技术服务运行维护第1部分：通用要求》并通过相关符合性评估，满足要求并通过评估，提供相关证明材料得1分，不提供不得分。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运维服务团队</w:t>
            </w:r>
          </w:p>
        </w:tc>
        <w:tc>
          <w:tcPr>
            <w:tcW w:type="dxa" w:w="2492"/>
          </w:tcPr>
          <w:p>
            <w:pPr>
              <w:pStyle w:val="null3"/>
            </w:pPr>
            <w:r>
              <w:rPr>
                <w:rFonts w:ascii="仿宋_GB2312" w:hAnsi="仿宋_GB2312" w:cs="仿宋_GB2312" w:eastAsia="仿宋_GB2312"/>
              </w:rPr>
              <w:t>①项目经理：项目经理同时具备PMP、信息系统项目管理师、信息安全保障人员认证证书（CCRC-CISAW)，所有证书齐全得6分，缺少1项证书扣2分，满分6分。 ②除项目经理外，驻场团队人员具备NISP、CISP-PTE、网络信息安全工程师（NSACE）、信息技术应用创新人才-信息安全工程师证书。所有证书齐全得4分，缺少1项证书扣1分，满分4分。（如同一人同时具备多个证书按一个有效证书计算）。 提供相关证明材料：须提供姓名、学历、岗位职责、专业资格证书或职称证。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供应商提供2022年1月1日至今同类项目业绩，业绩以合同为依据，响应文件中附有其证明资料，每提供一个业绩证明计2分，满分10分。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以本次满足磋商文件要求的最低最后磋商报价为磋商基准价，其磋商报价为满分。其他供应商的磋商报价得分，统一按照下列公式计算：磋商报价得分=(磋商基准价／最后磋商报价)×10。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详见附件：服务内容及商务要求应答表.docx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详见附件：供应商业绩等其他证明材料.docx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详见附件：V2-拟签订的采购合同文本.docx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