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版本号：【KRDL】K4-260507120260529001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雁塔校区环工学院教学楼环境提升改造工程项目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【KRDL】K4-2605071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雁塔校区环工学院教学楼环境提升改造工程项目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【KRDL】K4-2605071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雁塔校区环工学院教学楼环境提升改造工程项目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建筑科技大学雁塔校区环工学院整体环境老化问题突出：公区走廊、实验室墙面及天棚出现墙皮脱落、破损；防火门锈蚀陈旧，存在安全隐患；卫生间隔断陈旧，整体环境不佳；实验室排水管道老化，部分灯具也需更换，整体环境需提升改造，根据学校改造计划要求，现计划对环工楼公共空间及内部房间进行维修，同步改造其卫生间，以提升整体环境。具体以本项目竞争性磋商文件、工程量清单及图纸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采购包1（雁塔校区环工学院教学楼环境提升改造工程项目）：属于专门面向中小企业采购。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社会保障资金缴纳证明：供应商提供自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3、税收缴纳证明：供应商提供自2025年5月至今已缴纳的至少一个月纳税证明或完税证明，依法免税的单位应提供相关证明材料；</w:t>
      </w:r>
    </w:p>
    <w:p>
      <w:pPr>
        <w:pStyle w:val="null3"/>
      </w:pPr>
      <w:r>
        <w:rPr>
          <w:rFonts w:ascii="仿宋_GB2312" w:hAnsi="仿宋_GB2312" w:cs="仿宋_GB2312" w:eastAsia="仿宋_GB2312"/>
        </w:rPr>
        <w:t>4、财务状况证明：供应商提供2024或2025年度经审计的完整财务审计报告或在开标日期前六个月内其基本开户银行出具的资信证明；</w:t>
      </w:r>
    </w:p>
    <w:p>
      <w:pPr>
        <w:pStyle w:val="null3"/>
      </w:pPr>
      <w:r>
        <w:rPr>
          <w:rFonts w:ascii="仿宋_GB2312" w:hAnsi="仿宋_GB2312" w:cs="仿宋_GB2312" w:eastAsia="仿宋_GB2312"/>
        </w:rPr>
        <w:t>5、供应商资质要求：供应商须具备建设行政主管部门颁发合法有效的建筑工程施工总承包三级(含)以上或建筑装修装饰工程专业承包二级(含)以上资质，并具备有效的安全生产许可证，且在人员、设备、资金等方面具备相应施工能力；</w:t>
      </w:r>
    </w:p>
    <w:p>
      <w:pPr>
        <w:pStyle w:val="null3"/>
      </w:pPr>
      <w:r>
        <w:rPr>
          <w:rFonts w:ascii="仿宋_GB2312" w:hAnsi="仿宋_GB2312" w:cs="仿宋_GB2312" w:eastAsia="仿宋_GB2312"/>
        </w:rPr>
        <w:t>6、供应商拟派项目经理资质和专业要求：供应商拟派项目经理具备合法有效的建筑工程专业注册建造师二级（含）以上执业资格及安全生产考核合格证书（安全B证），在本单位注册且无在建工程；</w:t>
      </w:r>
    </w:p>
    <w:p>
      <w:pPr>
        <w:pStyle w:val="null3"/>
      </w:pPr>
      <w:r>
        <w:rPr>
          <w:rFonts w:ascii="仿宋_GB2312" w:hAnsi="仿宋_GB2312" w:cs="仿宋_GB2312" w:eastAsia="仿宋_GB2312"/>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8、其他要求：供应商及其拟派项目经理须在“陕西省住房和城乡建设厅”官方网站可查询；如供应商为外省进陕企业，还须同时提供“陕西省住房和城乡建设厅”官网企业库外省进陕施工企业信息首页截图；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招标采购办公室胡老师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采购包1：1,829,200.00元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说明：成交供应商凭成交通知书向采购人缴纳成交金额的3%作为履约保证金，待合同（含保修期）履约完毕后无息退还。若保修期内出现质量问题未及时处理或处理不当造成事故的，履约保证金不予退还。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代理服务费收费标准：参照国家计委颁布的《招标代理服务收费管理暂行办法》（计价格[2002]1980号）及发改办价格[2003]857号文件的规定标准下浮25%收取，本项目代理服务费按服务计取。 备注：在对采购代理服务费或者响应保证金转账时需备注项目名称+采购包名称+采购代理服务费或响应保证金。</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踏勘时间：2026-06-06 09:00:00</w:t>
            </w:r>
          </w:p>
          <w:p>
            <w:pPr>
              <w:pStyle w:val="null3"/>
              <w:ind w:firstLine="975"/>
            </w:pPr>
            <w:r>
              <w:rPr>
                <w:rFonts w:ascii="仿宋_GB2312" w:hAnsi="仿宋_GB2312" w:cs="仿宋_GB2312" w:eastAsia="仿宋_GB2312"/>
              </w:rPr>
              <w:t>踏勘地点：西安建筑科技大学雁塔校区环工学院教学楼</w:t>
            </w:r>
          </w:p>
          <w:p>
            <w:pPr>
              <w:pStyle w:val="null3"/>
              <w:ind w:firstLine="975"/>
            </w:pPr>
            <w:r>
              <w:rPr>
                <w:rFonts w:ascii="仿宋_GB2312" w:hAnsi="仿宋_GB2312" w:cs="仿宋_GB2312" w:eastAsia="仿宋_GB2312"/>
              </w:rPr>
              <w:t>联系人：屈延洁</w:t>
            </w:r>
          </w:p>
          <w:p>
            <w:pPr>
              <w:pStyle w:val="null3"/>
              <w:ind w:firstLine="975"/>
            </w:pPr>
            <w:r>
              <w:rPr>
                <w:rFonts w:ascii="仿宋_GB2312" w:hAnsi="仿宋_GB2312" w:cs="仿宋_GB2312" w:eastAsia="仿宋_GB2312"/>
              </w:rPr>
              <w:t>联系电话号码：17391959019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以竞争性磋商文件、响应文件及合同要求为准。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联系人：代光艳、刘如拉</w:t>
      </w:r>
    </w:p>
    <w:p>
      <w:pPr>
        <w:pStyle w:val="null3"/>
      </w:pPr>
      <w:r>
        <w:rPr>
          <w:rFonts w:ascii="仿宋_GB2312" w:hAnsi="仿宋_GB2312" w:cs="仿宋_GB2312" w:eastAsia="仿宋_GB2312"/>
        </w:rPr>
        <w:t>联系电话：15229797656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1,829,200.00</w:t>
      </w:r>
    </w:p>
    <w:p>
      <w:pPr>
        <w:pStyle w:val="null3"/>
      </w:pPr>
      <w:r>
        <w:rPr>
          <w:rFonts w:ascii="仿宋_GB2312" w:hAnsi="仿宋_GB2312" w:cs="仿宋_GB2312" w:eastAsia="仿宋_GB2312"/>
        </w:rPr>
        <w:t>采购包最高限价（元）: 1,829,200.00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雁塔校区环工学院教学楼环境提升改造工程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1,829,200.00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标的名称：雁塔校区环工学院教学楼环境提升改造工程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西安建筑科技大学雁塔校区环工学院整体环境老化问题突出：公区走廊、实验室墙面及天棚出现墙皮脱落、破损；防火门锈蚀陈旧，存在安全隐患；卫生间卫生间隔断陈旧，整体环境不佳；实验室排水管道老化，部分灯具也需更换，整体环境</w:t>
            </w:r>
            <w:r>
              <w:rPr>
                <w:rFonts w:ascii="仿宋_GB2312" w:hAnsi="仿宋_GB2312" w:cs="仿宋_GB2312" w:eastAsia="仿宋_GB2312"/>
                <w:sz w:val="24"/>
              </w:rPr>
              <w:t>需</w:t>
            </w:r>
            <w:r>
              <w:rPr>
                <w:rFonts w:ascii="仿宋_GB2312" w:hAnsi="仿宋_GB2312" w:cs="仿宋_GB2312" w:eastAsia="仿宋_GB2312"/>
                <w:sz w:val="24"/>
              </w:rPr>
              <w:t>提升改造，根据学校改造计划要求，现计划对环工楼公共空间及内部房间进行维修，同步改造其卫生间，以提升整体环境</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工程技术标准及要求</w:t>
            </w:r>
          </w:p>
          <w:p>
            <w:pPr>
              <w:pStyle w:val="null3"/>
              <w:ind w:firstLine="480"/>
              <w:jc w:val="both"/>
            </w:pPr>
            <w:r>
              <w:rPr>
                <w:rFonts w:ascii="仿宋_GB2312" w:hAnsi="仿宋_GB2312" w:cs="仿宋_GB2312" w:eastAsia="仿宋_GB2312"/>
                <w:sz w:val="24"/>
              </w:rPr>
              <w:t>项目需执行的国家标准、行业标准、地方标准或者其他标准、规范等：</w:t>
            </w:r>
          </w:p>
          <w:tbl>
            <w:tblPr>
              <w:tblBorders>
                <w:top w:val="none" w:color="000000" w:sz="4"/>
                <w:left w:val="none" w:color="000000" w:sz="4"/>
                <w:bottom w:val="none" w:color="000000" w:sz="4"/>
                <w:right w:val="none" w:color="000000" w:sz="4"/>
                <w:insideH w:val="none"/>
                <w:insideV w:val="none"/>
              </w:tblBorders>
            </w:tblPr>
            <w:tblGrid>
              <w:gridCol w:w="339"/>
              <w:gridCol w:w="2213"/>
            </w:tblGrid>
            <w:tr>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标准、规范、规程名称</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建筑工程施工质量验收统一标准（</w:t>
                  </w:r>
                  <w:r>
                    <w:rPr>
                      <w:rFonts w:ascii="仿宋_GB2312" w:hAnsi="仿宋_GB2312" w:cs="仿宋_GB2312" w:eastAsia="仿宋_GB2312"/>
                      <w:sz w:val="24"/>
                    </w:rPr>
                    <w:t>GB50300-2013）</w:t>
                  </w:r>
                </w:p>
              </w:tc>
            </w:tr>
          </w:tbl>
          <w:p>
            <w:pPr>
              <w:pStyle w:val="null3"/>
              <w:ind w:firstLine="480"/>
              <w:jc w:val="both"/>
            </w:pPr>
            <w:r>
              <w:rPr>
                <w:rFonts w:ascii="仿宋_GB2312" w:hAnsi="仿宋_GB2312" w:cs="仿宋_GB2312" w:eastAsia="仿宋_GB2312"/>
                <w:sz w:val="24"/>
              </w:rPr>
              <w:t>1.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80"/>
              <w:jc w:val="both"/>
            </w:pPr>
            <w:r>
              <w:rPr>
                <w:rFonts w:ascii="仿宋_GB2312" w:hAnsi="仿宋_GB2312" w:cs="仿宋_GB2312" w:eastAsia="仿宋_GB2312"/>
                <w:sz w:val="24"/>
              </w:rPr>
              <w:t>2.本工程其他技术标准及要求执行现行规范和采购人实际需求。</w:t>
            </w:r>
          </w:p>
          <w:p>
            <w:pPr>
              <w:pStyle w:val="null3"/>
              <w:ind w:firstLine="480"/>
              <w:jc w:val="both"/>
            </w:pPr>
            <w:r>
              <w:rPr>
                <w:rFonts w:ascii="仿宋_GB2312" w:hAnsi="仿宋_GB2312" w:cs="仿宋_GB2312" w:eastAsia="仿宋_GB2312"/>
                <w:sz w:val="24"/>
              </w:rPr>
              <w:t>3.在施工过程中，如果国家或有关部门颁布了新的技术部分准或规范，则承包人应采用新的标准或规范进行施工。</w:t>
            </w:r>
          </w:p>
          <w:p>
            <w:pPr>
              <w:pStyle w:val="null3"/>
              <w:ind w:firstLine="480"/>
              <w:jc w:val="both"/>
            </w:pPr>
            <w:r>
              <w:rPr>
                <w:rFonts w:ascii="仿宋_GB2312" w:hAnsi="仿宋_GB2312" w:cs="仿宋_GB2312" w:eastAsia="仿宋_GB2312"/>
                <w:sz w:val="24"/>
              </w:rPr>
              <w:t>4.采购人提供工程的施工方案和相关技术文件，是采购人现有的能被供应商利用的资料，采购人对供应商做出的任何推论、理解均不负责任。</w:t>
            </w:r>
          </w:p>
          <w:p>
            <w:pPr>
              <w:pStyle w:val="null3"/>
              <w:ind w:firstLine="480"/>
              <w:jc w:val="left"/>
            </w:pPr>
            <w:r>
              <w:rPr>
                <w:rFonts w:ascii="仿宋_GB2312" w:hAnsi="仿宋_GB2312" w:cs="仿宋_GB2312" w:eastAsia="仿宋_GB2312"/>
                <w:sz w:val="24"/>
              </w:rPr>
              <w:t>5.供应商应先到工程地点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80"/>
              <w:jc w:val="both"/>
            </w:pPr>
            <w:r>
              <w:rPr>
                <w:rFonts w:ascii="仿宋_GB2312" w:hAnsi="仿宋_GB2312" w:cs="仿宋_GB2312" w:eastAsia="仿宋_GB2312"/>
                <w:sz w:val="24"/>
              </w:rPr>
              <w:t>6.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ind w:firstLine="480"/>
              <w:jc w:val="both"/>
            </w:pPr>
            <w:r>
              <w:rPr>
                <w:rFonts w:ascii="仿宋_GB2312" w:hAnsi="仿宋_GB2312" w:cs="仿宋_GB2312" w:eastAsia="仿宋_GB2312"/>
                <w:sz w:val="24"/>
              </w:rPr>
              <w:t>7.成交供应商未经采购人及有关部门同意，不得擅自变更本项目在竞争性磋商过程承诺中认定的采购范围、实施组织方案和项目经理（响应文件中应明确项目经理的姓名及联系方法，以备检查）</w:t>
            </w:r>
          </w:p>
          <w:p>
            <w:pPr>
              <w:pStyle w:val="null3"/>
              <w:ind w:firstLine="480"/>
              <w:jc w:val="both"/>
            </w:pPr>
            <w:r>
              <w:rPr>
                <w:rFonts w:ascii="仿宋_GB2312" w:hAnsi="仿宋_GB2312" w:cs="仿宋_GB2312" w:eastAsia="仿宋_GB2312"/>
                <w:sz w:val="24"/>
              </w:rPr>
              <w:t>8.成交供应商必须自行施工，不得转包、分包。</w:t>
            </w:r>
          </w:p>
          <w:p>
            <w:pPr>
              <w:pStyle w:val="null3"/>
              <w:ind w:firstLine="480"/>
              <w:jc w:val="both"/>
            </w:pPr>
            <w:r>
              <w:rPr>
                <w:rFonts w:ascii="仿宋_GB2312" w:hAnsi="仿宋_GB2312" w:cs="仿宋_GB2312" w:eastAsia="仿宋_GB2312"/>
                <w:sz w:val="24"/>
              </w:rPr>
              <w:t>9.成交供应商在施工过程中不得影响学校的日常生活、工作秩序。</w:t>
            </w:r>
          </w:p>
          <w:p>
            <w:pPr>
              <w:pStyle w:val="null3"/>
              <w:ind w:firstLine="480"/>
              <w:jc w:val="both"/>
            </w:pPr>
            <w:r>
              <w:rPr>
                <w:rFonts w:ascii="仿宋_GB2312" w:hAnsi="仿宋_GB2312" w:cs="仿宋_GB2312" w:eastAsia="仿宋_GB2312"/>
                <w:sz w:val="24"/>
              </w:rPr>
              <w:t>10.现场垃圾清运、治污减霾工作由成交供应商全权负责，供应商应负责做好项目的扬尘防治工作及垃圾清运工作。</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、工程量清单、图纸及主要材料</w:t>
            </w:r>
          </w:p>
          <w:p>
            <w:pPr>
              <w:pStyle w:val="null3"/>
              <w:ind w:firstLine="482"/>
              <w:jc w:val="both"/>
            </w:pPr>
            <w:r>
              <w:rPr>
                <w:rFonts w:ascii="仿宋_GB2312" w:hAnsi="仿宋_GB2312" w:cs="仿宋_GB2312" w:eastAsia="仿宋_GB2312"/>
                <w:sz w:val="24"/>
                <w:b/>
              </w:rPr>
              <w:t>（一）工程量清单：</w:t>
            </w:r>
            <w:r>
              <w:rPr>
                <w:rFonts w:ascii="仿宋_GB2312" w:hAnsi="仿宋_GB2312" w:cs="仿宋_GB2312" w:eastAsia="仿宋_GB2312"/>
                <w:sz w:val="24"/>
              </w:rPr>
              <w:t>详见附件。</w:t>
            </w:r>
          </w:p>
          <w:p>
            <w:pPr>
              <w:pStyle w:val="null3"/>
              <w:ind w:firstLine="482"/>
              <w:jc w:val="both"/>
            </w:pPr>
            <w:r>
              <w:rPr>
                <w:rFonts w:ascii="仿宋_GB2312" w:hAnsi="仿宋_GB2312" w:cs="仿宋_GB2312" w:eastAsia="仿宋_GB2312"/>
                <w:sz w:val="24"/>
                <w:b/>
              </w:rPr>
              <w:t>（二）图纸：</w:t>
            </w:r>
            <w:r>
              <w:rPr>
                <w:rFonts w:ascii="仿宋_GB2312" w:hAnsi="仿宋_GB2312" w:cs="仿宋_GB2312" w:eastAsia="仿宋_GB2312"/>
                <w:sz w:val="24"/>
              </w:rPr>
              <w:t>详见附件。</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）主要材料技术参数要求</w:t>
            </w:r>
          </w:p>
          <w:tbl>
            <w:tblPr>
              <w:tblBorders>
                <w:top w:val="none" w:color="000000" w:sz="4"/>
                <w:left w:val="none" w:color="000000" w:sz="4"/>
                <w:bottom w:val="none" w:color="000000" w:sz="4"/>
                <w:right w:val="none" w:color="000000" w:sz="4"/>
                <w:insideH w:val="none"/>
                <w:insideV w:val="none"/>
              </w:tblBorders>
            </w:tblPr>
            <w:tblGrid>
              <w:gridCol w:w="253"/>
              <w:gridCol w:w="218"/>
              <w:gridCol w:w="408"/>
              <w:gridCol w:w="1674"/>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类别</w:t>
                  </w:r>
                </w:p>
              </w:tc>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1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参数、标准、要求</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装饰装修</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乳胶漆</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乳胶漆挥发性有机化合物含量（60°光泽≤10）≤50g/L</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 乳胶漆挥发性有机化合物含量（60°光泽＞10）≤80g/L</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 乳胶漆甲醛含量（乙酰丙酮法）≤30mg/kg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 乳胶漆苯、甲苯、乙苯、二甲苯总和≤80mg/kg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5.耐洗刷性：≥6000 次</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6.非工程款竹炭净味漆，</w:t>
                  </w:r>
                  <w:r>
                    <w:rPr>
                      <w:rFonts w:ascii="仿宋_GB2312" w:hAnsi="仿宋_GB2312" w:cs="仿宋_GB2312" w:eastAsia="仿宋_GB2312"/>
                      <w:sz w:val="24"/>
                    </w:rPr>
                    <w:t>甲醛净化效率</w:t>
                  </w:r>
                  <w:r>
                    <w:rPr>
                      <w:rFonts w:ascii="仿宋_GB2312" w:hAnsi="仿宋_GB2312" w:cs="仿宋_GB2312" w:eastAsia="仿宋_GB2312"/>
                      <w:sz w:val="24"/>
                    </w:rPr>
                    <w:t>≥80%，竹炭颗粒细度≤50纳米，VOC≤10g/L，符合GB18582-2020标准，未添加香精、溶剂，游离甲醛≤5mg/kg，通过CNAS认证，</w:t>
                  </w:r>
                  <w:r>
                    <w:rPr>
                      <w:rFonts w:ascii="仿宋_GB2312" w:hAnsi="仿宋_GB2312" w:cs="仿宋_GB2312" w:eastAsia="仿宋_GB2312"/>
                      <w:sz w:val="24"/>
                    </w:rPr>
                    <w:t>节能环保产品，符合本项目工程量清单、施工图纸相关要求，符合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墙地瓷砖</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通过</w:t>
                  </w:r>
                  <w:r>
                    <w:rPr>
                      <w:rFonts w:ascii="仿宋_GB2312" w:hAnsi="仿宋_GB2312" w:cs="仿宋_GB2312" w:eastAsia="仿宋_GB2312"/>
                      <w:sz w:val="24"/>
                    </w:rPr>
                    <w:t>3C认证，执行标准GB/T4100-2015附录G，干压陶瓷E≤0.5%BIa类M，吸水率≤0.5%，摩擦系数≥0.5，符合GB6566-2010建筑材料放射性核素限量中放射性水平A类。</w:t>
                  </w:r>
                  <w:r>
                    <w:rPr>
                      <w:rFonts w:ascii="仿宋_GB2312" w:hAnsi="仿宋_GB2312" w:cs="仿宋_GB2312" w:eastAsia="仿宋_GB2312"/>
                      <w:sz w:val="24"/>
                    </w:rPr>
                    <w:t>产品内照射指数</w:t>
                  </w:r>
                  <w:r>
                    <w:rPr>
                      <w:rFonts w:ascii="仿宋_GB2312" w:hAnsi="仿宋_GB2312" w:cs="仿宋_GB2312" w:eastAsia="仿宋_GB2312"/>
                      <w:sz w:val="24"/>
                    </w:rPr>
                    <w:t>IRa≤0.9</w:t>
                  </w:r>
                  <w:r>
                    <w:rPr>
                      <w:rFonts w:ascii="仿宋_GB2312" w:hAnsi="仿宋_GB2312" w:cs="仿宋_GB2312" w:eastAsia="仿宋_GB2312"/>
                      <w:sz w:val="24"/>
                    </w:rPr>
                    <w:t>，</w:t>
                  </w:r>
                  <w:r>
                    <w:rPr>
                      <w:rFonts w:ascii="仿宋_GB2312" w:hAnsi="仿宋_GB2312" w:cs="仿宋_GB2312" w:eastAsia="仿宋_GB2312"/>
                      <w:sz w:val="24"/>
                    </w:rPr>
                    <w:t>外照射指数</w:t>
                  </w:r>
                  <w:r>
                    <w:rPr>
                      <w:rFonts w:ascii="仿宋_GB2312" w:hAnsi="仿宋_GB2312" w:cs="仿宋_GB2312" w:eastAsia="仿宋_GB2312"/>
                      <w:sz w:val="24"/>
                    </w:rPr>
                    <w:t>Ir≤1.2</w:t>
                  </w:r>
                  <w:r>
                    <w:rPr>
                      <w:rFonts w:ascii="仿宋_GB2312" w:hAnsi="仿宋_GB2312" w:cs="仿宋_GB2312" w:eastAsia="仿宋_GB2312"/>
                      <w:sz w:val="24"/>
                    </w:rPr>
                    <w:t>，</w:t>
                  </w:r>
                  <w:r>
                    <w:rPr>
                      <w:rFonts w:ascii="仿宋_GB2312" w:hAnsi="仿宋_GB2312" w:cs="仿宋_GB2312" w:eastAsia="仿宋_GB2312"/>
                      <w:sz w:val="24"/>
                    </w:rPr>
                    <w:t>耐污染性</w:t>
                  </w:r>
                  <w:r>
                    <w:rPr>
                      <w:rFonts w:ascii="仿宋_GB2312" w:hAnsi="仿宋_GB2312" w:cs="仿宋_GB2312" w:eastAsia="仿宋_GB2312"/>
                      <w:sz w:val="24"/>
                    </w:rPr>
                    <w:t>≥3 级</w:t>
                  </w:r>
                  <w:r>
                    <w:rPr>
                      <w:rFonts w:ascii="仿宋_GB2312" w:hAnsi="仿宋_GB2312" w:cs="仿宋_GB2312" w:eastAsia="仿宋_GB2312"/>
                      <w:sz w:val="24"/>
                    </w:rPr>
                    <w:t>，</w:t>
                  </w:r>
                  <w:r>
                    <w:rPr>
                      <w:rFonts w:ascii="仿宋_GB2312" w:hAnsi="仿宋_GB2312" w:cs="仿宋_GB2312" w:eastAsia="仿宋_GB2312"/>
                      <w:sz w:val="24"/>
                    </w:rPr>
                    <w:t>节能环保产品，符合本项目工程量清单、施工图纸相关要求，符合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1.2mm厚304哑光不锈钢,节能环保产品，符合本项目工程量清单、施工图纸相关要求，符合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人造石</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20、18mm厚，防水、防渗、防霉，抗压≥160MPa，抗冲击≥15kg/㎡，弯曲强度≥40MPa，耐磨≤0.02g/cm</w:t>
                  </w:r>
                  <w:r>
                    <w:rPr>
                      <w:rFonts w:ascii="仿宋_GB2312" w:hAnsi="仿宋_GB2312" w:cs="仿宋_GB2312" w:eastAsia="仿宋_GB2312"/>
                      <w:sz w:val="24"/>
                      <w:vertAlign w:val="superscript"/>
                    </w:rPr>
                    <w:t>2</w:t>
                  </w:r>
                  <w:r>
                    <w:rPr>
                      <w:rFonts w:ascii="仿宋_GB2312" w:hAnsi="仿宋_GB2312" w:cs="仿宋_GB2312" w:eastAsia="仿宋_GB2312"/>
                      <w:sz w:val="24"/>
                    </w:rPr>
                    <w:t>，抗菌率</w:t>
                  </w:r>
                  <w:r>
                    <w:rPr>
                      <w:rFonts w:ascii="仿宋_GB2312" w:hAnsi="仿宋_GB2312" w:cs="仿宋_GB2312" w:eastAsia="仿宋_GB2312"/>
                      <w:sz w:val="24"/>
                    </w:rPr>
                    <w:t>≥99%，耐温差-20℃~120℃，耐酸碱10%盐酸，耐污≥4级，甲醛符合GB18580-2017，E0级≤0.05mg/m³，VOC含量≤100g/L，放射性核素内照≤1.0外照≤1.3，符合</w:t>
                  </w:r>
                  <w:r>
                    <w:rPr>
                      <w:rFonts w:ascii="仿宋_GB2312" w:hAnsi="仿宋_GB2312" w:cs="仿宋_GB2312" w:eastAsia="仿宋_GB2312"/>
                      <w:sz w:val="24"/>
                    </w:rPr>
                    <w:t>国家相关标准、规范</w:t>
                  </w:r>
                  <w:r>
                    <w:rPr>
                      <w:rFonts w:ascii="仿宋_GB2312" w:hAnsi="仿宋_GB2312" w:cs="仿宋_GB2312" w:eastAsia="仿宋_GB2312"/>
                      <w:sz w:val="24"/>
                    </w:rPr>
                    <w:t>，</w:t>
                  </w:r>
                  <w:r>
                    <w:rPr>
                      <w:rFonts w:ascii="仿宋_GB2312" w:hAnsi="仿宋_GB2312" w:cs="仿宋_GB2312" w:eastAsia="仿宋_GB2312"/>
                      <w:sz w:val="24"/>
                    </w:rPr>
                    <w:t>满足设计需求</w:t>
                  </w:r>
                  <w:r>
                    <w:rPr>
                      <w:rFonts w:ascii="仿宋_GB2312" w:hAnsi="仿宋_GB2312" w:cs="仿宋_GB2312" w:eastAsia="仿宋_GB2312"/>
                      <w:sz w:val="24"/>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阻燃木工板</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15mm厚，节能环保产品，符合本项目工程量清单、施工图纸相关要求，符合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石膏板</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9/12mm厚节能环保产品，符合本项目工程量清单、施工图纸相关要求，符合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轻钢龙骨</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节能环保产品，符合本项目工程量清单、施工图纸相关要求，</w:t>
                  </w:r>
                  <w:r>
                    <w:rPr>
                      <w:rFonts w:ascii="仿宋_GB2312" w:hAnsi="仿宋_GB2312" w:cs="仿宋_GB2312" w:eastAsia="仿宋_GB2312"/>
                      <w:sz w:val="24"/>
                    </w:rPr>
                    <w:t>符合国家相关标准、规范</w:t>
                  </w:r>
                  <w:r>
                    <w:rPr>
                      <w:rFonts w:ascii="仿宋_GB2312" w:hAnsi="仿宋_GB2312" w:cs="仿宋_GB2312" w:eastAsia="仿宋_GB2312"/>
                      <w:sz w:val="24"/>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铝方通</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1.2mm厚，节能环保产品，符合本项目工程量清单、施工图纸相关要求，符合国家相关标准、规范;</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铝扣板</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1.2mm厚，节能环保产品，符合本项目工程量清单、施工图纸相关要求，符合国家相关标准、规范;</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玻璃胶</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1.单位产品总挥发性有机物（TVOC）含量≤80g/kg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2.烷烃增塑剂（红外光谱）不得检出</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 密封胶分级达到 20HM、25HM、20LM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4.符合《胶粘剂中有害物质限量》</w:t>
                  </w:r>
                  <w:r>
                    <w:rPr>
                      <w:rFonts w:ascii="仿宋_GB2312" w:hAnsi="仿宋_GB2312" w:cs="仿宋_GB2312" w:eastAsia="仿宋_GB2312"/>
                      <w:sz w:val="24"/>
                    </w:rPr>
                    <w:t>GB</w:t>
                  </w:r>
                  <w:r>
                    <w:rPr>
                      <w:rFonts w:ascii="仿宋_GB2312" w:hAnsi="仿宋_GB2312" w:cs="仿宋_GB2312" w:eastAsia="仿宋_GB2312"/>
                      <w:sz w:val="24"/>
                    </w:rPr>
                    <w:t xml:space="preserve"> </w:t>
                  </w:r>
                  <w:r>
                    <w:rPr>
                      <w:rFonts w:ascii="仿宋_GB2312" w:hAnsi="仿宋_GB2312" w:cs="仿宋_GB2312" w:eastAsia="仿宋_GB2312"/>
                      <w:sz w:val="24"/>
                    </w:rPr>
                    <w:t>18583-2008</w:t>
                  </w:r>
                  <w:r>
                    <w:rPr>
                      <w:rFonts w:ascii="仿宋_GB2312" w:hAnsi="仿宋_GB2312" w:cs="仿宋_GB2312" w:eastAsia="仿宋_GB2312"/>
                      <w:sz w:val="24"/>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结构胶</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1.单位产品总挥发性有机物（TVOC）含量≤80g/kg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2.烷烃增塑剂（红外光谱）不得检出</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3.23℃拉伸粘结强度标准值≥0.6MPa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4.粘结破坏面积≤5%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4.符合《胶粘剂中有害物质限量》</w:t>
                  </w:r>
                  <w:r>
                    <w:rPr>
                      <w:rFonts w:ascii="仿宋_GB2312" w:hAnsi="仿宋_GB2312" w:cs="仿宋_GB2312" w:eastAsia="仿宋_GB2312"/>
                      <w:sz w:val="24"/>
                    </w:rPr>
                    <w:t>GB</w:t>
                  </w:r>
                  <w:r>
                    <w:rPr>
                      <w:rFonts w:ascii="仿宋_GB2312" w:hAnsi="仿宋_GB2312" w:cs="仿宋_GB2312" w:eastAsia="仿宋_GB2312"/>
                      <w:sz w:val="24"/>
                    </w:rPr>
                    <w:t xml:space="preserve"> </w:t>
                  </w:r>
                  <w:r>
                    <w:rPr>
                      <w:rFonts w:ascii="仿宋_GB2312" w:hAnsi="仿宋_GB2312" w:cs="仿宋_GB2312" w:eastAsia="仿宋_GB2312"/>
                      <w:sz w:val="24"/>
                    </w:rPr>
                    <w:t>18583-2008</w:t>
                  </w:r>
                  <w:r>
                    <w:rPr>
                      <w:rFonts w:ascii="仿宋_GB2312" w:hAnsi="仿宋_GB2312" w:cs="仿宋_GB2312" w:eastAsia="仿宋_GB2312"/>
                      <w:sz w:val="24"/>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抗倍特板隔断</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防水防潮，</w:t>
                  </w:r>
                  <w:r>
                    <w:rPr>
                      <w:rFonts w:ascii="仿宋_GB2312" w:hAnsi="仿宋_GB2312" w:cs="仿宋_GB2312" w:eastAsia="仿宋_GB2312"/>
                      <w:sz w:val="24"/>
                    </w:rPr>
                    <w:t>符合国家相关标准、规范</w:t>
                  </w:r>
                  <w:r>
                    <w:rPr>
                      <w:rFonts w:ascii="仿宋_GB2312" w:hAnsi="仿宋_GB2312" w:cs="仿宋_GB2312" w:eastAsia="仿宋_GB2312"/>
                      <w:sz w:val="24"/>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防水涂料</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水泥基渗透结晶型防水涂料</w:t>
                  </w:r>
                  <w:r>
                    <w:rPr>
                      <w:rFonts w:ascii="仿宋_GB2312" w:hAnsi="仿宋_GB2312" w:cs="仿宋_GB2312" w:eastAsia="仿宋_GB2312"/>
                      <w:sz w:val="24"/>
                    </w:rPr>
                    <w:t>、</w:t>
                  </w:r>
                  <w:r>
                    <w:rPr>
                      <w:rFonts w:ascii="仿宋_GB2312" w:hAnsi="仿宋_GB2312" w:cs="仿宋_GB2312" w:eastAsia="仿宋_GB2312"/>
                      <w:sz w:val="24"/>
                    </w:rPr>
                    <w:t>聚合物水泥防水涂料</w:t>
                  </w:r>
                  <w:r>
                    <w:rPr>
                      <w:rFonts w:ascii="仿宋_GB2312" w:hAnsi="仿宋_GB2312" w:cs="仿宋_GB2312" w:eastAsia="仿宋_GB2312"/>
                      <w:sz w:val="24"/>
                    </w:rPr>
                    <w:t>、</w:t>
                  </w:r>
                  <w:r>
                    <w:rPr>
                      <w:rFonts w:ascii="仿宋_GB2312" w:hAnsi="仿宋_GB2312" w:cs="仿宋_GB2312" w:eastAsia="仿宋_GB2312"/>
                      <w:sz w:val="24"/>
                    </w:rPr>
                    <w:t>聚氨酯防水涂料</w:t>
                  </w:r>
                  <w:r>
                    <w:rPr>
                      <w:rFonts w:ascii="仿宋_GB2312" w:hAnsi="仿宋_GB2312" w:cs="仿宋_GB2312" w:eastAsia="仿宋_GB2312"/>
                      <w:sz w:val="24"/>
                    </w:rPr>
                    <w:t>,</w:t>
                  </w:r>
                  <w:r>
                    <w:rPr>
                      <w:rFonts w:ascii="仿宋_GB2312" w:hAnsi="仿宋_GB2312" w:cs="仿宋_GB2312" w:eastAsia="仿宋_GB2312"/>
                      <w:sz w:val="24"/>
                    </w:rPr>
                    <w:t>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电气</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配电箱</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1.符合本项目工程量清单、施工图纸相关要求和国家相关标准、规范；</w:t>
                  </w:r>
                </w:p>
                <w:p>
                  <w:pPr>
                    <w:pStyle w:val="null3"/>
                    <w:jc w:val="left"/>
                  </w:pPr>
                  <w:r>
                    <w:rPr>
                      <w:rFonts w:ascii="仿宋_GB2312" w:hAnsi="仿宋_GB2312" w:cs="仿宋_GB2312" w:eastAsia="仿宋_GB2312"/>
                      <w:sz w:val="24"/>
                    </w:rPr>
                    <w:t>2.箱体、元器件安装底板均采用大型钢厂冷轧钢板</w:t>
                  </w:r>
                  <w:r>
                    <w:rPr>
                      <w:rFonts w:ascii="仿宋_GB2312" w:hAnsi="仿宋_GB2312" w:cs="仿宋_GB2312" w:eastAsia="仿宋_GB2312"/>
                      <w:sz w:val="24"/>
                    </w:rPr>
                    <w:t>;</w:t>
                  </w:r>
                  <w:r>
                    <w:rPr>
                      <w:rFonts w:ascii="仿宋_GB2312" w:hAnsi="仿宋_GB2312" w:cs="仿宋_GB2312" w:eastAsia="仿宋_GB2312"/>
                      <w:sz w:val="24"/>
                    </w:rPr>
                    <w:t>配电箱箱体为喷塑，颜色为电脑灰色；安装底板应镀锌；</w:t>
                  </w:r>
                </w:p>
                <w:p>
                  <w:pPr>
                    <w:pStyle w:val="null3"/>
                    <w:jc w:val="left"/>
                  </w:pPr>
                  <w:r>
                    <w:rPr>
                      <w:rFonts w:ascii="仿宋_GB2312" w:hAnsi="仿宋_GB2312" w:cs="仿宋_GB2312" w:eastAsia="仿宋_GB2312"/>
                      <w:sz w:val="24"/>
                    </w:rPr>
                    <w:t>3.箱内布线要分色；一次线、铜排、辅料均采用合格产品</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4.施工图纸中箱体规格尺寸仅供参考，报价不再因箱体尺寸变化而变化</w:t>
                  </w:r>
                  <w:r>
                    <w:rPr>
                      <w:rFonts w:ascii="仿宋_GB2312" w:hAnsi="仿宋_GB2312" w:cs="仿宋_GB2312" w:eastAsia="仿宋_GB2312"/>
                      <w:sz w:val="24"/>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电线</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采用低烟低毒阻燃型线缆、矿物绝缘类不燃性电缆等，且导体材料采用铜芯</w:t>
                  </w:r>
                  <w:r>
                    <w:rPr>
                      <w:rFonts w:ascii="仿宋_GB2312" w:hAnsi="仿宋_GB2312" w:cs="仿宋_GB2312" w:eastAsia="仿宋_GB2312"/>
                      <w:sz w:val="24"/>
                    </w:rPr>
                    <w:t>，</w:t>
                  </w:r>
                  <w:r>
                    <w:rPr>
                      <w:rFonts w:ascii="仿宋_GB2312" w:hAnsi="仿宋_GB2312" w:cs="仿宋_GB2312" w:eastAsia="仿宋_GB2312"/>
                      <w:sz w:val="24"/>
                    </w:rPr>
                    <w:t>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线管</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节能环保产品，符合本项目工程量清单、施工图纸相关要求，符合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开关</w:t>
                  </w:r>
                  <w:r>
                    <w:rPr>
                      <w:rFonts w:ascii="仿宋_GB2312" w:hAnsi="仿宋_GB2312" w:cs="仿宋_GB2312" w:eastAsia="仿宋_GB2312"/>
                      <w:sz w:val="24"/>
                    </w:rPr>
                    <w:t>/插座</w:t>
                  </w:r>
                  <w:r>
                    <w:rPr>
                      <w:rFonts w:ascii="仿宋_GB2312" w:hAnsi="仿宋_GB2312" w:cs="仿宋_GB2312" w:eastAsia="仿宋_GB2312"/>
                      <w:sz w:val="24"/>
                    </w:rPr>
                    <w:t>面板</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220V，64A/32A/16A/10A等，</w:t>
                  </w:r>
                  <w:r>
                    <w:rPr>
                      <w:rFonts w:ascii="仿宋_GB2312" w:hAnsi="仿宋_GB2312" w:cs="仿宋_GB2312" w:eastAsia="仿宋_GB2312"/>
                      <w:sz w:val="24"/>
                    </w:rPr>
                    <w:t>节能环保产品，符合本项目工程量清单、施工图纸相关要求，符合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空气开关</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16/32A等，带漏电保护。节能环保产品，符合本项目工程量清单、施工图纸相关要求，符合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照明灯具</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参数详见设计图纸、工程量清单，符合本项目工程量清单、施工图纸相关要求，符合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给排水</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PVC</w:t>
                  </w:r>
                  <w:r>
                    <w:rPr>
                      <w:rFonts w:ascii="仿宋_GB2312" w:hAnsi="仿宋_GB2312" w:cs="仿宋_GB2312" w:eastAsia="仿宋_GB2312"/>
                      <w:sz w:val="24"/>
                    </w:rPr>
                    <w:t>水管</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1.铅限量≤100mg/kg（适用于聚氯乙烯（PVC）类塑料管材管件）；</w:t>
                  </w:r>
                </w:p>
                <w:p>
                  <w:pPr>
                    <w:pStyle w:val="null3"/>
                    <w:jc w:val="left"/>
                  </w:pPr>
                  <w:r>
                    <w:rPr>
                      <w:rFonts w:ascii="仿宋_GB2312" w:hAnsi="仿宋_GB2312" w:cs="仿宋_GB2312" w:eastAsia="仿宋_GB2312"/>
                      <w:sz w:val="24"/>
                    </w:rPr>
                    <w:t>2.密度＜1450kg/m</w:t>
                  </w:r>
                  <w:r>
                    <w:rPr>
                      <w:rFonts w:ascii="仿宋_GB2312" w:hAnsi="仿宋_GB2312" w:cs="仿宋_GB2312" w:eastAsia="仿宋_GB2312"/>
                      <w:sz w:val="24"/>
                      <w:vertAlign w:val="superscript"/>
                    </w:rPr>
                    <w:t>3</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3.内排水管道系统噪声＜48dB（适用于聚氯乙烯（PVC）类塑料管材管件）。</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洁具</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全部洁具的用水效率等级达到</w:t>
                  </w:r>
                  <w:r>
                    <w:rPr>
                      <w:rFonts w:ascii="仿宋_GB2312" w:hAnsi="仿宋_GB2312" w:cs="仿宋_GB2312" w:eastAsia="仿宋_GB2312"/>
                      <w:sz w:val="24"/>
                    </w:rPr>
                    <w:t>2 级（依据 GB 28377、GB 28379、GB 30717、GB/T 50378）</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洗手盆</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成品台盆含柜体，</w:t>
                  </w:r>
                  <w:r>
                    <w:rPr>
                      <w:rFonts w:ascii="仿宋_GB2312" w:hAnsi="仿宋_GB2312" w:cs="仿宋_GB2312" w:eastAsia="仿宋_GB2312"/>
                      <w:sz w:val="24"/>
                    </w:rPr>
                    <w:t>含柜体、下水线、五金件、把手等</w:t>
                  </w:r>
                  <w:r>
                    <w:rPr>
                      <w:rFonts w:ascii="仿宋_GB2312" w:hAnsi="仿宋_GB2312" w:cs="仿宋_GB2312" w:eastAsia="仿宋_GB2312"/>
                      <w:sz w:val="24"/>
                    </w:rPr>
                    <w:t>；</w:t>
                  </w:r>
                  <w:r>
                    <w:rPr>
                      <w:rFonts w:ascii="仿宋_GB2312" w:hAnsi="仿宋_GB2312" w:cs="仿宋_GB2312" w:eastAsia="仿宋_GB2312"/>
                      <w:sz w:val="24"/>
                    </w:rPr>
                    <w:t>板材为</w:t>
                  </w:r>
                  <w:r>
                    <w:rPr>
                      <w:rFonts w:ascii="仿宋_GB2312" w:hAnsi="仿宋_GB2312" w:cs="仿宋_GB2312" w:eastAsia="仿宋_GB2312"/>
                      <w:sz w:val="24"/>
                    </w:rPr>
                    <w:t>E1级多层实木板；陶瓷</w:t>
                  </w:r>
                  <w:r>
                    <w:rPr>
                      <w:rFonts w:ascii="仿宋_GB2312" w:hAnsi="仿宋_GB2312" w:cs="仿宋_GB2312" w:eastAsia="仿宋_GB2312"/>
                      <w:sz w:val="24"/>
                    </w:rPr>
                    <w:t>耐污染性</w:t>
                  </w:r>
                  <w:r>
                    <w:rPr>
                      <w:rFonts w:ascii="仿宋_GB2312" w:hAnsi="仿宋_GB2312" w:cs="仿宋_GB2312" w:eastAsia="仿宋_GB2312"/>
                      <w:sz w:val="24"/>
                    </w:rPr>
                    <w:t>≥3 级</w:t>
                  </w:r>
                  <w:r>
                    <w:rPr>
                      <w:rFonts w:ascii="仿宋_GB2312" w:hAnsi="仿宋_GB2312" w:cs="仿宋_GB2312" w:eastAsia="仿宋_GB2312"/>
                      <w:sz w:val="24"/>
                    </w:rPr>
                    <w:t>；</w:t>
                  </w:r>
                  <w:r>
                    <w:rPr>
                      <w:rFonts w:ascii="仿宋_GB2312" w:hAnsi="仿宋_GB2312" w:cs="仿宋_GB2312" w:eastAsia="仿宋_GB2312"/>
                      <w:sz w:val="24"/>
                    </w:rPr>
                    <w:t>不锈钢下水线</w:t>
                  </w:r>
                  <w:r>
                    <w:rPr>
                      <w:rFonts w:ascii="仿宋_GB2312" w:hAnsi="仿宋_GB2312" w:cs="仿宋_GB2312" w:eastAsia="仿宋_GB2312"/>
                      <w:sz w:val="24"/>
                    </w:rPr>
                    <w:t>。</w:t>
                  </w:r>
                  <w:r>
                    <w:rPr>
                      <w:rFonts w:ascii="仿宋_GB2312" w:hAnsi="仿宋_GB2312" w:cs="仿宋_GB2312" w:eastAsia="仿宋_GB2312"/>
                      <w:sz w:val="24"/>
                    </w:rPr>
                    <w:t>节能环保产品，符合本项目工程量清单、施工图纸相关要求，符合</w:t>
                  </w:r>
                  <w:r>
                    <w:rPr>
                      <w:rFonts w:ascii="仿宋_GB2312" w:hAnsi="仿宋_GB2312" w:cs="仿宋_GB2312" w:eastAsia="仿宋_GB2312"/>
                      <w:sz w:val="24"/>
                    </w:rPr>
                    <w:t>国家相关标准、规范</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水咀</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不锈钢拉丝水咀，</w:t>
                  </w:r>
                  <w:r>
                    <w:rPr>
                      <w:rFonts w:ascii="仿宋_GB2312" w:hAnsi="仿宋_GB2312" w:cs="仿宋_GB2312" w:eastAsia="仿宋_GB2312"/>
                      <w:sz w:val="24"/>
                    </w:rPr>
                    <w:t>产品金属污染物析出统计值：</w:t>
                  </w:r>
                </w:p>
                <w:p>
                  <w:pPr>
                    <w:pStyle w:val="null3"/>
                    <w:jc w:val="left"/>
                  </w:pPr>
                  <w:r>
                    <w:rPr>
                      <w:rFonts w:ascii="仿宋_GB2312" w:hAnsi="仿宋_GB2312" w:cs="仿宋_GB2312" w:eastAsia="仿宋_GB2312"/>
                      <w:sz w:val="24"/>
                    </w:rPr>
                    <w:t>Pb≤4μg/L</w:t>
                  </w:r>
                </w:p>
                <w:p>
                  <w:pPr>
                    <w:pStyle w:val="null3"/>
                    <w:jc w:val="left"/>
                  </w:pPr>
                  <w:r>
                    <w:rPr>
                      <w:rFonts w:ascii="仿宋_GB2312" w:hAnsi="仿宋_GB2312" w:cs="仿宋_GB2312" w:eastAsia="仿宋_GB2312"/>
                      <w:sz w:val="24"/>
                    </w:rPr>
                    <w:t>Cu≤100μg/L</w:t>
                  </w:r>
                </w:p>
                <w:p>
                  <w:pPr>
                    <w:pStyle w:val="null3"/>
                    <w:jc w:val="left"/>
                  </w:pPr>
                  <w:r>
                    <w:rPr>
                      <w:rFonts w:ascii="仿宋_GB2312" w:hAnsi="仿宋_GB2312" w:cs="仿宋_GB2312" w:eastAsia="仿宋_GB2312"/>
                      <w:sz w:val="24"/>
                    </w:rPr>
                    <w:t>Cr≤7μg/L</w:t>
                  </w:r>
                </w:p>
                <w:p>
                  <w:pPr>
                    <w:pStyle w:val="null3"/>
                    <w:jc w:val="left"/>
                  </w:pPr>
                  <w:r>
                    <w:rPr>
                      <w:rFonts w:ascii="仿宋_GB2312" w:hAnsi="仿宋_GB2312" w:cs="仿宋_GB2312" w:eastAsia="仿宋_GB2312"/>
                      <w:sz w:val="24"/>
                    </w:rPr>
                    <w:t>Cd≤0.4μg/L</w:t>
                  </w:r>
                </w:p>
                <w:p>
                  <w:pPr>
                    <w:pStyle w:val="null3"/>
                    <w:jc w:val="left"/>
                  </w:pPr>
                  <w:r>
                    <w:rPr>
                      <w:rFonts w:ascii="仿宋_GB2312" w:hAnsi="仿宋_GB2312" w:cs="仿宋_GB2312" w:eastAsia="仿宋_GB2312"/>
                      <w:sz w:val="24"/>
                    </w:rPr>
                    <w:t>As≤0.7μg/L</w:t>
                  </w:r>
                </w:p>
                <w:p>
                  <w:pPr>
                    <w:pStyle w:val="null3"/>
                    <w:jc w:val="left"/>
                  </w:pPr>
                  <w:r>
                    <w:rPr>
                      <w:rFonts w:ascii="仿宋_GB2312" w:hAnsi="仿宋_GB2312" w:cs="仿宋_GB2312" w:eastAsia="仿宋_GB2312"/>
                      <w:sz w:val="24"/>
                    </w:rPr>
                    <w:t>Cr6+≤1.5μg/L</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大便器</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液压</w:t>
                  </w:r>
                  <w:r>
                    <w:rPr>
                      <w:rFonts w:ascii="仿宋_GB2312" w:hAnsi="仿宋_GB2312" w:cs="仿宋_GB2312" w:eastAsia="仿宋_GB2312"/>
                      <w:sz w:val="24"/>
                    </w:rPr>
                    <w:t>不锈钢</w:t>
                  </w:r>
                  <w:r>
                    <w:rPr>
                      <w:rFonts w:ascii="仿宋_GB2312" w:hAnsi="仿宋_GB2312" w:cs="仿宋_GB2312" w:eastAsia="仿宋_GB2312"/>
                      <w:sz w:val="24"/>
                    </w:rPr>
                    <w:t>脚踏冲洗阀</w:t>
                  </w:r>
                  <w:r>
                    <w:rPr>
                      <w:rFonts w:ascii="仿宋_GB2312" w:hAnsi="仿宋_GB2312" w:cs="仿宋_GB2312" w:eastAsia="仿宋_GB2312"/>
                      <w:sz w:val="24"/>
                    </w:rPr>
                    <w:t>/感应阀前排水单排</w:t>
                  </w:r>
                  <w:r>
                    <w:rPr>
                      <w:rFonts w:ascii="仿宋_GB2312" w:hAnsi="仿宋_GB2312" w:cs="仿宋_GB2312" w:eastAsia="仿宋_GB2312"/>
                      <w:sz w:val="24"/>
                    </w:rPr>
                    <w:t>蹲式大便器</w:t>
                  </w:r>
                  <w:r>
                    <w:rPr>
                      <w:rFonts w:ascii="仿宋_GB2312" w:hAnsi="仿宋_GB2312" w:cs="仿宋_GB2312" w:eastAsia="仿宋_GB2312"/>
                      <w:sz w:val="24"/>
                    </w:rPr>
                    <w:t>带存水弯</w:t>
                  </w:r>
                  <w:r>
                    <w:rPr>
                      <w:rFonts w:ascii="仿宋_GB2312" w:hAnsi="仿宋_GB2312" w:cs="仿宋_GB2312" w:eastAsia="仿宋_GB2312"/>
                      <w:sz w:val="24"/>
                    </w:rPr>
                    <w:t>，</w:t>
                  </w:r>
                  <w:r>
                    <w:rPr>
                      <w:rFonts w:ascii="仿宋_GB2312" w:hAnsi="仿宋_GB2312" w:cs="仿宋_GB2312" w:eastAsia="仿宋_GB2312"/>
                      <w:sz w:val="24"/>
                    </w:rPr>
                    <w:t>符合国家相关标准、规范。</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小便器</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上进地排分体式悬挂小便器。</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218"/>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阀门</w:t>
                  </w:r>
                </w:p>
              </w:tc>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参数详见设计图纸、工程量清单，符合本项目工程量清单、施工图纸相关要求，符合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bl>
          <w:p>
            <w:pPr>
              <w:pStyle w:val="null3"/>
              <w:ind w:firstLine="482"/>
              <w:jc w:val="both"/>
            </w:pPr>
            <w:r>
              <w:rPr>
                <w:rFonts w:ascii="仿宋_GB2312" w:hAnsi="仿宋_GB2312" w:cs="仿宋_GB2312" w:eastAsia="仿宋_GB2312"/>
                <w:sz w:val="24"/>
                <w:b/>
              </w:rPr>
              <w:t>说明：供应商拟投入使用的材料、设备</w:t>
            </w:r>
            <w:r>
              <w:rPr>
                <w:rFonts w:ascii="仿宋_GB2312" w:hAnsi="仿宋_GB2312" w:cs="仿宋_GB2312" w:eastAsia="仿宋_GB2312"/>
                <w:sz w:val="24"/>
                <w:b/>
              </w:rPr>
              <w:t>应满足上述参数标准要求</w:t>
            </w:r>
            <w:r>
              <w:rPr>
                <w:rFonts w:ascii="仿宋_GB2312" w:hAnsi="仿宋_GB2312" w:cs="仿宋_GB2312" w:eastAsia="仿宋_GB2312"/>
                <w:sz w:val="24"/>
                <w:b/>
              </w:rPr>
              <w:t>。在施工过程中成交供应商若提出性能、质量、实力等同于或高于投标时的选定的产品或厂家时，必须经采购人书面同意，但由此增加的费用由供应商自行承担。</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商务要求</w:t>
            </w:r>
          </w:p>
          <w:p>
            <w:pPr>
              <w:pStyle w:val="null3"/>
              <w:ind w:firstLine="482"/>
              <w:jc w:val="both"/>
            </w:pPr>
            <w:r>
              <w:rPr>
                <w:rFonts w:ascii="仿宋_GB2312" w:hAnsi="仿宋_GB2312" w:cs="仿宋_GB2312" w:eastAsia="仿宋_GB2312"/>
                <w:sz w:val="24"/>
                <w:b/>
              </w:rPr>
              <w:t>（一）工期：</w:t>
            </w:r>
            <w:r>
              <w:rPr>
                <w:rFonts w:ascii="仿宋_GB2312" w:hAnsi="仿宋_GB2312" w:cs="仿宋_GB2312" w:eastAsia="仿宋_GB2312"/>
                <w:sz w:val="24"/>
              </w:rPr>
              <w:t>自接到采购人开工通知之日起</w:t>
            </w:r>
            <w:r>
              <w:rPr>
                <w:rFonts w:ascii="仿宋_GB2312" w:hAnsi="仿宋_GB2312" w:cs="仿宋_GB2312" w:eastAsia="仿宋_GB2312"/>
                <w:sz w:val="24"/>
              </w:rPr>
              <w:t>60</w:t>
            </w:r>
            <w:r>
              <w:rPr>
                <w:rFonts w:ascii="仿宋_GB2312" w:hAnsi="仿宋_GB2312" w:cs="仿宋_GB2312" w:eastAsia="仿宋_GB2312"/>
                <w:sz w:val="24"/>
              </w:rPr>
              <w:t>个日历天</w:t>
            </w:r>
            <w:r>
              <w:rPr>
                <w:rFonts w:ascii="仿宋_GB2312" w:hAnsi="仿宋_GB2312" w:cs="仿宋_GB2312" w:eastAsia="仿宋_GB2312"/>
                <w:sz w:val="24"/>
              </w:rPr>
              <w:t>，具体以项目实际需求及使用单位要求为准</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（二）工程地点</w:t>
            </w:r>
            <w:r>
              <w:rPr>
                <w:rFonts w:ascii="仿宋_GB2312" w:hAnsi="仿宋_GB2312" w:cs="仿宋_GB2312" w:eastAsia="仿宋_GB2312"/>
                <w:sz w:val="24"/>
              </w:rPr>
              <w:t>：</w:t>
            </w:r>
            <w:r>
              <w:rPr>
                <w:rFonts w:ascii="仿宋_GB2312" w:hAnsi="仿宋_GB2312" w:cs="仿宋_GB2312" w:eastAsia="仿宋_GB2312"/>
                <w:sz w:val="24"/>
              </w:rPr>
              <w:t>西安建筑科技大学雁塔校区环工学院教学楼</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（三）质量要求</w:t>
            </w:r>
            <w:r>
              <w:rPr>
                <w:rFonts w:ascii="仿宋_GB2312" w:hAnsi="仿宋_GB2312" w:cs="仿宋_GB2312" w:eastAsia="仿宋_GB2312"/>
                <w:sz w:val="24"/>
              </w:rPr>
              <w:t>：质量标准执行国家、陕西省、西安市现行工程质量</w:t>
            </w:r>
            <w:r>
              <w:rPr>
                <w:rFonts w:ascii="仿宋_GB2312" w:hAnsi="仿宋_GB2312" w:cs="仿宋_GB2312" w:eastAsia="仿宋_GB2312"/>
                <w:sz w:val="24"/>
              </w:rPr>
              <w:t>验收</w:t>
            </w:r>
            <w:r>
              <w:rPr>
                <w:rFonts w:ascii="仿宋_GB2312" w:hAnsi="仿宋_GB2312" w:cs="仿宋_GB2312" w:eastAsia="仿宋_GB2312"/>
                <w:sz w:val="24"/>
              </w:rPr>
              <w:t>标准，施工结束后提供具有</w:t>
            </w:r>
            <w:r>
              <w:rPr>
                <w:rFonts w:ascii="仿宋_GB2312" w:hAnsi="仿宋_GB2312" w:cs="仿宋_GB2312" w:eastAsia="仿宋_GB2312"/>
                <w:sz w:val="24"/>
              </w:rPr>
              <w:t>CMA/CNAS资格的第三方检测机构空气质量检测报告。</w:t>
            </w:r>
          </w:p>
          <w:p>
            <w:pPr>
              <w:pStyle w:val="null3"/>
              <w:ind w:firstLine="482"/>
              <w:jc w:val="both"/>
            </w:pPr>
            <w:r>
              <w:rPr>
                <w:rFonts w:ascii="仿宋_GB2312" w:hAnsi="仿宋_GB2312" w:cs="仿宋_GB2312" w:eastAsia="仿宋_GB2312"/>
                <w:sz w:val="24"/>
                <w:b/>
              </w:rPr>
              <w:t>（四）付款方式：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签</w:t>
            </w:r>
            <w:r>
              <w:rPr>
                <w:rFonts w:ascii="仿宋_GB2312" w:hAnsi="仿宋_GB2312" w:cs="仿宋_GB2312" w:eastAsia="仿宋_GB2312"/>
                <w:sz w:val="24"/>
              </w:rPr>
              <w:t>订合同完毕，</w:t>
            </w:r>
            <w:r>
              <w:rPr>
                <w:rFonts w:ascii="仿宋_GB2312" w:hAnsi="仿宋_GB2312" w:cs="仿宋_GB2312" w:eastAsia="仿宋_GB2312"/>
                <w:sz w:val="24"/>
              </w:rPr>
              <w:t>成交</w:t>
            </w:r>
            <w:r>
              <w:rPr>
                <w:rFonts w:ascii="仿宋_GB2312" w:hAnsi="仿宋_GB2312" w:cs="仿宋_GB2312" w:eastAsia="仿宋_GB2312"/>
                <w:sz w:val="24"/>
              </w:rPr>
              <w:t>供应商提供由工商银行、农业银行、中国银行、建设银行、交通银行其中一家出具的不可撤销、见索即付独立保函，且保函文本须载明</w:t>
            </w:r>
            <w:r>
              <w:rPr>
                <w:rFonts w:ascii="仿宋_GB2312" w:hAnsi="仿宋_GB2312" w:cs="仿宋_GB2312" w:eastAsia="仿宋_GB2312"/>
                <w:sz w:val="24"/>
              </w:rPr>
              <w:t>“开证行仅凭受益人单方签署的索赔声明付款”，</w:t>
            </w:r>
            <w:r>
              <w:rPr>
                <w:rFonts w:ascii="仿宋_GB2312" w:hAnsi="仿宋_GB2312" w:cs="仿宋_GB2312" w:eastAsia="仿宋_GB2312"/>
                <w:sz w:val="24"/>
              </w:rPr>
              <w:t>采购人</w:t>
            </w:r>
            <w:r>
              <w:rPr>
                <w:rFonts w:ascii="仿宋_GB2312" w:hAnsi="仿宋_GB2312" w:cs="仿宋_GB2312" w:eastAsia="仿宋_GB2312"/>
                <w:sz w:val="24"/>
              </w:rPr>
              <w:t>支付合同总价的</w:t>
            </w:r>
            <w:r>
              <w:rPr>
                <w:rFonts w:ascii="仿宋_GB2312" w:hAnsi="仿宋_GB2312" w:cs="仿宋_GB2312" w:eastAsia="仿宋_GB2312"/>
                <w:sz w:val="24"/>
              </w:rPr>
              <w:t>40%作为预付款，否则，</w:t>
            </w:r>
            <w:r>
              <w:rPr>
                <w:rFonts w:ascii="仿宋_GB2312" w:hAnsi="仿宋_GB2312" w:cs="仿宋_GB2312" w:eastAsia="仿宋_GB2312"/>
                <w:sz w:val="24"/>
              </w:rPr>
              <w:t>采购人</w:t>
            </w:r>
            <w:r>
              <w:rPr>
                <w:rFonts w:ascii="仿宋_GB2312" w:hAnsi="仿宋_GB2312" w:cs="仿宋_GB2312" w:eastAsia="仿宋_GB2312"/>
                <w:sz w:val="24"/>
              </w:rPr>
              <w:t>不予支付预付款。</w:t>
            </w:r>
          </w:p>
          <w:p>
            <w:pPr>
              <w:pStyle w:val="null3"/>
              <w:ind w:firstLine="480"/>
              <w:jc w:val="both"/>
            </w:pPr>
            <w:r>
              <w:rPr>
                <w:rFonts w:ascii="仿宋_GB2312" w:hAnsi="仿宋_GB2312" w:cs="仿宋_GB2312" w:eastAsia="仿宋_GB2312"/>
                <w:sz w:val="24"/>
              </w:rPr>
              <w:t>□签订合同完毕，</w:t>
            </w:r>
            <w:r>
              <w:rPr>
                <w:rFonts w:ascii="仿宋_GB2312" w:hAnsi="仿宋_GB2312" w:cs="仿宋_GB2312" w:eastAsia="仿宋_GB2312"/>
                <w:sz w:val="24"/>
              </w:rPr>
              <w:t>成交</w:t>
            </w:r>
            <w:r>
              <w:rPr>
                <w:rFonts w:ascii="仿宋_GB2312" w:hAnsi="仿宋_GB2312" w:cs="仿宋_GB2312" w:eastAsia="仿宋_GB2312"/>
                <w:sz w:val="24"/>
              </w:rPr>
              <w:t>供应商无法提供预付款保函</w:t>
            </w:r>
            <w:r>
              <w:rPr>
                <w:rFonts w:ascii="仿宋_GB2312" w:hAnsi="仿宋_GB2312" w:cs="仿宋_GB2312" w:eastAsia="仿宋_GB2312"/>
                <w:sz w:val="24"/>
              </w:rPr>
              <w:t>，施工满一个月，且经核算完成</w:t>
            </w:r>
            <w:r>
              <w:rPr>
                <w:rFonts w:ascii="仿宋_GB2312" w:hAnsi="仿宋_GB2312" w:cs="仿宋_GB2312" w:eastAsia="仿宋_GB2312"/>
                <w:sz w:val="24"/>
              </w:rPr>
              <w:t>80%改造工程内容后，支付合同额60%进度款。</w:t>
            </w:r>
          </w:p>
          <w:p>
            <w:pPr>
              <w:pStyle w:val="null3"/>
              <w:ind w:firstLine="480"/>
              <w:jc w:val="both"/>
            </w:pPr>
            <w:r>
              <w:rPr>
                <w:rFonts w:ascii="仿宋_GB2312" w:hAnsi="仿宋_GB2312" w:cs="仿宋_GB2312" w:eastAsia="仿宋_GB2312"/>
                <w:sz w:val="24"/>
              </w:rPr>
              <w:t>工程竣工验收合格后经审计部门或其委托有工程造价咨询资质的机构审定结算后，缴纳施工水电费后，支付至审定结算价的</w:t>
            </w:r>
            <w:r>
              <w:rPr>
                <w:rFonts w:ascii="仿宋_GB2312" w:hAnsi="仿宋_GB2312" w:cs="仿宋_GB2312" w:eastAsia="仿宋_GB2312"/>
                <w:sz w:val="24"/>
              </w:rPr>
              <w:t>100%；但在国家规定的保修期限内，保修责任仍由承包人继续承担。</w:t>
            </w:r>
          </w:p>
          <w:p>
            <w:pPr>
              <w:pStyle w:val="null3"/>
              <w:ind w:firstLine="480"/>
              <w:jc w:val="both"/>
            </w:pPr>
            <w:r>
              <w:rPr>
                <w:rFonts w:ascii="仿宋_GB2312" w:hAnsi="仿宋_GB2312" w:cs="仿宋_GB2312" w:eastAsia="仿宋_GB2312"/>
                <w:sz w:val="24"/>
              </w:rPr>
              <w:t>本工程的工程量据实结算，若</w:t>
            </w:r>
            <w:r>
              <w:rPr>
                <w:rFonts w:ascii="仿宋_GB2312" w:hAnsi="仿宋_GB2312" w:cs="仿宋_GB2312" w:eastAsia="仿宋_GB2312"/>
                <w:sz w:val="24"/>
              </w:rPr>
              <w:t>成交供应商</w:t>
            </w:r>
            <w:r>
              <w:rPr>
                <w:rFonts w:ascii="仿宋_GB2312" w:hAnsi="仿宋_GB2312" w:cs="仿宋_GB2312" w:eastAsia="仿宋_GB2312"/>
                <w:sz w:val="24"/>
              </w:rPr>
              <w:t>报送的原始结算价超出</w:t>
            </w:r>
            <w:r>
              <w:rPr>
                <w:rFonts w:ascii="仿宋_GB2312" w:hAnsi="仿宋_GB2312" w:cs="仿宋_GB2312" w:eastAsia="仿宋_GB2312"/>
                <w:sz w:val="24"/>
              </w:rPr>
              <w:t>采购人</w:t>
            </w:r>
            <w:r>
              <w:rPr>
                <w:rFonts w:ascii="仿宋_GB2312" w:hAnsi="仿宋_GB2312" w:cs="仿宋_GB2312" w:eastAsia="仿宋_GB2312"/>
                <w:sz w:val="24"/>
              </w:rPr>
              <w:t>审定结算价的</w:t>
            </w:r>
            <w:r>
              <w:rPr>
                <w:rFonts w:ascii="仿宋_GB2312" w:hAnsi="仿宋_GB2312" w:cs="仿宋_GB2312" w:eastAsia="仿宋_GB2312"/>
                <w:sz w:val="24"/>
              </w:rPr>
              <w:t>3％，则</w:t>
            </w:r>
            <w:r>
              <w:rPr>
                <w:rFonts w:ascii="仿宋_GB2312" w:hAnsi="仿宋_GB2312" w:cs="仿宋_GB2312" w:eastAsia="仿宋_GB2312"/>
                <w:sz w:val="24"/>
              </w:rPr>
              <w:t>成交供应商</w:t>
            </w:r>
            <w:r>
              <w:rPr>
                <w:rFonts w:ascii="仿宋_GB2312" w:hAnsi="仿宋_GB2312" w:cs="仿宋_GB2312" w:eastAsia="仿宋_GB2312"/>
                <w:sz w:val="24"/>
              </w:rPr>
              <w:t>承担全部审计费，在结算付款时一次性扣除。</w:t>
            </w:r>
          </w:p>
          <w:p>
            <w:pPr>
              <w:pStyle w:val="null3"/>
              <w:ind w:firstLine="482"/>
              <w:jc w:val="both"/>
            </w:pPr>
            <w:r>
              <w:rPr>
                <w:rFonts w:ascii="仿宋_GB2312" w:hAnsi="仿宋_GB2312" w:cs="仿宋_GB2312" w:eastAsia="仿宋_GB2312"/>
                <w:sz w:val="24"/>
                <w:b/>
              </w:rPr>
              <w:t>（五）质量保证期</w:t>
            </w:r>
            <w:r>
              <w:rPr>
                <w:rFonts w:ascii="仿宋_GB2312" w:hAnsi="仿宋_GB2312" w:cs="仿宋_GB2312" w:eastAsia="仿宋_GB2312"/>
                <w:sz w:val="24"/>
                <w:b/>
              </w:rPr>
              <w:t>及保修要求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质量保证期</w:t>
            </w:r>
            <w:r>
              <w:rPr>
                <w:rFonts w:ascii="仿宋_GB2312" w:hAnsi="仿宋_GB2312" w:cs="仿宋_GB2312" w:eastAsia="仿宋_GB2312"/>
                <w:sz w:val="24"/>
              </w:rPr>
              <w:t>：</w:t>
            </w:r>
            <w:r>
              <w:rPr>
                <w:rFonts w:ascii="仿宋_GB2312" w:hAnsi="仿宋_GB2312" w:cs="仿宋_GB2312" w:eastAsia="仿宋_GB2312"/>
                <w:sz w:val="24"/>
              </w:rPr>
              <w:t>本项目竣工验收合格通过之日起</w:t>
            </w:r>
            <w:r>
              <w:rPr>
                <w:rFonts w:ascii="仿宋_GB2312" w:hAnsi="仿宋_GB2312" w:cs="仿宋_GB2312" w:eastAsia="仿宋_GB2312"/>
                <w:sz w:val="24"/>
              </w:rPr>
              <w:t>2年</w:t>
            </w:r>
            <w:r>
              <w:rPr>
                <w:rFonts w:ascii="仿宋_GB2312" w:hAnsi="仿宋_GB2312" w:cs="仿宋_GB2312" w:eastAsia="仿宋_GB2312"/>
                <w:sz w:val="24"/>
              </w:rPr>
              <w:t>，</w:t>
            </w:r>
            <w:r>
              <w:rPr>
                <w:rFonts w:ascii="仿宋_GB2312" w:hAnsi="仿宋_GB2312" w:cs="仿宋_GB2312" w:eastAsia="仿宋_GB2312"/>
                <w:sz w:val="24"/>
              </w:rPr>
              <w:t>其中防水</w:t>
            </w:r>
            <w:r>
              <w:rPr>
                <w:rFonts w:ascii="仿宋_GB2312" w:hAnsi="仿宋_GB2312" w:cs="仿宋_GB2312" w:eastAsia="仿宋_GB2312"/>
                <w:sz w:val="24"/>
              </w:rPr>
              <w:t>5年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）保修要求：属于保修范围和内容的项目，成交供应商应在接到维修通知后，</w:t>
            </w:r>
            <w:r>
              <w:rPr>
                <w:rFonts w:ascii="仿宋_GB2312" w:hAnsi="仿宋_GB2312" w:cs="仿宋_GB2312" w:eastAsia="仿宋_GB2312"/>
                <w:sz w:val="24"/>
              </w:rPr>
              <w:t>1天内派人维修。</w:t>
            </w:r>
            <w:r>
              <w:rPr>
                <w:rFonts w:ascii="仿宋_GB2312" w:hAnsi="仿宋_GB2312" w:cs="仿宋_GB2312" w:eastAsia="仿宋_GB2312"/>
                <w:sz w:val="24"/>
              </w:rPr>
              <w:t>发生紧急抢修事故（如上水管跑水、爆裂，供电设施漏、断电等），成交供应商应在接到事故通知后</w:t>
            </w:r>
            <w:r>
              <w:rPr>
                <w:rFonts w:ascii="仿宋_GB2312" w:hAnsi="仿宋_GB2312" w:cs="仿宋_GB2312" w:eastAsia="仿宋_GB2312"/>
                <w:sz w:val="24"/>
              </w:rPr>
              <w:t>2小时内到达事故现场并于</w:t>
            </w:r>
            <w:r>
              <w:rPr>
                <w:rFonts w:ascii="仿宋_GB2312" w:hAnsi="仿宋_GB2312" w:cs="仿宋_GB2312" w:eastAsia="仿宋_GB2312"/>
                <w:sz w:val="24"/>
              </w:rPr>
              <w:t>4</w:t>
            </w:r>
            <w:r>
              <w:rPr>
                <w:rFonts w:ascii="仿宋_GB2312" w:hAnsi="仿宋_GB2312" w:cs="仿宋_GB2312" w:eastAsia="仿宋_GB2312"/>
                <w:sz w:val="24"/>
              </w:rPr>
              <w:t>小时内完成应急维修。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质量标准执行国家、陕西省、西安市现行工程质量验收标准，施工结束后提供具有CMA/CNAS资格的第三方检测机构空气质量检测报告。</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应按照磋商文件中规定的时间及地点前往项目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所有材料必须使用合格产品，竞争性磋商文件如对材料的材质、品牌等有明确要求的，不得变更相关要求，使用前应当由采购人认质确认后方可投入使用。工程施工完毕后需对施工场地进行保洁，保洁标准达到采购人要求。 4.本项目工程量清单是按照本工程施工图纸，依据《陕西省建设工程费用规则》、2025版《陕西省建设工程工程量清单计价标准》、2025版《陕西省房屋建筑与装饰工程工程量计算标准》、2025版《陕西省通用安装工程工程量计算标准》、2025版《陕西省市政工程工程量计算标准》、2025版《陕西省园林绿化工程工程量计算标准》等现行陕西省工程建设标准的规定项目编码、项目名称、计量单位和工程量计算规则进行编制的，请各供应商根据提供的施工图纸认真核对，并确认无误;供应商中标后，若出现磋商文件中工程量清单描述与图纸不符等问题时，此部分工程量清单项的综合单价不予调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1.响应保证金须从供应商户名支付，如从个人户名或非供应商户名支付， 将被拒绝，视为自动放弃投标权利（该个人是供应商的情形除外）；响应保证金缴纳时间：开标时间之前；以保函形式交纳响应保证金的，供应商应在投标截止时间前将保函上传至政府采购电子化交易平台，同时将保函扫描成清晰的PDF文件，发送至邮箱2973608682@qq.com（邮件命名：项目名称+项目编号）；供应商应在响应文件中附保函复印件。保函必须由具有开具投标保函资格的单位开具；若供应商违约，开具保函单位承担连带责任； 2.响应保证金的提交金额、时间不满足磋商文件要求的，投标无效； 3.本项目成交供应商须在领取中标（成交）通知书同一时间向采购代理机构提供响应文件（应与政府采购电子化交易平台上传的响应文件完全一致）正本1份、副本1份。 4.结算时，依据采购人审定的工程量，按实际发生量据实结算，工程价款结算时依据最终价款和一次报价的下浮比例执行。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自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供应商提供自2025年5月至今已缴纳的至少一个月纳税证明或完税证明，依法免税的单位应提供相关证明材料；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供应商提供2024或2025年度经审计的完整财务审计报告或在开标日期前六个月内其基本开户银行出具的资信证明；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合法有效的建筑工程施工总承包三级(含)以上或建筑装修装饰工程专业承包二级(含)以上资质，并具备有效的安全生产许可证，且在人员、设备、资金等方面具备相应施工能力；</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供应商拟派项目经理具备合法有效的建筑工程专业注册建造师二级（含）以上执业资格及安全生产考核合格证书（安全B证），在本单位注册且无在建工程；</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 签章；</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拟派项目经理及项目组人员承诺函.docx 业绩.docx 已标价工程量清单 质量管理体系与保证措施.docx 确保安全生产、文明施工的技术组织措施及环境保护措施.docx 节能环保、绿色建材.docx 中小企业声明函 服务承诺.docx 对项目整体理解及施工方案.docx 技术服务合同条款及其他商务要求应答表 项目经理业绩.docx 主要材料品质、价格表.docx 工程进度计划与保证措施.docx 响应文件封面 项目经理社保缴纳证明.docx 残疾人福利性单位声明函 法定代表人证明书及授权书.docx 报价函 标的清单 资格审查资料.docx 响应函 项目人员组成.docx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已标价工程量清单扉页(仅指投标总价扉页)是否加盖有注册或登记在本单位的造价人员签字并盖执业印章或工程造价咨询企业(提供双方合作协议)的造价人员签字并盖执业印章；</w:t>
            </w:r>
          </w:p>
        </w:tc>
        <w:tc>
          <w:tcPr>
            <w:tcW w:type="dxa" w:w="3322"/>
          </w:tcPr>
          <w:p>
            <w:pPr>
              <w:pStyle w:val="null3"/>
            </w:pPr>
            <w:r>
              <w:rPr>
                <w:rFonts w:ascii="仿宋_GB2312" w:hAnsi="仿宋_GB2312" w:cs="仿宋_GB2312" w:eastAsia="仿宋_GB2312"/>
              </w:rPr>
              <w:t>已标价工程量清单扉页(仅指投标总价扉页)已加盖有注册或登记在本单位的造价人员签字并盖执业印章或工程造价咨询企业(提供双方合作协议)的造价人员签字并盖执业印章；</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是否提供拟派项目经理及项目组成员在项目结束前不可更换的承诺函</w:t>
            </w:r>
          </w:p>
        </w:tc>
        <w:tc>
          <w:tcPr>
            <w:tcW w:type="dxa" w:w="3322"/>
          </w:tcPr>
          <w:p>
            <w:pPr>
              <w:pStyle w:val="null3"/>
            </w:pPr>
            <w:r>
              <w:rPr>
                <w:rFonts w:ascii="仿宋_GB2312" w:hAnsi="仿宋_GB2312" w:cs="仿宋_GB2312" w:eastAsia="仿宋_GB2312"/>
              </w:rPr>
              <w:t>已提供拟派项目经理及项目组成员在项目结束前不可更换的承诺函；</w:t>
            </w:r>
          </w:p>
        </w:tc>
        <w:tc>
          <w:tcPr>
            <w:tcW w:type="dxa" w:w="1661"/>
          </w:tcPr>
          <w:p>
            <w:pPr>
              <w:pStyle w:val="null3"/>
            </w:pPr>
            <w:r>
              <w:rPr>
                <w:rFonts w:ascii="仿宋_GB2312" w:hAnsi="仿宋_GB2312" w:cs="仿宋_GB2312" w:eastAsia="仿宋_GB2312"/>
              </w:rPr>
              <w:t>拟派项目经理及项目组人员承诺函.docx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是否提供拟派项目经理在供应商本单位近6个月内社保缴纳证明</w:t>
            </w:r>
          </w:p>
        </w:tc>
        <w:tc>
          <w:tcPr>
            <w:tcW w:type="dxa" w:w="3322"/>
          </w:tcPr>
          <w:p>
            <w:pPr>
              <w:pStyle w:val="null3"/>
            </w:pPr>
            <w:r>
              <w:rPr>
                <w:rFonts w:ascii="仿宋_GB2312" w:hAnsi="仿宋_GB2312" w:cs="仿宋_GB2312" w:eastAsia="仿宋_GB2312"/>
              </w:rPr>
              <w:t>已提供拟派项目经理在供应商本单位近6个月内社保缴纳证明；</w:t>
            </w:r>
          </w:p>
        </w:tc>
        <w:tc>
          <w:tcPr>
            <w:tcW w:type="dxa" w:w="1661"/>
          </w:tcPr>
          <w:p>
            <w:pPr>
              <w:pStyle w:val="null3"/>
            </w:pPr>
            <w:r>
              <w:rPr>
                <w:rFonts w:ascii="仿宋_GB2312" w:hAnsi="仿宋_GB2312" w:cs="仿宋_GB2312" w:eastAsia="仿宋_GB2312"/>
              </w:rPr>
              <w:t>项目经理社保缴纳证明.docx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对项目整体理解及施工方案1</w:t>
            </w:r>
          </w:p>
        </w:tc>
        <w:tc>
          <w:tcPr>
            <w:tcW w:type="dxa" w:w="2492"/>
          </w:tcPr>
          <w:p>
            <w:pPr>
              <w:pStyle w:val="null3"/>
            </w:pPr>
            <w:r>
              <w:rPr>
                <w:rFonts w:ascii="仿宋_GB2312" w:hAnsi="仿宋_GB2312" w:cs="仿宋_GB2312" w:eastAsia="仿宋_GB2312"/>
              </w:rPr>
              <w:t>1.根据供应商针对本项目实施的现场情况、难易程度、历史资料匹配、成品保护等重点、难点进行分析进行评审： 内容完备、科学、合理、针对性强得1.5分； 内容较为完备，针对性较强的得1分； 内容较为简略、基本可行的得0.5分； 内容缺失严重、不合理和未提供的均不计分。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对项目整体理解及施工方案2</w:t>
            </w:r>
          </w:p>
        </w:tc>
        <w:tc>
          <w:tcPr>
            <w:tcW w:type="dxa" w:w="2492"/>
          </w:tcPr>
          <w:p>
            <w:pPr>
              <w:pStyle w:val="null3"/>
            </w:pPr>
            <w:r>
              <w:rPr>
                <w:rFonts w:ascii="仿宋_GB2312" w:hAnsi="仿宋_GB2312" w:cs="仿宋_GB2312" w:eastAsia="仿宋_GB2312"/>
              </w:rPr>
              <w:t>2.根据供应商针对本项目对易发生质量通病、易出现安全问题、施工难度大、技术含量高的分项工程等进行说明并给出施工保障措施和专项技术方案（含主要施工工法、组织措施、检验手段等）进行评审：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对项目整体理解及施工方案3</w:t>
            </w:r>
          </w:p>
        </w:tc>
        <w:tc>
          <w:tcPr>
            <w:tcW w:type="dxa" w:w="2492"/>
          </w:tcPr>
          <w:p>
            <w:pPr>
              <w:pStyle w:val="null3"/>
            </w:pPr>
            <w:r>
              <w:rPr>
                <w:rFonts w:ascii="仿宋_GB2312" w:hAnsi="仿宋_GB2312" w:cs="仿宋_GB2312" w:eastAsia="仿宋_GB2312"/>
              </w:rPr>
              <w:t>3.根据供应商针对影响本项目的外在因素和可能出现的问题进行分析，并制定相关应急预案或保证措施进行评审： 内容完备、科学、合理、针对性强得1.5分； 内容较为完备，针对性较强的得1分； 内容较为简略、基本可行的得0.5分； 内容缺失严重、不合理和未提供的均不计分。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工程进度计划与保证措施1</w:t>
            </w:r>
          </w:p>
        </w:tc>
        <w:tc>
          <w:tcPr>
            <w:tcW w:type="dxa" w:w="2492"/>
          </w:tcPr>
          <w:p>
            <w:pPr>
              <w:pStyle w:val="null3"/>
            </w:pPr>
            <w:r>
              <w:rPr>
                <w:rFonts w:ascii="仿宋_GB2312" w:hAnsi="仿宋_GB2312" w:cs="仿宋_GB2312" w:eastAsia="仿宋_GB2312"/>
              </w:rPr>
              <w:t>1.根据供应商针对本项目工期紧、质量高的特点，制定切实可行的施工进度计划（网络图/横道图）和工期保证措施，施工顺序具体说明及施工流水段划分；工期控制要点及分级控制措施；进度监管手段、人材机组织保证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工程进度计划与保证措施2</w:t>
            </w:r>
          </w:p>
        </w:tc>
        <w:tc>
          <w:tcPr>
            <w:tcW w:type="dxa" w:w="2492"/>
          </w:tcPr>
          <w:p>
            <w:pPr>
              <w:pStyle w:val="null3"/>
            </w:pPr>
            <w:r>
              <w:rPr>
                <w:rFonts w:ascii="仿宋_GB2312" w:hAnsi="仿宋_GB2312" w:cs="仿宋_GB2312" w:eastAsia="仿宋_GB2312"/>
              </w:rPr>
              <w:t>2.针对本项目工期紧、质量高的特点，制定切实可行的现场调度及总包分包协调方案；赶工方案及奖惩措施；劳动力配置计划和生产效率及生活保障措施；检测及机具设备计划、材料准备计划及相关保证措施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质量管理体系与保证措施1</w:t>
            </w:r>
          </w:p>
        </w:tc>
        <w:tc>
          <w:tcPr>
            <w:tcW w:type="dxa" w:w="2492"/>
          </w:tcPr>
          <w:p>
            <w:pPr>
              <w:pStyle w:val="null3"/>
            </w:pPr>
            <w:r>
              <w:rPr>
                <w:rFonts w:ascii="仿宋_GB2312" w:hAnsi="仿宋_GB2312" w:cs="仿宋_GB2312" w:eastAsia="仿宋_GB2312"/>
              </w:rPr>
              <w:t>1.根据供应商针对本项目特点制定切实可行质量管理预控措施（各项质量目标及控制措施、质量检验和实验计划、事前控制、材料质量控制、施工机具控制等）进行评审：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质量管理体系与保证措施2</w:t>
            </w:r>
          </w:p>
        </w:tc>
        <w:tc>
          <w:tcPr>
            <w:tcW w:type="dxa" w:w="2492"/>
          </w:tcPr>
          <w:p>
            <w:pPr>
              <w:pStyle w:val="null3"/>
            </w:pPr>
            <w:r>
              <w:rPr>
                <w:rFonts w:ascii="仿宋_GB2312" w:hAnsi="仿宋_GB2312" w:cs="仿宋_GB2312" w:eastAsia="仿宋_GB2312"/>
              </w:rPr>
              <w:t>2.根据供应商针对本项目分部分项工程质量保证措施、成品保护和工程保修管理措施进行评审：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确保安全生产、文明施工的技术组织措施及环境保护措施1</w:t>
            </w:r>
          </w:p>
        </w:tc>
        <w:tc>
          <w:tcPr>
            <w:tcW w:type="dxa" w:w="2492"/>
          </w:tcPr>
          <w:p>
            <w:pPr>
              <w:pStyle w:val="null3"/>
            </w:pPr>
            <w:r>
              <w:rPr>
                <w:rFonts w:ascii="仿宋_GB2312" w:hAnsi="仿宋_GB2312" w:cs="仿宋_GB2312" w:eastAsia="仿宋_GB2312"/>
              </w:rPr>
              <w:t>1.根据供应商针对本项目特点结合工程环境、特点分析安全隐患，给出有针对性的安全生产、文明施工、环保施工、防尘降噪等保证措施进行评审： 内容完备、科学、合理、针对性强得2分； 内容较为完备，针对性较强的得1.5分；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确保安全生产、文明施工的技术组织措施及环境保护措施2</w:t>
            </w:r>
          </w:p>
        </w:tc>
        <w:tc>
          <w:tcPr>
            <w:tcW w:type="dxa" w:w="2492"/>
          </w:tcPr>
          <w:p>
            <w:pPr>
              <w:pStyle w:val="null3"/>
            </w:pPr>
            <w:r>
              <w:rPr>
                <w:rFonts w:ascii="仿宋_GB2312" w:hAnsi="仿宋_GB2312" w:cs="仿宋_GB2312" w:eastAsia="仿宋_GB2312"/>
              </w:rPr>
              <w:t>2.根据供应商针对本项目提供安全文明、环保施工保证体系和控制点设置合理，满足国家、省市相关法规规定及采购文件要求进行评审： 内容完备、科学、合理、针对性强得2分； 内容较为完备，针对性较强的得1.5分；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供应商提供拟派项目经理自2023年5月1日至今已完成的类似业绩证明材料，每提供1项得1分，最多得3分。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项目经理业绩.docx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供应商针对本项目提供的项目人员组成，技术负责人（职称、学历、工作年限），其他项目人员构成情况（岗位设置、专业种类及能力、有技术职称的人员比例）等进行评审： 内容完备、科学、合理、针对性强得3分； 内容较为完备，针对性较强的得2分； 内容较为简略、基本可行的得0.8分；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项目人员组成.docx</w:t>
            </w:r>
          </w:p>
        </w:tc>
      </w:tr>
      <w:tr>
        <w:tc>
          <w:tcPr>
            <w:tcW w:type="dxa" w:w="831"/>
            <w:vMerge/>
          </w:tcPr>
          <w:p/>
        </w:tc>
        <w:tc>
          <w:tcPr>
            <w:tcW w:type="dxa" w:w="1661"/>
          </w:tcPr>
          <w:p>
            <w:pPr>
              <w:pStyle w:val="null3"/>
            </w:pPr>
            <w:r>
              <w:rPr>
                <w:rFonts w:ascii="仿宋_GB2312" w:hAnsi="仿宋_GB2312" w:cs="仿宋_GB2312" w:eastAsia="仿宋_GB2312"/>
              </w:rPr>
              <w:t>主要材料品质、价格表1</w:t>
            </w:r>
          </w:p>
        </w:tc>
        <w:tc>
          <w:tcPr>
            <w:tcW w:type="dxa" w:w="2492"/>
          </w:tcPr>
          <w:p>
            <w:pPr>
              <w:pStyle w:val="null3"/>
            </w:pPr>
            <w:r>
              <w:rPr>
                <w:rFonts w:ascii="仿宋_GB2312" w:hAnsi="仿宋_GB2312" w:cs="仿宋_GB2312" w:eastAsia="仿宋_GB2312"/>
              </w:rPr>
              <w:t>1.供应商针对本项目提供的主要材料品牌、价格表填写完整，无缺漏项的得4分。未提供或提供不全或拟投主要材料品牌不明确的本项不得分。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主要材料品质、价格表2</w:t>
            </w:r>
          </w:p>
        </w:tc>
        <w:tc>
          <w:tcPr>
            <w:tcW w:type="dxa" w:w="2492"/>
          </w:tcPr>
          <w:p>
            <w:pPr>
              <w:pStyle w:val="null3"/>
            </w:pPr>
            <w:r>
              <w:rPr>
                <w:rFonts w:ascii="仿宋_GB2312" w:hAnsi="仿宋_GB2312" w:cs="仿宋_GB2312" w:eastAsia="仿宋_GB2312"/>
              </w:rPr>
              <w:t>2.根据供应商针对本项目拟投入主要材料品质的产品选型情况及证明材料进行评审： 主要材料品质完全符合项目要求，与本次项目契合度高，相关证明材料完整、清晰的得5分； 主要材料品质符合项目要求，材料品质与本次项目契合度较高，相关证明材料较完整、清晰的得4分； 主要材料品质基本符合项目要求，材料品质与本次项目契合度较低，相关证明材料部分缺失或不够清晰的得3分； 主要材料品质基本符合项目要求，材料品质与本次项目契合度低，相关证明材料严重缺失的得2分； 主要材料品质与本项目契合度低，相关证明材料简单、粗略，缺漏严重的得1分； 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供应商针对本项目所选用的材料采用绿色环保、节能材料的；以上内容每提供一项得0.5分，最高得4分，不提供不计分。 （以上内容需提供检测报告及相关证明材料等并加盖公章）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节能环保、绿色建材.docx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提供供应商2023年5月1日至今(以合同签订日期为准)类似业绩证明材料，每份业绩计1分，满分4分。 备注：业绩时间以合同签订时间所体现的时间为准。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根据供应商提供的质保服务方案及承诺、与学校相关部门的配合协调承诺、人员安全保障承诺及优化建议等进行评审： 内容完备、科学、合理、针对性强得3分； 内容较为完备，针对性较强的得2分； 内容较为简略、基本可行的得0.8分；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55计算分数时四舍五入取小数点后两位。</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详见附件：主要材料品质、价格表.docx</w:t>
      </w:r>
    </w:p>
    <w:p>
      <w:pPr>
        <w:pStyle w:val="null3"/>
        <w:ind w:firstLine="960"/>
      </w:pPr>
      <w:r>
        <w:rPr>
          <w:rFonts w:ascii="仿宋_GB2312" w:hAnsi="仿宋_GB2312" w:cs="仿宋_GB2312" w:eastAsia="仿宋_GB2312"/>
        </w:rPr>
        <w:t>详见附件：质量管理体系与保证措施.docx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详见附件：项目人员组成.docx</w:t>
      </w:r>
    </w:p>
    <w:p>
      <w:pPr>
        <w:pStyle w:val="null3"/>
        <w:ind w:firstLine="960"/>
      </w:pPr>
      <w:r>
        <w:rPr>
          <w:rFonts w:ascii="仿宋_GB2312" w:hAnsi="仿宋_GB2312" w:cs="仿宋_GB2312" w:eastAsia="仿宋_GB2312"/>
        </w:rPr>
        <w:t>详见附件：确保安全生产、文明施工的技术组织措施及环境保护措施.docx</w:t>
      </w:r>
    </w:p>
    <w:p>
      <w:pPr>
        <w:pStyle w:val="null3"/>
        <w:ind w:firstLine="960"/>
      </w:pPr>
      <w:r>
        <w:rPr>
          <w:rFonts w:ascii="仿宋_GB2312" w:hAnsi="仿宋_GB2312" w:cs="仿宋_GB2312" w:eastAsia="仿宋_GB2312"/>
        </w:rPr>
        <w:t>详见附件：节能环保、绿色建材.docx</w:t>
      </w:r>
    </w:p>
    <w:p>
      <w:pPr>
        <w:pStyle w:val="null3"/>
        <w:ind w:firstLine="960"/>
      </w:pPr>
      <w:r>
        <w:rPr>
          <w:rFonts w:ascii="仿宋_GB2312" w:hAnsi="仿宋_GB2312" w:cs="仿宋_GB2312" w:eastAsia="仿宋_GB2312"/>
        </w:rPr>
        <w:t>详见附件：工程进度计划与保证措施.docx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详见附件：对项目整体理解及施工方案.docx</w:t>
      </w:r>
    </w:p>
    <w:p>
      <w:pPr>
        <w:pStyle w:val="null3"/>
        <w:ind w:firstLine="960"/>
      </w:pPr>
      <w:r>
        <w:rPr>
          <w:rFonts w:ascii="仿宋_GB2312" w:hAnsi="仿宋_GB2312" w:cs="仿宋_GB2312" w:eastAsia="仿宋_GB2312"/>
        </w:rPr>
        <w:t>详见附件：拟派项目经理及项目组人员承诺函.docx</w:t>
      </w:r>
    </w:p>
    <w:p>
      <w:pPr>
        <w:pStyle w:val="null3"/>
        <w:ind w:firstLine="960"/>
      </w:pPr>
      <w:r>
        <w:rPr>
          <w:rFonts w:ascii="仿宋_GB2312" w:hAnsi="仿宋_GB2312" w:cs="仿宋_GB2312" w:eastAsia="仿宋_GB2312"/>
        </w:rPr>
        <w:t>详见附件：项目经理社保缴纳证明.docx</w:t>
      </w:r>
    </w:p>
    <w:p>
      <w:pPr>
        <w:pStyle w:val="null3"/>
        <w:ind w:firstLine="960"/>
      </w:pPr>
      <w:r>
        <w:rPr>
          <w:rFonts w:ascii="仿宋_GB2312" w:hAnsi="仿宋_GB2312" w:cs="仿宋_GB2312" w:eastAsia="仿宋_GB2312"/>
        </w:rPr>
        <w:t>详见附件：项目经理业绩.docx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