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版本号：HGMHCG-2026-1520260522001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宜君县巩固生态文明建设示范县及省级低碳近零碳试点年度技术服务项目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HGMHCG-2026-15</w:t>
      </w:r>
      <w:r>
        <w:br/>
      </w:r>
      <w:r>
        <w:br/>
      </w:r>
      <w:r>
        <w:br/>
      </w:r>
    </w:p>
    <w:p>
      <w:pPr>
        <w:pStyle w:val="null3"/>
        <w:jc w:val="center"/>
        <w:outlineLvl w:val="2"/>
      </w:pPr>
      <w:r>
        <w:rPr>
          <w:rFonts w:ascii="仿宋_GB2312" w:hAnsi="仿宋_GB2312" w:cs="仿宋_GB2312" w:eastAsia="仿宋_GB2312"/>
          <w:sz w:val="28"/>
          <w:b/>
        </w:rPr>
        <w:t>铜川市生态环境局宜君分局</w:t>
      </w:r>
    </w:p>
    <w:p>
      <w:pPr>
        <w:pStyle w:val="null3"/>
        <w:jc w:val="center"/>
        <w:outlineLvl w:val="2"/>
      </w:pPr>
      <w:r>
        <w:rPr>
          <w:rFonts w:ascii="仿宋_GB2312" w:hAnsi="仿宋_GB2312" w:cs="仿宋_GB2312" w:eastAsia="仿宋_GB2312"/>
          <w:sz w:val="28"/>
          <w:b/>
        </w:rPr>
        <w:t>陕西恒广茂禾项目管理有限公司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陕西恒广茂禾项目管理有限公司</w:t>
      </w:r>
      <w:r>
        <w:rPr>
          <w:rFonts w:ascii="仿宋_GB2312" w:hAnsi="仿宋_GB2312" w:cs="仿宋_GB2312" w:eastAsia="仿宋_GB2312"/>
        </w:rPr>
        <w:t>（以下简称“代理机构”）受</w:t>
      </w:r>
      <w:r>
        <w:rPr>
          <w:rFonts w:ascii="仿宋_GB2312" w:hAnsi="仿宋_GB2312" w:cs="仿宋_GB2312" w:eastAsia="仿宋_GB2312"/>
        </w:rPr>
        <w:t>铜川市生态环境局宜君分局</w:t>
      </w:r>
      <w:r>
        <w:rPr>
          <w:rFonts w:ascii="仿宋_GB2312" w:hAnsi="仿宋_GB2312" w:cs="仿宋_GB2312" w:eastAsia="仿宋_GB2312"/>
        </w:rPr>
        <w:t>委托，拟对</w:t>
      </w:r>
      <w:r>
        <w:rPr>
          <w:rFonts w:ascii="仿宋_GB2312" w:hAnsi="仿宋_GB2312" w:cs="仿宋_GB2312" w:eastAsia="仿宋_GB2312"/>
        </w:rPr>
        <w:t>宜君县巩固生态文明建设示范县及省级低碳近零碳试点年度技术服务项目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HGMHCG-2026-15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宜君县巩固生态文明建设示范县及省级低碳近零碳试点年度技术服务项目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宜君县巩固生态文明建设示范县及省级低碳近零碳试点年度技术服务项目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采购包1（宜君县巩固生态文明建设示范县及省级低碳近零碳试点年度技术服务项目）：属于专门面向中小企业采购。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3、依法缴纳税收和社会保障资金相关材料（磋商截止日前六个月内任意一个月）：依法缴纳税收和社会保障资金相关材料（磋商截止日前六个月内任意一个月）。</w:t>
      </w:r>
    </w:p>
    <w:p>
      <w:pPr>
        <w:pStyle w:val="null3"/>
      </w:pPr>
      <w:r>
        <w:rPr>
          <w:rFonts w:ascii="仿宋_GB2312" w:hAnsi="仿宋_GB2312" w:cs="仿宋_GB2312" w:eastAsia="仿宋_GB2312"/>
        </w:rPr>
        <w:t>4、供应商需提供2025年度财务审计报告或提供文件递交截止日前三个月内从基本户银行开具的资信证明：供应商需提供2025年度财务审计报告或提供文件递交截止日前三个月内从基本户银行开具的资信证明。</w:t>
      </w:r>
    </w:p>
    <w:p>
      <w:pPr>
        <w:pStyle w:val="null3"/>
      </w:pPr>
      <w:r>
        <w:rPr>
          <w:rFonts w:ascii="仿宋_GB2312" w:hAnsi="仿宋_GB2312" w:cs="仿宋_GB2312" w:eastAsia="仿宋_GB2312"/>
        </w:rPr>
        <w:t>5、法定代表人直接参加磋商的，须出具法人身份证；授权代表参加磋商的，须出具授权书及授权代表身份证：法定代表人直接参加磋商的，须出具法人身份证；授权代表参加磋商的，须出具授权书及授权代表身份证。</w:t>
      </w:r>
    </w:p>
    <w:p>
      <w:pPr>
        <w:pStyle w:val="null3"/>
      </w:pPr>
      <w:r>
        <w:rPr>
          <w:rFonts w:ascii="仿宋_GB2312" w:hAnsi="仿宋_GB2312" w:cs="仿宋_GB2312" w:eastAsia="仿宋_GB2312"/>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铜川市生态环境局宜君分局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陕西省铜川市宜君县南山公园路东南侧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0919-5286321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陕西恒广茂禾项目管理有限公司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陕西省铜川市新区长虹南路山水雅庭6幢1单元301室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15353839221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铜川市生态环境局宜君分局</w:t>
      </w:r>
      <w:r>
        <w:rPr>
          <w:rFonts w:ascii="仿宋_GB2312" w:hAnsi="仿宋_GB2312" w:cs="仿宋_GB2312" w:eastAsia="仿宋_GB2312"/>
        </w:rPr>
        <w:t>和</w:t>
      </w:r>
      <w:r>
        <w:rPr>
          <w:rFonts w:ascii="仿宋_GB2312" w:hAnsi="仿宋_GB2312" w:cs="仿宋_GB2312" w:eastAsia="仿宋_GB2312"/>
        </w:rPr>
        <w:t>陕西恒广茂禾项目管理有限公司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铜川市生态环境局宜君分局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陕西恒广茂禾项目管理有限公司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铜川市生态环境局宜君分局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陕西恒广茂禾项目管理有限公司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联系电话：15353839221</w:t>
      </w:r>
    </w:p>
    <w:p>
      <w:pPr>
        <w:pStyle w:val="null3"/>
      </w:pPr>
      <w:r>
        <w:rPr>
          <w:rFonts w:ascii="仿宋_GB2312" w:hAnsi="仿宋_GB2312" w:cs="仿宋_GB2312" w:eastAsia="仿宋_GB2312"/>
        </w:rPr>
        <w:t>地址：陕西省铜川市新区长虹南路山水雅庭6幢1单元301室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宜君县巩固生态文明建设示范县及省级低碳近零碳试点年度技术服务项目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宜君县巩固生态文明建设示范县及省级低碳近零碳试点年度技术服务项目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标的名称：宜君县巩固生态文明建设示范县及省级低碳近零碳试点年度技术服务项目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1. 项目名称：宜君县巩固生态文明建设示范区及省级低碳近零碳试点年度工作技术服务项目。</w:t>
            </w:r>
          </w:p>
          <w:p>
            <w:pPr>
              <w:pStyle w:val="null3"/>
              <w:ind w:firstLine="560"/>
              <w:jc w:val="both"/>
            </w:pPr>
            <w:r>
              <w:rPr>
                <w:rFonts w:ascii="仿宋_GB2312" w:hAnsi="仿宋_GB2312" w:cs="仿宋_GB2312" w:eastAsia="仿宋_GB2312"/>
                <w:sz w:val="21"/>
              </w:rPr>
              <w:t>2. 服务期限：合同签订之日起至2026年12月底。</w:t>
            </w:r>
          </w:p>
          <w:p>
            <w:pPr>
              <w:pStyle w:val="null3"/>
              <w:ind w:firstLine="560"/>
              <w:jc w:val="both"/>
            </w:pPr>
            <w:r>
              <w:rPr>
                <w:rFonts w:ascii="仿宋_GB2312" w:hAnsi="仿宋_GB2312" w:cs="仿宋_GB2312" w:eastAsia="仿宋_GB2312"/>
                <w:sz w:val="21"/>
              </w:rPr>
              <w:t>3. 服务地点：采购人指定地点。</w:t>
            </w:r>
          </w:p>
          <w:p>
            <w:pPr>
              <w:pStyle w:val="null3"/>
              <w:ind w:firstLine="560"/>
              <w:jc w:val="both"/>
            </w:pPr>
            <w:r>
              <w:rPr>
                <w:rFonts w:ascii="仿宋_GB2312" w:hAnsi="仿宋_GB2312" w:cs="仿宋_GB2312" w:eastAsia="仿宋_GB2312"/>
                <w:sz w:val="21"/>
              </w:rPr>
              <w:t>4. 本项目具体服务内容如下：</w:t>
            </w:r>
          </w:p>
          <w:p>
            <w:pPr>
              <w:pStyle w:val="null3"/>
              <w:ind w:firstLine="560"/>
              <w:jc w:val="both"/>
            </w:pPr>
            <w:r>
              <w:rPr>
                <w:rFonts w:ascii="仿宋_GB2312" w:hAnsi="仿宋_GB2312" w:cs="仿宋_GB2312" w:eastAsia="仿宋_GB2312"/>
                <w:sz w:val="21"/>
              </w:rPr>
              <w:t>4.1 按照《生态文明建设示范区管理规程》《“绿水青山就是金山银山”实践创新基地管理规程》，开展宜君县生态文明建设示范区常态化管理工作，完成生态文明示范建设管理平台填报工作；开展宜君县“两山”基地预创工作，并按照生态环境部相关要求进行填报；组织两次生态文明专题培训，提升干部队伍生态文明建设专业能力。</w:t>
            </w:r>
          </w:p>
          <w:p>
            <w:pPr>
              <w:pStyle w:val="null3"/>
              <w:ind w:firstLine="560"/>
              <w:jc w:val="both"/>
            </w:pPr>
            <w:r>
              <w:rPr>
                <w:rFonts w:ascii="仿宋_GB2312" w:hAnsi="仿宋_GB2312" w:cs="仿宋_GB2312" w:eastAsia="仿宋_GB2312"/>
                <w:sz w:val="21"/>
              </w:rPr>
              <w:t>4.2 依托宜君县省级低碳近零碳试点现有创建工作基础，开展宜君县低碳近零碳试点巩固提升年度工作，深化试点建设成效，助力县域低碳近零碳建设工作常态化推进。</w:t>
            </w:r>
          </w:p>
          <w:p>
            <w:pPr>
              <w:pStyle w:val="null3"/>
              <w:ind w:firstLine="560"/>
              <w:jc w:val="both"/>
            </w:pPr>
            <w:r>
              <w:rPr>
                <w:rFonts w:ascii="仿宋_GB2312" w:hAnsi="仿宋_GB2312" w:cs="仿宋_GB2312" w:eastAsia="仿宋_GB2312"/>
                <w:sz w:val="21"/>
              </w:rPr>
              <w:t>5. 本项目验收标准如下：成果文件符合《生态文明建设示范区管理规程》《“绿水青山就是金山银山”实践创新基地管理规程》《宜君县低碳发展规划》相关要求。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具有项目专业人员配置。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双方签订合同时具体约定。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项目验收尾款，服务成果全部交付并经甲方验收合格后，达到付款条件起7个工作日内，支付合同总金额的70.0%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合同执行中发生争议的，当事人双方应协解决。协商达不成一致时，可向同级行政仲裁机关申请仲裁。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依法缴纳税收和社会保障资金相关材料（磋商截止日前六个月内任意一个月）</w:t>
            </w:r>
          </w:p>
        </w:tc>
        <w:tc>
          <w:tcPr>
            <w:tcW w:type="dxa" w:w="3322"/>
          </w:tcPr>
          <w:p>
            <w:pPr>
              <w:pStyle w:val="null3"/>
            </w:pPr>
            <w:r>
              <w:rPr>
                <w:rFonts w:ascii="仿宋_GB2312" w:hAnsi="仿宋_GB2312" w:cs="仿宋_GB2312" w:eastAsia="仿宋_GB2312"/>
              </w:rPr>
              <w:t>依法缴纳税收和社会保障资金相关材料（磋商截止日前六个月内任意一个月）。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332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评审内容：供应商针对本次项目提供具体详细可行的服务方案，内容包括：①整体规划②组织实施情况③整体实施方案。 评审标准：各部分内容全面详细、阐述条理清晰详尽、符合本项目采购需求，能保障本项目实施得15分；评审内容每缺一项扣5分，评审内容有缺陷未完全响应评审标准的每有一项缺陷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评审内容：供应商提供针对本项目所配备的人员及设备，内容包括：①服务团队配备 ②内部职责分工。评审标准：各部分内容全面详细、阐述条理清晰详尽、符合本项目采购需求，能保障本项目实施得14；评审内容每缺一项扣7分，评审内容有缺陷未完全响应评审标准的每有一项缺陷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评审内容：供应商针对本次项目制定进度计划方案，内容包括：①项目实施②工作内容安排③进度保障措施。 评审标准：各部分内容全面详细、阐述条理清晰详尽、符合本项目采购需求，能保障本项目实施得15分；评审内容每缺一项扣5分，评审内容有缺陷未完全响应评审标准的每有一项缺陷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实施过程中可能出现的突发事件提供应急方案（包括但不限于①应急事件分类；②应急机制；③应急响应时间；④应急人员；⑤应急保障措施等）。方案各部分内容全面详细、阐述条理清晰详尽、符合本项目采购需求，能有效保障本项目实施的计15分，每有一个缺项扣3分，每有一项内容不完整或有缺陷或与项目不匹配的，扣1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服务质量控制措施</w:t>
            </w:r>
          </w:p>
        </w:tc>
        <w:tc>
          <w:tcPr>
            <w:tcW w:type="dxa" w:w="2492"/>
          </w:tcPr>
          <w:p>
            <w:pPr>
              <w:pStyle w:val="null3"/>
            </w:pPr>
            <w:r>
              <w:rPr>
                <w:rFonts w:ascii="仿宋_GB2312" w:hAnsi="仿宋_GB2312" w:cs="仿宋_GB2312" w:eastAsia="仿宋_GB2312"/>
              </w:rPr>
              <w:t>评审内容：供应商应针对本项目提供完善的服务质量保证措施。内容报告：①质量管理体系②交付质量保证措施③服务承诺；评审标准：各部分内容全面详细、阐述条理清晰详尽、符合本项目采购需求，能保障本项目实施得15分；评审内容每缺一项扣5分，评审内容有缺陷未完全响应评审标准的每有一项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重点问题的解决方案及合理化建议</w:t>
            </w:r>
          </w:p>
        </w:tc>
        <w:tc>
          <w:tcPr>
            <w:tcW w:type="dxa" w:w="2492"/>
          </w:tcPr>
          <w:p>
            <w:pPr>
              <w:pStyle w:val="null3"/>
            </w:pPr>
            <w:r>
              <w:rPr>
                <w:rFonts w:ascii="仿宋_GB2312" w:hAnsi="仿宋_GB2312" w:cs="仿宋_GB2312" w:eastAsia="仿宋_GB2312"/>
              </w:rPr>
              <w:t>评审内容：供应商应针对本项目提供完善的重点问题的解决方案及合理化建议。内容报告： ①重点问题的解决方案②项目合理化建议； 评审标准：各部分内容全面详细、阐述条理清晰详尽、符合本项目采购需求，能保障本项目实施得14分；评审内容每缺一项扣7分，评审内容有缺陷未完全响应评审标准的每有一项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 供应商提供2023年至今（以合同签订日期为准）类似项目业绩，以合同复印件为准，每一份计0.5分，最多计2分。评审标准：业绩证明材料（以磋商响应文件中提供的合同复印件为准）。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采用低价优先法计算，即满足磋商文件要求且投标价格最低的投标报价为评标基准价，按照下列公式计算： 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 府 采 购 合 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