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00" w:type="dxa"/>
        <w:tblInd w:w="93" w:type="dxa"/>
        <w:tblLayout w:type="fixed"/>
        <w:tblCellMar>
          <w:top w:w="0" w:type="dxa"/>
          <w:left w:w="108" w:type="dxa"/>
          <w:bottom w:w="0" w:type="dxa"/>
          <w:right w:w="108" w:type="dxa"/>
        </w:tblCellMar>
      </w:tblPr>
      <w:tblGrid>
        <w:gridCol w:w="417"/>
        <w:gridCol w:w="21"/>
        <w:gridCol w:w="542"/>
        <w:gridCol w:w="724"/>
        <w:gridCol w:w="5782"/>
        <w:gridCol w:w="687"/>
        <w:gridCol w:w="627"/>
      </w:tblGrid>
      <w:tr w14:paraId="5EE61731">
        <w:tblPrEx>
          <w:tblCellMar>
            <w:top w:w="0" w:type="dxa"/>
            <w:left w:w="108" w:type="dxa"/>
            <w:bottom w:w="0" w:type="dxa"/>
            <w:right w:w="108" w:type="dxa"/>
          </w:tblCellMar>
        </w:tblPrEx>
        <w:trPr>
          <w:trHeight w:val="866" w:hRule="atLeast"/>
        </w:trPr>
        <w:tc>
          <w:tcPr>
            <w:tcW w:w="8800" w:type="dxa"/>
            <w:gridSpan w:val="7"/>
            <w:tcBorders>
              <w:top w:val="nil"/>
              <w:left w:val="nil"/>
              <w:bottom w:val="nil"/>
              <w:right w:val="nil"/>
            </w:tcBorders>
            <w:shd w:val="clear" w:color="auto" w:fill="auto"/>
            <w:noWrap/>
            <w:vAlign w:val="bottom"/>
          </w:tcPr>
          <w:p w14:paraId="191B6FD5">
            <w:pPr>
              <w:widowControl/>
              <w:jc w:val="center"/>
              <w:textAlignment w:val="bottom"/>
              <w:rPr>
                <w:rFonts w:ascii="宋体" w:hAnsi="宋体"/>
                <w:color w:val="000000"/>
                <w:sz w:val="32"/>
                <w:szCs w:val="32"/>
              </w:rPr>
            </w:pPr>
            <w:r>
              <w:rPr>
                <w:rFonts w:hint="eastAsia" w:ascii="宋体" w:hAnsi="宋体"/>
                <w:b/>
                <w:bCs/>
                <w:color w:val="000000"/>
                <w:kern w:val="0"/>
                <w:sz w:val="32"/>
                <w:szCs w:val="32"/>
                <w:lang w:val="en-US" w:eastAsia="zh-CN"/>
              </w:rPr>
              <w:t>包1</w:t>
            </w:r>
            <w:r>
              <w:rPr>
                <w:rFonts w:hint="eastAsia" w:ascii="宋体" w:hAnsi="宋体"/>
                <w:b/>
                <w:bCs/>
                <w:color w:val="000000"/>
                <w:kern w:val="0"/>
                <w:sz w:val="32"/>
                <w:szCs w:val="32"/>
              </w:rPr>
              <w:t>技术参数</w:t>
            </w:r>
          </w:p>
        </w:tc>
      </w:tr>
      <w:tr w14:paraId="4BD61AFF">
        <w:tblPrEx>
          <w:tblCellMar>
            <w:top w:w="0" w:type="dxa"/>
            <w:left w:w="108" w:type="dxa"/>
            <w:bottom w:w="0" w:type="dxa"/>
            <w:right w:w="108" w:type="dxa"/>
          </w:tblCellMar>
        </w:tblPrEx>
        <w:trPr>
          <w:trHeight w:val="757" w:hRule="atLeast"/>
        </w:trPr>
        <w:tc>
          <w:tcPr>
            <w:tcW w:w="41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A71E5">
            <w:pPr>
              <w:widowControl/>
              <w:jc w:val="center"/>
              <w:textAlignment w:val="center"/>
              <w:rPr>
                <w:rFonts w:ascii="宋体" w:hAnsi="宋体"/>
                <w:b/>
                <w:bCs/>
                <w:color w:val="000000"/>
                <w:szCs w:val="21"/>
              </w:rPr>
            </w:pPr>
            <w:r>
              <w:rPr>
                <w:rFonts w:hint="eastAsia" w:ascii="宋体" w:hAnsi="宋体"/>
                <w:b/>
                <w:bCs/>
                <w:color w:val="000000"/>
                <w:kern w:val="0"/>
                <w:szCs w:val="21"/>
              </w:rPr>
              <w:t>序号</w:t>
            </w:r>
          </w:p>
        </w:tc>
        <w:tc>
          <w:tcPr>
            <w:tcW w:w="563" w:type="dxa"/>
            <w:gridSpan w:val="2"/>
            <w:tcBorders>
              <w:top w:val="single" w:color="000000" w:sz="8" w:space="0"/>
              <w:left w:val="nil"/>
              <w:bottom w:val="single" w:color="000000" w:sz="8" w:space="0"/>
              <w:right w:val="single" w:color="000000" w:sz="8" w:space="0"/>
            </w:tcBorders>
            <w:shd w:val="clear" w:color="auto" w:fill="auto"/>
            <w:vAlign w:val="center"/>
          </w:tcPr>
          <w:p w14:paraId="3D09C99B">
            <w:pPr>
              <w:widowControl/>
              <w:jc w:val="center"/>
              <w:textAlignment w:val="center"/>
              <w:rPr>
                <w:rFonts w:ascii="宋体" w:hAnsi="宋体"/>
                <w:b/>
                <w:bCs/>
                <w:color w:val="000000"/>
                <w:szCs w:val="21"/>
              </w:rPr>
            </w:pPr>
            <w:r>
              <w:rPr>
                <w:rFonts w:hint="eastAsia" w:ascii="宋体" w:hAnsi="宋体"/>
                <w:b/>
                <w:bCs/>
                <w:color w:val="000000"/>
                <w:kern w:val="0"/>
                <w:szCs w:val="21"/>
              </w:rPr>
              <w:t>模块</w:t>
            </w:r>
          </w:p>
        </w:tc>
        <w:tc>
          <w:tcPr>
            <w:tcW w:w="724" w:type="dxa"/>
            <w:tcBorders>
              <w:top w:val="single" w:color="000000" w:sz="8" w:space="0"/>
              <w:left w:val="nil"/>
              <w:bottom w:val="single" w:color="000000" w:sz="8" w:space="0"/>
              <w:right w:val="single" w:color="000000" w:sz="8" w:space="0"/>
            </w:tcBorders>
            <w:shd w:val="clear" w:color="auto" w:fill="auto"/>
            <w:vAlign w:val="center"/>
          </w:tcPr>
          <w:p w14:paraId="41103DF8">
            <w:pPr>
              <w:widowControl/>
              <w:jc w:val="center"/>
              <w:textAlignment w:val="center"/>
              <w:rPr>
                <w:rFonts w:hint="eastAsia" w:ascii="宋体" w:hAnsi="宋体" w:eastAsia="宋体"/>
                <w:b/>
                <w:bCs/>
                <w:color w:val="000000"/>
                <w:szCs w:val="21"/>
                <w:lang w:val="en-US" w:eastAsia="zh-CN"/>
              </w:rPr>
            </w:pPr>
            <w:r>
              <w:rPr>
                <w:rFonts w:hint="eastAsia" w:ascii="宋体" w:hAnsi="宋体"/>
                <w:b/>
                <w:bCs/>
                <w:color w:val="000000"/>
                <w:kern w:val="0"/>
                <w:szCs w:val="21"/>
              </w:rPr>
              <w:t>设备</w:t>
            </w:r>
            <w:r>
              <w:rPr>
                <w:rFonts w:hint="eastAsia" w:ascii="宋体" w:hAnsi="宋体"/>
                <w:b/>
                <w:bCs/>
                <w:color w:val="000000"/>
                <w:kern w:val="0"/>
                <w:szCs w:val="21"/>
                <w:lang w:val="en-US" w:eastAsia="zh-CN"/>
              </w:rPr>
              <w:t>名称</w:t>
            </w:r>
          </w:p>
        </w:tc>
        <w:tc>
          <w:tcPr>
            <w:tcW w:w="5782" w:type="dxa"/>
            <w:tcBorders>
              <w:top w:val="single" w:color="000000" w:sz="8" w:space="0"/>
              <w:left w:val="nil"/>
              <w:bottom w:val="single" w:color="000000" w:sz="8" w:space="0"/>
              <w:right w:val="single" w:color="000000" w:sz="8" w:space="0"/>
            </w:tcBorders>
            <w:shd w:val="clear" w:color="auto" w:fill="auto"/>
            <w:vAlign w:val="center"/>
          </w:tcPr>
          <w:p w14:paraId="3229D85D">
            <w:pPr>
              <w:widowControl/>
              <w:jc w:val="center"/>
              <w:textAlignment w:val="center"/>
              <w:rPr>
                <w:rFonts w:ascii="宋体" w:hAnsi="宋体"/>
                <w:b/>
                <w:bCs/>
                <w:color w:val="000000"/>
                <w:szCs w:val="21"/>
              </w:rPr>
            </w:pPr>
            <w:r>
              <w:rPr>
                <w:rFonts w:hint="eastAsia" w:ascii="宋体" w:hAnsi="宋体"/>
                <w:b/>
                <w:bCs/>
                <w:color w:val="000000"/>
                <w:kern w:val="0"/>
                <w:szCs w:val="21"/>
                <w:lang w:val="en-US" w:eastAsia="zh-CN"/>
              </w:rPr>
              <w:t>技术参数</w:t>
            </w:r>
          </w:p>
        </w:tc>
        <w:tc>
          <w:tcPr>
            <w:tcW w:w="687" w:type="dxa"/>
            <w:tcBorders>
              <w:top w:val="single" w:color="000000" w:sz="8" w:space="0"/>
              <w:left w:val="nil"/>
              <w:bottom w:val="single" w:color="000000" w:sz="8" w:space="0"/>
              <w:right w:val="single" w:color="000000" w:sz="8" w:space="0"/>
            </w:tcBorders>
            <w:shd w:val="clear" w:color="auto" w:fill="auto"/>
            <w:vAlign w:val="center"/>
          </w:tcPr>
          <w:p w14:paraId="18E791D5">
            <w:pPr>
              <w:widowControl/>
              <w:jc w:val="center"/>
              <w:textAlignment w:val="center"/>
              <w:rPr>
                <w:rFonts w:ascii="宋体" w:hAnsi="宋体"/>
                <w:b/>
                <w:bCs/>
                <w:color w:val="000000"/>
                <w:szCs w:val="21"/>
              </w:rPr>
            </w:pPr>
            <w:r>
              <w:rPr>
                <w:rFonts w:hint="eastAsia" w:ascii="宋体" w:hAnsi="宋体"/>
                <w:b/>
                <w:bCs/>
                <w:color w:val="000000"/>
                <w:kern w:val="0"/>
                <w:szCs w:val="21"/>
              </w:rPr>
              <w:t>数量</w:t>
            </w:r>
          </w:p>
        </w:tc>
        <w:tc>
          <w:tcPr>
            <w:tcW w:w="627" w:type="dxa"/>
            <w:tcBorders>
              <w:top w:val="single" w:color="000000" w:sz="8" w:space="0"/>
              <w:left w:val="nil"/>
              <w:bottom w:val="single" w:color="000000" w:sz="8" w:space="0"/>
              <w:right w:val="single" w:color="000000" w:sz="8" w:space="0"/>
            </w:tcBorders>
            <w:shd w:val="clear" w:color="auto" w:fill="auto"/>
            <w:vAlign w:val="center"/>
          </w:tcPr>
          <w:p w14:paraId="6E04ED71">
            <w:pPr>
              <w:widowControl/>
              <w:jc w:val="center"/>
              <w:textAlignment w:val="center"/>
              <w:rPr>
                <w:rFonts w:ascii="宋体" w:hAnsi="宋体"/>
                <w:b/>
                <w:bCs/>
                <w:color w:val="000000"/>
                <w:szCs w:val="21"/>
              </w:rPr>
            </w:pPr>
            <w:r>
              <w:rPr>
                <w:rFonts w:hint="eastAsia" w:ascii="宋体" w:hAnsi="宋体"/>
                <w:b/>
                <w:bCs/>
                <w:color w:val="000000"/>
                <w:kern w:val="0"/>
                <w:szCs w:val="21"/>
              </w:rPr>
              <w:t>单位</w:t>
            </w:r>
          </w:p>
        </w:tc>
      </w:tr>
      <w:tr w14:paraId="794805C5">
        <w:tblPrEx>
          <w:tblCellMar>
            <w:top w:w="0" w:type="dxa"/>
            <w:left w:w="108" w:type="dxa"/>
            <w:bottom w:w="0" w:type="dxa"/>
            <w:right w:w="108" w:type="dxa"/>
          </w:tblCellMar>
        </w:tblPrEx>
        <w:trPr>
          <w:trHeight w:val="619" w:hRule="atLeast"/>
        </w:trPr>
        <w:tc>
          <w:tcPr>
            <w:tcW w:w="7486"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14:paraId="3F9B6938">
            <w:pPr>
              <w:widowControl/>
              <w:textAlignment w:val="center"/>
              <w:rPr>
                <w:rFonts w:ascii="宋体" w:hAnsi="宋体"/>
                <w:b/>
                <w:bCs/>
                <w:color w:val="000000"/>
                <w:szCs w:val="21"/>
              </w:rPr>
            </w:pPr>
            <w:r>
              <w:rPr>
                <w:rFonts w:hint="eastAsia" w:ascii="宋体" w:hAnsi="宋体"/>
                <w:b/>
                <w:bCs/>
                <w:color w:val="000000"/>
                <w:kern w:val="0"/>
                <w:szCs w:val="21"/>
              </w:rPr>
              <w:t>一、建强应急指挥体系</w:t>
            </w:r>
          </w:p>
        </w:tc>
        <w:tc>
          <w:tcPr>
            <w:tcW w:w="687" w:type="dxa"/>
            <w:tcBorders>
              <w:top w:val="nil"/>
              <w:left w:val="nil"/>
              <w:bottom w:val="single" w:color="000000" w:sz="8" w:space="0"/>
              <w:right w:val="single" w:color="000000" w:sz="8" w:space="0"/>
            </w:tcBorders>
            <w:shd w:val="clear" w:color="auto" w:fill="auto"/>
            <w:vAlign w:val="center"/>
          </w:tcPr>
          <w:p w14:paraId="33E5EC94">
            <w:pPr>
              <w:widowControl/>
              <w:jc w:val="center"/>
              <w:textAlignment w:val="center"/>
              <w:rPr>
                <w:rFonts w:ascii="宋体" w:hAnsi="宋体"/>
                <w:b/>
                <w:bCs/>
                <w:color w:val="000000"/>
                <w:szCs w:val="21"/>
              </w:rPr>
            </w:pPr>
            <w:r>
              <w:rPr>
                <w:rFonts w:hint="eastAsia" w:ascii="宋体" w:hAnsi="宋体"/>
                <w:b/>
                <w:bCs/>
                <w:color w:val="000000"/>
                <w:kern w:val="0"/>
                <w:szCs w:val="21"/>
              </w:rPr>
              <w:t>/</w:t>
            </w:r>
          </w:p>
        </w:tc>
        <w:tc>
          <w:tcPr>
            <w:tcW w:w="627" w:type="dxa"/>
            <w:tcBorders>
              <w:top w:val="nil"/>
              <w:left w:val="nil"/>
              <w:bottom w:val="single" w:color="000000" w:sz="8" w:space="0"/>
              <w:right w:val="single" w:color="000000" w:sz="8" w:space="0"/>
            </w:tcBorders>
            <w:shd w:val="clear" w:color="auto" w:fill="auto"/>
            <w:vAlign w:val="center"/>
          </w:tcPr>
          <w:p w14:paraId="19C3F7DF">
            <w:pPr>
              <w:widowControl/>
              <w:jc w:val="center"/>
              <w:textAlignment w:val="center"/>
              <w:rPr>
                <w:rFonts w:ascii="宋体" w:hAnsi="宋体"/>
                <w:b/>
                <w:bCs/>
                <w:color w:val="000000"/>
                <w:szCs w:val="21"/>
              </w:rPr>
            </w:pPr>
            <w:r>
              <w:rPr>
                <w:rFonts w:hint="eastAsia" w:ascii="宋体" w:hAnsi="宋体"/>
                <w:b/>
                <w:bCs/>
                <w:color w:val="000000"/>
                <w:kern w:val="0"/>
                <w:szCs w:val="21"/>
              </w:rPr>
              <w:t>/</w:t>
            </w:r>
          </w:p>
        </w:tc>
      </w:tr>
      <w:tr w14:paraId="19112CE3">
        <w:tblPrEx>
          <w:tblCellMar>
            <w:top w:w="0" w:type="dxa"/>
            <w:left w:w="108" w:type="dxa"/>
            <w:bottom w:w="0" w:type="dxa"/>
            <w:right w:w="108" w:type="dxa"/>
          </w:tblCellMar>
        </w:tblPrEx>
        <w:trPr>
          <w:trHeight w:val="1720"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3BC2288E">
            <w:pPr>
              <w:widowControl/>
              <w:jc w:val="center"/>
              <w:textAlignment w:val="center"/>
              <w:rPr>
                <w:rFonts w:ascii="宋体" w:hAnsi="宋体"/>
                <w:color w:val="auto"/>
                <w:szCs w:val="21"/>
              </w:rPr>
            </w:pPr>
            <w:r>
              <w:rPr>
                <w:rFonts w:hint="eastAsia" w:ascii="宋体" w:hAnsi="宋体"/>
                <w:color w:val="auto"/>
                <w:kern w:val="0"/>
                <w:szCs w:val="21"/>
              </w:rPr>
              <w:t>1</w:t>
            </w:r>
          </w:p>
        </w:tc>
        <w:tc>
          <w:tcPr>
            <w:tcW w:w="563"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3EFAE3C">
            <w:pPr>
              <w:widowControl/>
              <w:jc w:val="center"/>
              <w:textAlignment w:val="center"/>
              <w:rPr>
                <w:rFonts w:ascii="宋体" w:hAnsi="宋体"/>
                <w:color w:val="auto"/>
                <w:szCs w:val="21"/>
              </w:rPr>
            </w:pPr>
            <w:r>
              <w:rPr>
                <w:rFonts w:hint="eastAsia" w:ascii="宋体" w:hAnsi="宋体"/>
                <w:color w:val="auto"/>
                <w:kern w:val="0"/>
                <w:szCs w:val="21"/>
              </w:rPr>
              <w:t>县局指挥中心部署</w:t>
            </w:r>
          </w:p>
        </w:tc>
        <w:tc>
          <w:tcPr>
            <w:tcW w:w="724" w:type="dxa"/>
            <w:tcBorders>
              <w:top w:val="nil"/>
              <w:left w:val="nil"/>
              <w:bottom w:val="single" w:color="000000" w:sz="8" w:space="0"/>
              <w:right w:val="single" w:color="000000" w:sz="8" w:space="0"/>
            </w:tcBorders>
            <w:shd w:val="clear" w:color="auto" w:fill="auto"/>
            <w:vAlign w:val="center"/>
          </w:tcPr>
          <w:p w14:paraId="7865497D">
            <w:pPr>
              <w:widowControl/>
              <w:jc w:val="left"/>
              <w:textAlignment w:val="center"/>
              <w:rPr>
                <w:rFonts w:ascii="宋体" w:hAnsi="宋体"/>
                <w:color w:val="auto"/>
                <w:sz w:val="20"/>
                <w:szCs w:val="20"/>
              </w:rPr>
            </w:pPr>
            <w:r>
              <w:rPr>
                <w:rFonts w:hint="eastAsia" w:ascii="宋体" w:hAnsi="宋体"/>
                <w:color w:val="auto"/>
                <w:kern w:val="0"/>
                <w:szCs w:val="21"/>
              </w:rPr>
              <w:t>★</w:t>
            </w:r>
            <w:r>
              <w:rPr>
                <w:rFonts w:hint="eastAsia" w:ascii="宋体" w:hAnsi="宋体"/>
                <w:color w:val="auto"/>
                <w:kern w:val="0"/>
                <w:sz w:val="20"/>
                <w:szCs w:val="20"/>
              </w:rPr>
              <w:t>多点控制单元(MCU)接入授权</w:t>
            </w:r>
          </w:p>
        </w:tc>
        <w:tc>
          <w:tcPr>
            <w:tcW w:w="5782" w:type="dxa"/>
            <w:tcBorders>
              <w:top w:val="nil"/>
              <w:left w:val="nil"/>
              <w:bottom w:val="single" w:color="000000" w:sz="8" w:space="0"/>
              <w:right w:val="single" w:color="000000" w:sz="8" w:space="0"/>
            </w:tcBorders>
            <w:shd w:val="clear" w:color="auto" w:fill="auto"/>
            <w:vAlign w:val="center"/>
          </w:tcPr>
          <w:p w14:paraId="3F3AE5C3">
            <w:pPr>
              <w:widowControl/>
              <w:jc w:val="left"/>
              <w:textAlignment w:val="center"/>
              <w:rPr>
                <w:rFonts w:ascii="宋体" w:hAnsi="宋体"/>
                <w:color w:val="auto"/>
                <w:kern w:val="0"/>
                <w:szCs w:val="21"/>
              </w:rPr>
            </w:pPr>
            <w:r>
              <w:rPr>
                <w:rFonts w:hint="eastAsia" w:ascii="宋体" w:hAnsi="宋体"/>
                <w:color w:val="auto"/>
                <w:kern w:val="0"/>
                <w:szCs w:val="21"/>
              </w:rPr>
              <w:t>对原MCU设备授权扩容支持科达、华为等多主流品牌、多型号会议终端设备接入，实现县域指挥中心对全域应急事件的可视化指挥、音视频调度与指令下发</w:t>
            </w:r>
          </w:p>
        </w:tc>
        <w:tc>
          <w:tcPr>
            <w:tcW w:w="687" w:type="dxa"/>
            <w:tcBorders>
              <w:top w:val="nil"/>
              <w:left w:val="nil"/>
              <w:bottom w:val="single" w:color="000000" w:sz="8" w:space="0"/>
              <w:right w:val="single" w:color="000000" w:sz="8" w:space="0"/>
            </w:tcBorders>
            <w:shd w:val="clear" w:color="auto" w:fill="auto"/>
            <w:vAlign w:val="center"/>
          </w:tcPr>
          <w:p w14:paraId="2E9E362A">
            <w:pPr>
              <w:widowControl/>
              <w:jc w:val="center"/>
              <w:textAlignment w:val="center"/>
              <w:rPr>
                <w:rFonts w:ascii="宋体" w:hAnsi="宋体"/>
                <w:color w:val="auto"/>
                <w:szCs w:val="21"/>
              </w:rPr>
            </w:pPr>
            <w:r>
              <w:rPr>
                <w:rFonts w:hint="eastAsia" w:ascii="宋体" w:hAnsi="宋体"/>
                <w:color w:val="auto"/>
                <w:kern w:val="0"/>
                <w:szCs w:val="21"/>
              </w:rPr>
              <w:t>80</w:t>
            </w:r>
          </w:p>
        </w:tc>
        <w:tc>
          <w:tcPr>
            <w:tcW w:w="627" w:type="dxa"/>
            <w:tcBorders>
              <w:top w:val="nil"/>
              <w:left w:val="nil"/>
              <w:bottom w:val="single" w:color="000000" w:sz="8" w:space="0"/>
              <w:right w:val="single" w:color="000000" w:sz="8" w:space="0"/>
            </w:tcBorders>
            <w:shd w:val="clear" w:color="auto" w:fill="auto"/>
            <w:vAlign w:val="center"/>
          </w:tcPr>
          <w:p w14:paraId="3F74B858">
            <w:pPr>
              <w:widowControl/>
              <w:jc w:val="center"/>
              <w:textAlignment w:val="center"/>
              <w:rPr>
                <w:rFonts w:ascii="宋体" w:hAnsi="宋体"/>
                <w:color w:val="auto"/>
                <w:szCs w:val="21"/>
              </w:rPr>
            </w:pPr>
            <w:r>
              <w:rPr>
                <w:rFonts w:hint="eastAsia" w:ascii="宋体" w:hAnsi="宋体"/>
                <w:color w:val="auto"/>
                <w:kern w:val="0"/>
                <w:szCs w:val="21"/>
              </w:rPr>
              <w:t>个</w:t>
            </w:r>
          </w:p>
        </w:tc>
      </w:tr>
      <w:tr w14:paraId="5EE09198">
        <w:tblPrEx>
          <w:tblCellMar>
            <w:top w:w="0" w:type="dxa"/>
            <w:left w:w="108" w:type="dxa"/>
            <w:bottom w:w="0" w:type="dxa"/>
            <w:right w:w="108" w:type="dxa"/>
          </w:tblCellMar>
        </w:tblPrEx>
        <w:trPr>
          <w:trHeight w:val="6688"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5113BB5F">
            <w:pPr>
              <w:widowControl/>
              <w:jc w:val="center"/>
              <w:textAlignment w:val="center"/>
              <w:rPr>
                <w:rFonts w:ascii="宋体" w:hAnsi="宋体"/>
                <w:color w:val="auto"/>
                <w:szCs w:val="21"/>
              </w:rPr>
            </w:pPr>
            <w:r>
              <w:rPr>
                <w:rFonts w:hint="eastAsia" w:ascii="宋体" w:hAnsi="宋体"/>
                <w:color w:val="auto"/>
                <w:kern w:val="0"/>
                <w:szCs w:val="21"/>
              </w:rPr>
              <w:t>2</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43C1B2">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6DE95E70">
            <w:pPr>
              <w:widowControl/>
              <w:jc w:val="left"/>
              <w:textAlignment w:val="center"/>
              <w:rPr>
                <w:rFonts w:ascii="宋体" w:hAnsi="宋体"/>
                <w:color w:val="auto"/>
                <w:sz w:val="20"/>
                <w:szCs w:val="20"/>
              </w:rPr>
            </w:pPr>
            <w:r>
              <w:rPr>
                <w:rFonts w:hint="eastAsia" w:ascii="宋体" w:hAnsi="宋体"/>
                <w:color w:val="auto"/>
                <w:kern w:val="0"/>
                <w:sz w:val="20"/>
                <w:szCs w:val="20"/>
              </w:rPr>
              <w:t>防火墙</w:t>
            </w:r>
          </w:p>
        </w:tc>
        <w:tc>
          <w:tcPr>
            <w:tcW w:w="5782" w:type="dxa"/>
            <w:tcBorders>
              <w:top w:val="nil"/>
              <w:left w:val="nil"/>
              <w:bottom w:val="single" w:color="000000" w:sz="8" w:space="0"/>
              <w:right w:val="single" w:color="000000" w:sz="8" w:space="0"/>
            </w:tcBorders>
            <w:shd w:val="clear" w:color="auto" w:fill="auto"/>
            <w:vAlign w:val="center"/>
          </w:tcPr>
          <w:p w14:paraId="57938C7A">
            <w:pPr>
              <w:widowControl/>
              <w:jc w:val="left"/>
              <w:textAlignment w:val="center"/>
              <w:rPr>
                <w:rFonts w:ascii="宋体" w:hAnsi="宋体"/>
                <w:color w:val="auto"/>
                <w:kern w:val="0"/>
                <w:szCs w:val="21"/>
              </w:rPr>
            </w:pPr>
            <w:r>
              <w:rPr>
                <w:rFonts w:hint="eastAsia" w:ascii="宋体" w:hAnsi="宋体"/>
                <w:color w:val="auto"/>
                <w:kern w:val="0"/>
                <w:szCs w:val="21"/>
              </w:rPr>
              <w:t>网络层吞吐量≥2Gbps；IPS吞吐量≥1.2Gbps；AV吞吐量≥1Gbps；IPSec吞吐量≥800Mbps；IPSec 隧道数≥700；并发连接数≥200万；每秒新建连接数≥2万</w:t>
            </w:r>
          </w:p>
          <w:p w14:paraId="73D2597F">
            <w:pPr>
              <w:widowControl/>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▲≥1U标准机箱，配置≥10个千兆电口（1对bypass），≥2对Combo口；≥1个CON口；≥2个USB 3.0口；≥1个硬盘扩展槽位；交流单电源；</w:t>
            </w:r>
          </w:p>
          <w:p w14:paraId="440B9AB9">
            <w:pPr>
              <w:widowControl/>
              <w:jc w:val="left"/>
              <w:textAlignment w:val="center"/>
              <w:rPr>
                <w:rFonts w:ascii="宋体" w:hAnsi="宋体"/>
                <w:color w:val="auto"/>
                <w:kern w:val="0"/>
                <w:szCs w:val="21"/>
              </w:rPr>
            </w:pPr>
            <w:r>
              <w:rPr>
                <w:rFonts w:hint="eastAsia" w:ascii="宋体" w:hAnsi="宋体"/>
                <w:color w:val="auto"/>
                <w:kern w:val="0"/>
                <w:szCs w:val="21"/>
              </w:rPr>
              <w:t>具备流量自学习功能，可设置自学习时间，并自动生成DDoS防范策略；</w:t>
            </w:r>
          </w:p>
          <w:p w14:paraId="5E45AE36">
            <w:pPr>
              <w:widowControl/>
              <w:jc w:val="left"/>
              <w:textAlignment w:val="center"/>
              <w:rPr>
                <w:rFonts w:ascii="宋体" w:hAnsi="宋体"/>
                <w:color w:val="auto"/>
                <w:kern w:val="0"/>
                <w:szCs w:val="21"/>
              </w:rPr>
            </w:pPr>
            <w:r>
              <w:rPr>
                <w:rFonts w:hint="eastAsia" w:ascii="宋体" w:hAnsi="宋体"/>
                <w:color w:val="auto"/>
                <w:kern w:val="0"/>
                <w:szCs w:val="21"/>
              </w:rPr>
              <w:t>具备HTTPS加密流量的安全检测，支持TCP代理和SSL代理，且代理策略中可同时配置多类过滤条件，具体包括：源安全域、目的安全域、源地址、目的地址、用户和服务。一类过滤条件可以配置多个匹配项；</w:t>
            </w:r>
          </w:p>
          <w:p w14:paraId="3F7CB084">
            <w:pPr>
              <w:widowControl/>
              <w:jc w:val="left"/>
              <w:textAlignment w:val="center"/>
              <w:rPr>
                <w:rFonts w:ascii="宋体" w:hAnsi="宋体"/>
                <w:color w:val="auto"/>
                <w:kern w:val="0"/>
                <w:szCs w:val="21"/>
              </w:rPr>
            </w:pPr>
            <w:r>
              <w:rPr>
                <w:rFonts w:hint="eastAsia" w:ascii="宋体" w:hAnsi="宋体"/>
                <w:color w:val="auto"/>
                <w:kern w:val="0"/>
                <w:szCs w:val="21"/>
              </w:rPr>
              <w:t>具备抓取原始数据包，查看网络威胁详情及分析取证；</w:t>
            </w:r>
          </w:p>
          <w:p w14:paraId="2F10B9B3">
            <w:pPr>
              <w:widowControl/>
              <w:jc w:val="left"/>
              <w:textAlignment w:val="center"/>
              <w:rPr>
                <w:rFonts w:ascii="宋体" w:hAnsi="宋体"/>
                <w:color w:val="auto"/>
                <w:kern w:val="0"/>
                <w:szCs w:val="21"/>
              </w:rPr>
            </w:pPr>
            <w:r>
              <w:rPr>
                <w:rFonts w:hint="eastAsia" w:ascii="宋体" w:hAnsi="宋体"/>
                <w:color w:val="auto"/>
                <w:kern w:val="0"/>
                <w:szCs w:val="21"/>
              </w:rPr>
              <w:t>基于每个SSL VPN用户的会话连接数、连接时间和流量阀值进行细颗粒度的管控；</w:t>
            </w:r>
          </w:p>
          <w:p w14:paraId="2303F57F">
            <w:pPr>
              <w:widowControl/>
              <w:jc w:val="left"/>
              <w:textAlignment w:val="center"/>
              <w:rPr>
                <w:rFonts w:ascii="宋体" w:hAnsi="宋体"/>
                <w:color w:val="auto"/>
                <w:kern w:val="0"/>
                <w:szCs w:val="21"/>
              </w:rPr>
            </w:pPr>
            <w:r>
              <w:rPr>
                <w:rFonts w:hint="eastAsia" w:ascii="宋体" w:hAnsi="宋体"/>
                <w:color w:val="auto"/>
                <w:kern w:val="0"/>
                <w:szCs w:val="21"/>
              </w:rPr>
              <w:t>具备IPsec VPN智能选路，根据应用和隧道质量调度流量；</w:t>
            </w:r>
          </w:p>
          <w:p w14:paraId="7234ED4A">
            <w:pPr>
              <w:widowControl/>
              <w:jc w:val="left"/>
              <w:textAlignment w:val="center"/>
              <w:rPr>
                <w:rFonts w:ascii="宋体" w:hAnsi="宋体"/>
                <w:color w:val="auto"/>
                <w:kern w:val="0"/>
                <w:szCs w:val="21"/>
              </w:rPr>
            </w:pPr>
            <w:r>
              <w:rPr>
                <w:rFonts w:hint="eastAsia" w:ascii="宋体" w:hAnsi="宋体"/>
                <w:color w:val="auto"/>
                <w:kern w:val="0"/>
                <w:szCs w:val="21"/>
              </w:rPr>
              <w:t>具备负载均衡功能，能根据安全策略将网络流量均衡到多台服务器上；</w:t>
            </w:r>
          </w:p>
          <w:p w14:paraId="3966DD14">
            <w:pPr>
              <w:widowControl/>
              <w:jc w:val="left"/>
              <w:textAlignment w:val="center"/>
              <w:rPr>
                <w:rFonts w:ascii="宋体" w:hAnsi="宋体"/>
                <w:color w:val="auto"/>
                <w:kern w:val="0"/>
                <w:szCs w:val="21"/>
              </w:rPr>
            </w:pPr>
            <w:r>
              <w:rPr>
                <w:rFonts w:hint="eastAsia" w:ascii="宋体" w:hAnsi="宋体"/>
                <w:color w:val="auto"/>
                <w:kern w:val="0"/>
                <w:szCs w:val="21"/>
              </w:rPr>
              <w:t>具备路由转发模式，其安全策略生效；具备透明传输模式，其安全策略生效；</w:t>
            </w:r>
          </w:p>
          <w:p w14:paraId="4F982A14">
            <w:pPr>
              <w:widowControl/>
              <w:jc w:val="left"/>
              <w:textAlignment w:val="center"/>
              <w:rPr>
                <w:rFonts w:ascii="宋体" w:hAnsi="宋体"/>
                <w:color w:val="auto"/>
                <w:kern w:val="0"/>
                <w:szCs w:val="21"/>
              </w:rPr>
            </w:pPr>
            <w:r>
              <w:rPr>
                <w:rFonts w:hint="eastAsia" w:ascii="宋体" w:hAnsi="宋体"/>
                <w:color w:val="auto"/>
                <w:kern w:val="0"/>
                <w:szCs w:val="21"/>
              </w:rPr>
              <w:t>具备基于源、目的IP策略路由；具备基于接口的策略路由；具备基于协议和端口的策略路由；具备基于应用类型的策略路由；</w:t>
            </w:r>
          </w:p>
          <w:p w14:paraId="382CF8E8">
            <w:pPr>
              <w:widowControl/>
              <w:jc w:val="left"/>
              <w:textAlignment w:val="center"/>
              <w:rPr>
                <w:rFonts w:ascii="宋体" w:hAnsi="宋体"/>
                <w:color w:val="auto"/>
                <w:kern w:val="0"/>
                <w:szCs w:val="21"/>
              </w:rPr>
            </w:pPr>
            <w:r>
              <w:rPr>
                <w:rFonts w:hint="eastAsia" w:ascii="宋体" w:hAnsi="宋体"/>
                <w:color w:val="auto"/>
                <w:kern w:val="0"/>
                <w:szCs w:val="21"/>
              </w:rPr>
              <w:t>需具备中国网络安全审查技术与认证中心出具的《中国国家信息安全产品认证证书》或《网络关键设备和网络安全专用产品安全认证证书》；</w:t>
            </w:r>
          </w:p>
        </w:tc>
        <w:tc>
          <w:tcPr>
            <w:tcW w:w="687" w:type="dxa"/>
            <w:tcBorders>
              <w:top w:val="nil"/>
              <w:left w:val="nil"/>
              <w:bottom w:val="single" w:color="000000" w:sz="8" w:space="0"/>
              <w:right w:val="single" w:color="000000" w:sz="8" w:space="0"/>
            </w:tcBorders>
            <w:shd w:val="clear" w:color="auto" w:fill="auto"/>
            <w:vAlign w:val="center"/>
          </w:tcPr>
          <w:p w14:paraId="49DD20D2">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3179123D">
            <w:pPr>
              <w:widowControl/>
              <w:jc w:val="center"/>
              <w:textAlignment w:val="center"/>
              <w:rPr>
                <w:rFonts w:ascii="宋体" w:hAnsi="宋体"/>
                <w:color w:val="auto"/>
                <w:szCs w:val="21"/>
              </w:rPr>
            </w:pPr>
            <w:r>
              <w:rPr>
                <w:rFonts w:hint="eastAsia" w:ascii="宋体" w:hAnsi="宋体"/>
                <w:color w:val="auto"/>
                <w:kern w:val="0"/>
                <w:szCs w:val="21"/>
              </w:rPr>
              <w:t>套</w:t>
            </w:r>
          </w:p>
        </w:tc>
      </w:tr>
      <w:tr w14:paraId="52F17E53">
        <w:tblPrEx>
          <w:tblCellMar>
            <w:top w:w="0" w:type="dxa"/>
            <w:left w:w="108" w:type="dxa"/>
            <w:bottom w:w="0" w:type="dxa"/>
            <w:right w:w="108" w:type="dxa"/>
          </w:tblCellMar>
        </w:tblPrEx>
        <w:trPr>
          <w:trHeight w:val="7005"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6E1FAB32">
            <w:pPr>
              <w:widowControl/>
              <w:jc w:val="center"/>
              <w:textAlignment w:val="center"/>
              <w:rPr>
                <w:rFonts w:ascii="宋体" w:hAnsi="宋体"/>
                <w:color w:val="auto"/>
                <w:szCs w:val="21"/>
              </w:rPr>
            </w:pPr>
            <w:r>
              <w:rPr>
                <w:rFonts w:hint="eastAsia" w:ascii="宋体" w:hAnsi="宋体"/>
                <w:color w:val="auto"/>
                <w:kern w:val="0"/>
                <w:szCs w:val="21"/>
              </w:rPr>
              <w:t>3</w:t>
            </w:r>
          </w:p>
        </w:tc>
        <w:tc>
          <w:tcPr>
            <w:tcW w:w="563" w:type="dxa"/>
            <w:gridSpan w:val="2"/>
            <w:tcBorders>
              <w:top w:val="nil"/>
              <w:left w:val="nil"/>
              <w:bottom w:val="single" w:color="000000" w:sz="8" w:space="0"/>
              <w:right w:val="single" w:color="000000" w:sz="8" w:space="0"/>
            </w:tcBorders>
            <w:shd w:val="clear" w:color="auto" w:fill="auto"/>
            <w:vAlign w:val="center"/>
          </w:tcPr>
          <w:p w14:paraId="0726CE54">
            <w:pPr>
              <w:widowControl/>
              <w:jc w:val="left"/>
              <w:textAlignment w:val="center"/>
              <w:rPr>
                <w:rFonts w:ascii="宋体" w:hAnsi="宋体"/>
                <w:color w:val="auto"/>
                <w:szCs w:val="21"/>
              </w:rPr>
            </w:pPr>
            <w:r>
              <w:rPr>
                <w:rFonts w:hint="eastAsia" w:ascii="宋体" w:hAnsi="宋体"/>
                <w:color w:val="auto"/>
                <w:kern w:val="0"/>
                <w:szCs w:val="21"/>
              </w:rPr>
              <w:t>行政村分会场设备部署</w:t>
            </w:r>
          </w:p>
        </w:tc>
        <w:tc>
          <w:tcPr>
            <w:tcW w:w="724" w:type="dxa"/>
            <w:tcBorders>
              <w:top w:val="nil"/>
              <w:left w:val="nil"/>
              <w:bottom w:val="single" w:color="000000" w:sz="8" w:space="0"/>
              <w:right w:val="single" w:color="000000" w:sz="8" w:space="0"/>
            </w:tcBorders>
            <w:shd w:val="clear" w:color="auto" w:fill="auto"/>
            <w:vAlign w:val="center"/>
          </w:tcPr>
          <w:p w14:paraId="39FA0C16">
            <w:pPr>
              <w:widowControl/>
              <w:jc w:val="left"/>
              <w:textAlignment w:val="center"/>
              <w:rPr>
                <w:rFonts w:ascii="宋体" w:hAnsi="宋体"/>
                <w:color w:val="auto"/>
                <w:sz w:val="20"/>
                <w:szCs w:val="20"/>
              </w:rPr>
            </w:pPr>
            <w:r>
              <w:rPr>
                <w:rFonts w:hint="eastAsia" w:ascii="宋体" w:hAnsi="宋体"/>
                <w:color w:val="auto"/>
                <w:kern w:val="0"/>
                <w:sz w:val="20"/>
                <w:szCs w:val="20"/>
              </w:rPr>
              <w:t>纵向一体化应急指挥调度终端</w:t>
            </w:r>
          </w:p>
        </w:tc>
        <w:tc>
          <w:tcPr>
            <w:tcW w:w="5782" w:type="dxa"/>
            <w:tcBorders>
              <w:top w:val="nil"/>
              <w:left w:val="nil"/>
              <w:bottom w:val="single" w:color="000000" w:sz="8" w:space="0"/>
              <w:right w:val="single" w:color="000000" w:sz="8" w:space="0"/>
            </w:tcBorders>
            <w:shd w:val="clear" w:color="auto" w:fill="auto"/>
            <w:vAlign w:val="center"/>
          </w:tcPr>
          <w:p w14:paraId="0CB3F5FE">
            <w:pPr>
              <w:widowControl/>
              <w:jc w:val="left"/>
              <w:textAlignment w:val="center"/>
              <w:rPr>
                <w:rFonts w:ascii="宋体" w:hAnsi="宋体"/>
                <w:color w:val="auto"/>
                <w:kern w:val="0"/>
                <w:szCs w:val="21"/>
              </w:rPr>
            </w:pPr>
            <w:r>
              <w:rPr>
                <w:rFonts w:hint="eastAsia" w:ascii="宋体" w:hAnsi="宋体"/>
                <w:color w:val="auto"/>
                <w:kern w:val="0"/>
                <w:szCs w:val="21"/>
              </w:rPr>
              <w:t>集成摄像头、麦克风、扬声器、wifi、蓝牙于一体，产品设备主要元器件采用国产器件，包含音视频编解码单元、CPU处理单元；</w:t>
            </w:r>
          </w:p>
          <w:p w14:paraId="19A7A5B3">
            <w:pPr>
              <w:widowControl/>
              <w:jc w:val="left"/>
              <w:textAlignment w:val="center"/>
              <w:rPr>
                <w:rFonts w:ascii="宋体" w:hAnsi="宋体"/>
                <w:color w:val="auto"/>
                <w:kern w:val="0"/>
                <w:szCs w:val="21"/>
              </w:rPr>
            </w:pPr>
            <w:r>
              <w:rPr>
                <w:rFonts w:hint="eastAsia" w:ascii="宋体" w:hAnsi="宋体"/>
                <w:color w:val="auto"/>
                <w:kern w:val="0"/>
                <w:szCs w:val="21"/>
              </w:rPr>
              <w:t>具备ITU-T H.323和IETF SIP通信标准，能够和符合国际标准的产品互通，具备AES加密算法及SRTP码流加密；</w:t>
            </w:r>
          </w:p>
          <w:p w14:paraId="0F12AA1C">
            <w:pPr>
              <w:widowControl/>
              <w:jc w:val="left"/>
              <w:textAlignment w:val="center"/>
              <w:rPr>
                <w:rFonts w:ascii="宋体" w:hAnsi="宋体"/>
                <w:color w:val="auto"/>
                <w:kern w:val="0"/>
                <w:szCs w:val="21"/>
              </w:rPr>
            </w:pPr>
            <w:r>
              <w:rPr>
                <w:rFonts w:hint="eastAsia" w:ascii="宋体" w:hAnsi="宋体" w:eastAsia="宋体" w:cs="宋体"/>
                <w:color w:val="auto"/>
                <w:sz w:val="21"/>
                <w:szCs w:val="21"/>
              </w:rPr>
              <w:t>▲具备H.264BP、H.264 HP等视频编解码协议，支持最大4K@30fps编解码能力；</w:t>
            </w:r>
          </w:p>
          <w:p w14:paraId="1AC007F2">
            <w:pPr>
              <w:widowControl/>
              <w:jc w:val="left"/>
              <w:textAlignment w:val="center"/>
              <w:rPr>
                <w:rFonts w:ascii="宋体" w:hAnsi="宋体"/>
                <w:color w:val="auto"/>
                <w:kern w:val="0"/>
                <w:szCs w:val="21"/>
              </w:rPr>
            </w:pPr>
            <w:r>
              <w:rPr>
                <w:rFonts w:hint="eastAsia" w:ascii="宋体" w:hAnsi="宋体"/>
                <w:color w:val="auto"/>
                <w:kern w:val="0"/>
                <w:szCs w:val="21"/>
              </w:rPr>
              <w:t>具备G.711alaw、G.711ulaw、Opus、AAC-LC、AAC-LD、G.722等音频编解码协议，具备回声抵消(AEC)、背景噪声抑制(ANS)、自动麦克增益(AGC)；具备AI技术实现智能降噪，回声消除，语音均衡，实现全双工语音交流。具备音画同步优化功能，清除音画延时差；</w:t>
            </w:r>
          </w:p>
          <w:p w14:paraId="6C613B48">
            <w:pPr>
              <w:widowControl/>
              <w:jc w:val="left"/>
              <w:textAlignment w:val="center"/>
              <w:rPr>
                <w:rFonts w:ascii="宋体" w:hAnsi="宋体"/>
                <w:color w:val="auto"/>
                <w:kern w:val="0"/>
                <w:szCs w:val="21"/>
              </w:rPr>
            </w:pPr>
            <w:r>
              <w:rPr>
                <w:rFonts w:hint="eastAsia" w:ascii="宋体" w:hAnsi="宋体"/>
                <w:color w:val="auto"/>
                <w:kern w:val="0"/>
                <w:szCs w:val="21"/>
              </w:rPr>
              <w:t>具备H.239和BFCP双流协议，具备终端将PC机（静态或动态） 的画面或视频画面和主摄像机画面同时实时传送。具备通过无线网络将图像发送至终端或本地显示， 图像清晰流畅，最高具备1080P30fps；</w:t>
            </w:r>
          </w:p>
          <w:p w14:paraId="3F82E999">
            <w:pPr>
              <w:widowControl/>
              <w:jc w:val="left"/>
              <w:textAlignment w:val="center"/>
              <w:rPr>
                <w:rFonts w:ascii="宋体" w:hAnsi="宋体"/>
                <w:color w:val="auto"/>
                <w:kern w:val="0"/>
                <w:szCs w:val="21"/>
              </w:rPr>
            </w:pPr>
            <w:r>
              <w:rPr>
                <w:rFonts w:hint="eastAsia" w:ascii="宋体" w:hAnsi="宋体"/>
                <w:color w:val="auto"/>
                <w:kern w:val="0"/>
                <w:szCs w:val="21"/>
              </w:rPr>
              <w:t>摄像机控制功能，具备对摄像机的上下左右视野调整，背光、补偿、亮度、对比度、饱和度、锐度、增益、背光模式设置；</w:t>
            </w:r>
          </w:p>
          <w:p w14:paraId="4017BDB8">
            <w:pPr>
              <w:widowControl/>
              <w:jc w:val="left"/>
              <w:textAlignment w:val="center"/>
              <w:rPr>
                <w:rFonts w:ascii="宋体" w:hAnsi="宋体"/>
                <w:color w:val="auto"/>
                <w:kern w:val="0"/>
                <w:szCs w:val="21"/>
              </w:rPr>
            </w:pPr>
            <w:r>
              <w:rPr>
                <w:rFonts w:hint="eastAsia" w:ascii="宋体" w:hAnsi="宋体" w:eastAsia="宋体" w:cs="宋体"/>
                <w:color w:val="auto"/>
                <w:sz w:val="21"/>
                <w:szCs w:val="21"/>
              </w:rPr>
              <w:t>▲摄像头分辨率不低于4K@30fps，≥3x数码变焦，内置麦克风，拾音距离≥8m；内置扬声器最大功率≥10W；</w:t>
            </w:r>
          </w:p>
          <w:p w14:paraId="75B405CE">
            <w:pPr>
              <w:widowControl/>
              <w:jc w:val="left"/>
              <w:textAlignment w:val="center"/>
              <w:rPr>
                <w:rFonts w:ascii="宋体" w:hAnsi="宋体"/>
                <w:color w:val="auto"/>
                <w:kern w:val="0"/>
                <w:szCs w:val="21"/>
              </w:rPr>
            </w:pPr>
            <w:r>
              <w:rPr>
                <w:rFonts w:hint="eastAsia" w:ascii="宋体" w:hAnsi="宋体"/>
                <w:color w:val="auto"/>
                <w:kern w:val="0"/>
                <w:szCs w:val="21"/>
              </w:rPr>
              <w:t>视频输入接口不少于1路HDMI ，视频输出接口不少于2路HDMI ，音频输入接口不少于1路3.5mm LINE IN、1路内置阵列麦克风，音频输出接口1路3.5mm LINE OUT，网络接口不少于1路千兆自适应网口，1路POE千兆自适应网口， 具备2路USB2.0Type A接口、1路USBTypeC接口</w:t>
            </w:r>
          </w:p>
          <w:p w14:paraId="2397BADE">
            <w:pPr>
              <w:widowControl/>
              <w:jc w:val="left"/>
              <w:textAlignment w:val="center"/>
              <w:rPr>
                <w:rFonts w:ascii="宋体" w:hAnsi="宋体"/>
                <w:color w:val="auto"/>
                <w:kern w:val="0"/>
                <w:szCs w:val="21"/>
              </w:rPr>
            </w:pPr>
            <w:r>
              <w:rPr>
                <w:rFonts w:hint="eastAsia" w:ascii="宋体" w:hAnsi="宋体"/>
                <w:color w:val="auto"/>
                <w:kern w:val="0"/>
                <w:szCs w:val="21"/>
              </w:rPr>
              <w:t>需提供入网许可证和节能产品证书；</w:t>
            </w:r>
          </w:p>
        </w:tc>
        <w:tc>
          <w:tcPr>
            <w:tcW w:w="687" w:type="dxa"/>
            <w:tcBorders>
              <w:top w:val="nil"/>
              <w:left w:val="nil"/>
              <w:bottom w:val="single" w:color="000000" w:sz="8" w:space="0"/>
              <w:right w:val="single" w:color="000000" w:sz="8" w:space="0"/>
            </w:tcBorders>
            <w:shd w:val="clear" w:color="auto" w:fill="auto"/>
            <w:vAlign w:val="center"/>
          </w:tcPr>
          <w:p w14:paraId="66E40F6A">
            <w:pPr>
              <w:widowControl/>
              <w:jc w:val="center"/>
              <w:textAlignment w:val="center"/>
              <w:rPr>
                <w:rFonts w:ascii="宋体" w:hAnsi="宋体"/>
                <w:color w:val="auto"/>
                <w:szCs w:val="21"/>
              </w:rPr>
            </w:pPr>
            <w:r>
              <w:rPr>
                <w:rFonts w:hint="eastAsia" w:ascii="宋体" w:hAnsi="宋体"/>
                <w:color w:val="auto"/>
                <w:kern w:val="0"/>
                <w:szCs w:val="21"/>
              </w:rPr>
              <w:t>82</w:t>
            </w:r>
          </w:p>
        </w:tc>
        <w:tc>
          <w:tcPr>
            <w:tcW w:w="627" w:type="dxa"/>
            <w:tcBorders>
              <w:top w:val="nil"/>
              <w:left w:val="nil"/>
              <w:bottom w:val="single" w:color="000000" w:sz="8" w:space="0"/>
              <w:right w:val="single" w:color="000000" w:sz="8" w:space="0"/>
            </w:tcBorders>
            <w:shd w:val="clear" w:color="auto" w:fill="auto"/>
            <w:vAlign w:val="center"/>
          </w:tcPr>
          <w:p w14:paraId="0AB23B5D">
            <w:pPr>
              <w:widowControl/>
              <w:jc w:val="center"/>
              <w:textAlignment w:val="center"/>
              <w:rPr>
                <w:rFonts w:ascii="宋体" w:hAnsi="宋体"/>
                <w:color w:val="auto"/>
                <w:szCs w:val="21"/>
              </w:rPr>
            </w:pPr>
            <w:r>
              <w:rPr>
                <w:rFonts w:hint="eastAsia" w:ascii="宋体" w:hAnsi="宋体"/>
                <w:color w:val="auto"/>
                <w:kern w:val="0"/>
                <w:szCs w:val="21"/>
              </w:rPr>
              <w:t>台</w:t>
            </w:r>
          </w:p>
        </w:tc>
      </w:tr>
      <w:tr w14:paraId="1CF2AF0A">
        <w:tblPrEx>
          <w:tblCellMar>
            <w:top w:w="0" w:type="dxa"/>
            <w:left w:w="108" w:type="dxa"/>
            <w:bottom w:w="0" w:type="dxa"/>
            <w:right w:w="108" w:type="dxa"/>
          </w:tblCellMar>
        </w:tblPrEx>
        <w:trPr>
          <w:trHeight w:val="7005"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7F677378">
            <w:pPr>
              <w:widowControl/>
              <w:jc w:val="center"/>
              <w:textAlignment w:val="center"/>
              <w:rPr>
                <w:rFonts w:ascii="宋体" w:hAnsi="宋体"/>
                <w:color w:val="auto"/>
                <w:szCs w:val="21"/>
              </w:rPr>
            </w:pPr>
            <w:r>
              <w:rPr>
                <w:rFonts w:hint="eastAsia" w:ascii="宋体" w:hAnsi="宋体"/>
                <w:color w:val="auto"/>
                <w:kern w:val="0"/>
                <w:szCs w:val="21"/>
              </w:rPr>
              <w:t>4</w:t>
            </w:r>
          </w:p>
        </w:tc>
        <w:tc>
          <w:tcPr>
            <w:tcW w:w="563"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F33D0BE">
            <w:pPr>
              <w:widowControl/>
              <w:textAlignment w:val="center"/>
              <w:rPr>
                <w:rFonts w:ascii="宋体" w:hAnsi="宋体"/>
                <w:color w:val="auto"/>
                <w:szCs w:val="21"/>
              </w:rPr>
            </w:pPr>
            <w:r>
              <w:rPr>
                <w:rFonts w:hint="eastAsia" w:ascii="宋体" w:hAnsi="宋体"/>
                <w:color w:val="auto"/>
                <w:kern w:val="0"/>
                <w:szCs w:val="21"/>
              </w:rPr>
              <w:t>县域部署,随行指挥</w:t>
            </w:r>
          </w:p>
        </w:tc>
        <w:tc>
          <w:tcPr>
            <w:tcW w:w="724" w:type="dxa"/>
            <w:tcBorders>
              <w:top w:val="nil"/>
              <w:left w:val="nil"/>
              <w:bottom w:val="single" w:color="000000" w:sz="8" w:space="0"/>
              <w:right w:val="single" w:color="000000" w:sz="8" w:space="0"/>
            </w:tcBorders>
            <w:shd w:val="clear" w:color="auto" w:fill="auto"/>
            <w:vAlign w:val="center"/>
          </w:tcPr>
          <w:p w14:paraId="14ACADB9">
            <w:pPr>
              <w:widowControl/>
              <w:jc w:val="left"/>
              <w:textAlignment w:val="center"/>
              <w:rPr>
                <w:rFonts w:ascii="宋体" w:hAnsi="宋体"/>
                <w:color w:val="auto"/>
                <w:sz w:val="20"/>
                <w:szCs w:val="20"/>
              </w:rPr>
            </w:pPr>
            <w:r>
              <w:rPr>
                <w:rFonts w:hint="eastAsia" w:ascii="宋体" w:hAnsi="宋体"/>
                <w:color w:val="auto"/>
                <w:kern w:val="0"/>
                <w:sz w:val="20"/>
                <w:szCs w:val="20"/>
              </w:rPr>
              <w:t>单兵便携指挥箱（三屏）</w:t>
            </w:r>
          </w:p>
        </w:tc>
        <w:tc>
          <w:tcPr>
            <w:tcW w:w="5782" w:type="dxa"/>
            <w:tcBorders>
              <w:top w:val="nil"/>
              <w:left w:val="nil"/>
              <w:bottom w:val="single" w:color="000000" w:sz="8" w:space="0"/>
              <w:right w:val="single" w:color="000000" w:sz="8" w:space="0"/>
            </w:tcBorders>
            <w:shd w:val="clear" w:color="auto" w:fill="auto"/>
            <w:vAlign w:val="center"/>
          </w:tcPr>
          <w:p w14:paraId="464EF524">
            <w:pPr>
              <w:widowControl/>
              <w:jc w:val="left"/>
              <w:textAlignment w:val="center"/>
              <w:rPr>
                <w:rFonts w:ascii="宋体" w:hAnsi="宋体"/>
                <w:color w:val="auto"/>
                <w:kern w:val="0"/>
                <w:szCs w:val="21"/>
              </w:rPr>
            </w:pPr>
            <w:r>
              <w:rPr>
                <w:rFonts w:hint="eastAsia" w:ascii="宋体" w:hAnsi="宋体"/>
                <w:color w:val="auto"/>
                <w:kern w:val="0"/>
                <w:szCs w:val="21"/>
              </w:rPr>
              <w:t>1.高清摄像头参数</w:t>
            </w:r>
          </w:p>
          <w:p w14:paraId="3954F8AD">
            <w:pPr>
              <w:widowControl/>
              <w:jc w:val="left"/>
              <w:textAlignment w:val="center"/>
              <w:rPr>
                <w:rFonts w:ascii="宋体" w:hAnsi="宋体"/>
                <w:color w:val="auto"/>
                <w:kern w:val="0"/>
                <w:szCs w:val="21"/>
              </w:rPr>
            </w:pPr>
            <w:r>
              <w:rPr>
                <w:rFonts w:hint="eastAsia" w:ascii="宋体" w:hAnsi="宋体" w:eastAsia="宋体" w:cs="宋体"/>
                <w:color w:val="auto"/>
                <w:sz w:val="21"/>
                <w:szCs w:val="21"/>
              </w:rPr>
              <w:t>▲有效像素：1920（H）*1080（V）</w:t>
            </w:r>
          </w:p>
          <w:p w14:paraId="573F6268">
            <w:pPr>
              <w:widowControl/>
              <w:jc w:val="left"/>
              <w:textAlignment w:val="center"/>
              <w:rPr>
                <w:rFonts w:ascii="宋体" w:hAnsi="宋体"/>
                <w:color w:val="auto"/>
                <w:kern w:val="0"/>
                <w:szCs w:val="21"/>
              </w:rPr>
            </w:pPr>
            <w:r>
              <w:rPr>
                <w:rFonts w:hint="eastAsia" w:ascii="宋体" w:hAnsi="宋体"/>
                <w:color w:val="auto"/>
                <w:kern w:val="0"/>
                <w:szCs w:val="21"/>
              </w:rPr>
              <w:t>最低照度：彩色≤0.2lux，黑白≤0.01lux</w:t>
            </w:r>
          </w:p>
          <w:p w14:paraId="67AFF595">
            <w:pPr>
              <w:widowControl/>
              <w:jc w:val="left"/>
              <w:textAlignment w:val="center"/>
              <w:rPr>
                <w:rFonts w:ascii="宋体" w:hAnsi="宋体"/>
                <w:color w:val="auto"/>
                <w:kern w:val="0"/>
                <w:szCs w:val="21"/>
              </w:rPr>
            </w:pPr>
            <w:r>
              <w:rPr>
                <w:rFonts w:hint="eastAsia" w:ascii="宋体" w:hAnsi="宋体"/>
                <w:color w:val="auto"/>
                <w:kern w:val="0"/>
                <w:szCs w:val="21"/>
              </w:rPr>
              <w:t>2.显示参数</w:t>
            </w:r>
          </w:p>
          <w:p w14:paraId="58C664C4">
            <w:pPr>
              <w:widowControl/>
              <w:jc w:val="left"/>
              <w:textAlignment w:val="center"/>
              <w:rPr>
                <w:rFonts w:ascii="宋体" w:hAnsi="宋体"/>
                <w:color w:val="auto"/>
                <w:kern w:val="0"/>
                <w:szCs w:val="21"/>
              </w:rPr>
            </w:pPr>
            <w:r>
              <w:rPr>
                <w:rFonts w:hint="eastAsia" w:ascii="宋体" w:hAnsi="宋体"/>
                <w:color w:val="auto"/>
                <w:kern w:val="0"/>
                <w:szCs w:val="21"/>
              </w:rPr>
              <w:t>屏幕尺寸：≥3块，15.6英寸</w:t>
            </w:r>
          </w:p>
          <w:p w14:paraId="0DFD4D6B">
            <w:pPr>
              <w:widowControl/>
              <w:jc w:val="left"/>
              <w:textAlignment w:val="center"/>
              <w:rPr>
                <w:rFonts w:ascii="宋体" w:hAnsi="宋体"/>
                <w:color w:val="auto"/>
                <w:kern w:val="0"/>
                <w:szCs w:val="21"/>
              </w:rPr>
            </w:pPr>
            <w:r>
              <w:rPr>
                <w:rFonts w:hint="eastAsia" w:ascii="宋体" w:hAnsi="宋体"/>
                <w:color w:val="auto"/>
                <w:kern w:val="0"/>
                <w:szCs w:val="21"/>
              </w:rPr>
              <w:t>分辨率：≥ 1920*1080；</w:t>
            </w:r>
          </w:p>
          <w:p w14:paraId="568393A5">
            <w:pPr>
              <w:widowControl/>
              <w:jc w:val="left"/>
              <w:textAlignment w:val="center"/>
              <w:rPr>
                <w:rFonts w:ascii="宋体" w:hAnsi="宋体"/>
                <w:color w:val="auto"/>
                <w:kern w:val="0"/>
                <w:szCs w:val="21"/>
              </w:rPr>
            </w:pPr>
            <w:r>
              <w:rPr>
                <w:rFonts w:hint="eastAsia" w:ascii="宋体" w:hAnsi="宋体" w:eastAsia="宋体" w:cs="宋体"/>
                <w:color w:val="auto"/>
                <w:sz w:val="21"/>
                <w:szCs w:val="21"/>
              </w:rPr>
              <w:t>▲亮度：≥500cd/m²</w:t>
            </w:r>
          </w:p>
          <w:p w14:paraId="7088D9CC">
            <w:pPr>
              <w:widowControl/>
              <w:jc w:val="left"/>
              <w:textAlignment w:val="center"/>
              <w:rPr>
                <w:rFonts w:ascii="宋体" w:hAnsi="宋体"/>
                <w:color w:val="auto"/>
                <w:kern w:val="0"/>
                <w:szCs w:val="21"/>
              </w:rPr>
            </w:pPr>
            <w:r>
              <w:rPr>
                <w:rFonts w:hint="eastAsia" w:ascii="宋体" w:hAnsi="宋体"/>
                <w:color w:val="auto"/>
                <w:kern w:val="0"/>
                <w:szCs w:val="21"/>
              </w:rPr>
              <w:t>3.  5G路由参数</w:t>
            </w:r>
          </w:p>
          <w:p w14:paraId="1D0D1E10">
            <w:pPr>
              <w:widowControl/>
              <w:jc w:val="left"/>
              <w:textAlignment w:val="center"/>
              <w:rPr>
                <w:rFonts w:ascii="宋体" w:hAnsi="宋体"/>
                <w:color w:val="auto"/>
                <w:kern w:val="0"/>
                <w:szCs w:val="21"/>
              </w:rPr>
            </w:pPr>
            <w:r>
              <w:rPr>
                <w:rFonts w:hint="eastAsia" w:ascii="宋体" w:hAnsi="宋体"/>
                <w:color w:val="auto"/>
                <w:kern w:val="0"/>
                <w:szCs w:val="21"/>
              </w:rPr>
              <w:t>信号制式：支持5G并向下兼容4G  3G</w:t>
            </w:r>
          </w:p>
          <w:p w14:paraId="602029CC">
            <w:pPr>
              <w:widowControl/>
              <w:jc w:val="left"/>
              <w:textAlignment w:val="center"/>
              <w:rPr>
                <w:rFonts w:ascii="宋体" w:hAnsi="宋体"/>
                <w:color w:val="auto"/>
                <w:kern w:val="0"/>
                <w:szCs w:val="21"/>
              </w:rPr>
            </w:pPr>
            <w:r>
              <w:rPr>
                <w:rFonts w:hint="eastAsia" w:ascii="宋体" w:hAnsi="宋体"/>
                <w:color w:val="auto"/>
                <w:kern w:val="0"/>
                <w:szCs w:val="21"/>
              </w:rPr>
              <w:t>运营商支持：移动、联通、电信、广电</w:t>
            </w:r>
          </w:p>
          <w:p w14:paraId="2B6C8C35">
            <w:pPr>
              <w:widowControl/>
              <w:jc w:val="left"/>
              <w:textAlignment w:val="center"/>
              <w:rPr>
                <w:rFonts w:ascii="宋体" w:hAnsi="宋体"/>
                <w:color w:val="auto"/>
                <w:kern w:val="0"/>
                <w:szCs w:val="21"/>
              </w:rPr>
            </w:pPr>
            <w:r>
              <w:rPr>
                <w:rFonts w:hint="eastAsia" w:ascii="宋体" w:hAnsi="宋体"/>
                <w:color w:val="auto"/>
                <w:kern w:val="0"/>
                <w:szCs w:val="21"/>
              </w:rPr>
              <w:t>WiFi功能：支持2.4G、兼容5Gwifi</w:t>
            </w:r>
          </w:p>
          <w:p w14:paraId="598EB056">
            <w:pPr>
              <w:widowControl/>
              <w:jc w:val="left"/>
              <w:textAlignment w:val="center"/>
              <w:rPr>
                <w:rFonts w:ascii="宋体" w:hAnsi="宋体"/>
                <w:color w:val="auto"/>
                <w:kern w:val="0"/>
                <w:szCs w:val="21"/>
              </w:rPr>
            </w:pPr>
            <w:r>
              <w:rPr>
                <w:rFonts w:hint="eastAsia" w:ascii="宋体" w:hAnsi="宋体"/>
                <w:color w:val="auto"/>
                <w:kern w:val="0"/>
                <w:szCs w:val="21"/>
              </w:rPr>
              <w:t>4.音频参数</w:t>
            </w:r>
          </w:p>
          <w:p w14:paraId="3B2D65AE">
            <w:pPr>
              <w:widowControl/>
              <w:jc w:val="left"/>
              <w:textAlignment w:val="center"/>
              <w:rPr>
                <w:rFonts w:ascii="宋体" w:hAnsi="宋体"/>
                <w:color w:val="auto"/>
                <w:kern w:val="0"/>
                <w:szCs w:val="21"/>
              </w:rPr>
            </w:pPr>
            <w:r>
              <w:rPr>
                <w:rFonts w:hint="eastAsia" w:ascii="宋体" w:hAnsi="宋体"/>
                <w:color w:val="auto"/>
                <w:kern w:val="0"/>
                <w:szCs w:val="21"/>
              </w:rPr>
              <w:t>产品参数：</w:t>
            </w:r>
          </w:p>
          <w:p w14:paraId="5294E173">
            <w:pPr>
              <w:widowControl/>
              <w:jc w:val="left"/>
              <w:textAlignment w:val="center"/>
              <w:rPr>
                <w:rFonts w:ascii="宋体" w:hAnsi="宋体"/>
                <w:color w:val="auto"/>
                <w:kern w:val="0"/>
                <w:szCs w:val="21"/>
              </w:rPr>
            </w:pPr>
            <w:r>
              <w:rPr>
                <w:rFonts w:hint="eastAsia" w:ascii="宋体" w:hAnsi="宋体"/>
                <w:color w:val="auto"/>
                <w:kern w:val="0"/>
                <w:szCs w:val="21"/>
              </w:rPr>
              <w:t>阻抗：4欧</w:t>
            </w:r>
          </w:p>
          <w:p w14:paraId="30D87080">
            <w:pPr>
              <w:widowControl/>
              <w:jc w:val="left"/>
              <w:textAlignment w:val="center"/>
              <w:rPr>
                <w:rFonts w:ascii="宋体" w:hAnsi="宋体"/>
                <w:color w:val="auto"/>
                <w:kern w:val="0"/>
                <w:szCs w:val="21"/>
              </w:rPr>
            </w:pPr>
            <w:r>
              <w:rPr>
                <w:rFonts w:hint="eastAsia" w:ascii="宋体" w:hAnsi="宋体"/>
                <w:color w:val="auto"/>
                <w:kern w:val="0"/>
                <w:szCs w:val="21"/>
              </w:rPr>
              <w:t>功率：≥15W，120-20KHZ</w:t>
            </w:r>
          </w:p>
          <w:p w14:paraId="4276197B">
            <w:pPr>
              <w:widowControl/>
              <w:jc w:val="left"/>
              <w:textAlignment w:val="center"/>
              <w:rPr>
                <w:rFonts w:ascii="宋体" w:hAnsi="宋体"/>
                <w:color w:val="auto"/>
                <w:kern w:val="0"/>
                <w:szCs w:val="21"/>
              </w:rPr>
            </w:pPr>
            <w:r>
              <w:rPr>
                <w:rFonts w:hint="eastAsia" w:ascii="宋体" w:hAnsi="宋体"/>
                <w:color w:val="auto"/>
                <w:kern w:val="0"/>
                <w:szCs w:val="21"/>
              </w:rPr>
              <w:t>有效频率：118Hz-20KHz</w:t>
            </w:r>
          </w:p>
          <w:p w14:paraId="50D487E7">
            <w:pPr>
              <w:widowControl/>
              <w:jc w:val="left"/>
              <w:textAlignment w:val="center"/>
              <w:rPr>
                <w:rFonts w:ascii="宋体" w:hAnsi="宋体"/>
                <w:color w:val="auto"/>
                <w:kern w:val="0"/>
                <w:szCs w:val="21"/>
              </w:rPr>
            </w:pPr>
            <w:r>
              <w:rPr>
                <w:rFonts w:hint="eastAsia" w:ascii="宋体" w:hAnsi="宋体"/>
                <w:color w:val="auto"/>
                <w:kern w:val="0"/>
                <w:szCs w:val="21"/>
              </w:rPr>
              <w:t>灵敏度：≥88DB</w:t>
            </w:r>
          </w:p>
          <w:p w14:paraId="64601468">
            <w:pPr>
              <w:widowControl/>
              <w:jc w:val="left"/>
              <w:textAlignment w:val="center"/>
              <w:rPr>
                <w:rFonts w:ascii="宋体" w:hAnsi="宋体"/>
                <w:color w:val="auto"/>
                <w:kern w:val="0"/>
                <w:szCs w:val="21"/>
              </w:rPr>
            </w:pPr>
            <w:r>
              <w:rPr>
                <w:rFonts w:hint="eastAsia" w:ascii="宋体" w:hAnsi="宋体"/>
                <w:color w:val="auto"/>
                <w:kern w:val="0"/>
                <w:szCs w:val="21"/>
              </w:rPr>
              <w:t>5.工控机1参数</w:t>
            </w:r>
          </w:p>
          <w:p w14:paraId="6E75A427">
            <w:pPr>
              <w:widowControl/>
              <w:jc w:val="left"/>
              <w:textAlignment w:val="center"/>
              <w:rPr>
                <w:rFonts w:ascii="宋体" w:hAnsi="宋体"/>
                <w:color w:val="auto"/>
                <w:kern w:val="0"/>
                <w:szCs w:val="21"/>
              </w:rPr>
            </w:pPr>
            <w:r>
              <w:rPr>
                <w:rFonts w:hint="eastAsia" w:ascii="宋体" w:hAnsi="宋体"/>
                <w:color w:val="auto"/>
                <w:kern w:val="0"/>
                <w:szCs w:val="21"/>
              </w:rPr>
              <w:t>运行内存：16G DDR4</w:t>
            </w:r>
          </w:p>
          <w:p w14:paraId="579838E4">
            <w:pPr>
              <w:widowControl/>
              <w:jc w:val="left"/>
              <w:textAlignment w:val="center"/>
              <w:rPr>
                <w:rFonts w:ascii="宋体" w:hAnsi="宋体"/>
                <w:color w:val="auto"/>
                <w:kern w:val="0"/>
                <w:szCs w:val="21"/>
              </w:rPr>
            </w:pPr>
            <w:r>
              <w:rPr>
                <w:rFonts w:hint="eastAsia" w:ascii="宋体" w:hAnsi="宋体"/>
                <w:color w:val="auto"/>
                <w:kern w:val="0"/>
                <w:szCs w:val="21"/>
              </w:rPr>
              <w:t xml:space="preserve">存储：≥512G </w:t>
            </w:r>
          </w:p>
          <w:p w14:paraId="297E58BC">
            <w:pPr>
              <w:widowControl/>
              <w:jc w:val="left"/>
              <w:textAlignment w:val="center"/>
              <w:rPr>
                <w:rFonts w:ascii="宋体" w:hAnsi="宋体"/>
                <w:color w:val="auto"/>
                <w:kern w:val="0"/>
                <w:szCs w:val="21"/>
              </w:rPr>
            </w:pPr>
            <w:r>
              <w:rPr>
                <w:rFonts w:hint="eastAsia" w:ascii="宋体" w:hAnsi="宋体"/>
                <w:color w:val="auto"/>
                <w:kern w:val="0"/>
                <w:szCs w:val="21"/>
              </w:rPr>
              <w:t>6.工控机2参数</w:t>
            </w:r>
          </w:p>
          <w:p w14:paraId="5021AEBD">
            <w:pPr>
              <w:widowControl/>
              <w:jc w:val="left"/>
              <w:textAlignment w:val="center"/>
              <w:rPr>
                <w:rFonts w:ascii="宋体" w:hAnsi="宋体"/>
                <w:color w:val="auto"/>
                <w:kern w:val="0"/>
                <w:szCs w:val="21"/>
              </w:rPr>
            </w:pPr>
            <w:r>
              <w:rPr>
                <w:rFonts w:hint="eastAsia" w:ascii="宋体" w:hAnsi="宋体"/>
                <w:color w:val="auto"/>
                <w:kern w:val="0"/>
                <w:szCs w:val="21"/>
              </w:rPr>
              <w:t>运行内存：≥16G DDR4</w:t>
            </w:r>
          </w:p>
          <w:p w14:paraId="5FDF95AC">
            <w:pPr>
              <w:widowControl/>
              <w:jc w:val="left"/>
              <w:textAlignment w:val="center"/>
              <w:rPr>
                <w:rFonts w:ascii="宋体" w:hAnsi="宋体"/>
                <w:color w:val="auto"/>
                <w:kern w:val="0"/>
                <w:szCs w:val="21"/>
              </w:rPr>
            </w:pPr>
            <w:r>
              <w:rPr>
                <w:rFonts w:hint="eastAsia" w:ascii="宋体" w:hAnsi="宋体"/>
                <w:color w:val="auto"/>
                <w:kern w:val="0"/>
                <w:szCs w:val="21"/>
              </w:rPr>
              <w:t xml:space="preserve">存储：≥512G </w:t>
            </w:r>
          </w:p>
          <w:p w14:paraId="3872AE79">
            <w:pPr>
              <w:widowControl/>
              <w:jc w:val="left"/>
              <w:textAlignment w:val="center"/>
              <w:rPr>
                <w:rFonts w:ascii="宋体" w:hAnsi="宋体"/>
                <w:color w:val="auto"/>
                <w:kern w:val="0"/>
                <w:szCs w:val="21"/>
              </w:rPr>
            </w:pPr>
            <w:r>
              <w:rPr>
                <w:rFonts w:hint="eastAsia" w:ascii="宋体" w:hAnsi="宋体"/>
                <w:color w:val="auto"/>
                <w:kern w:val="0"/>
                <w:szCs w:val="21"/>
              </w:rPr>
              <w:t>7.视频矩阵</w:t>
            </w:r>
          </w:p>
          <w:p w14:paraId="141F5090">
            <w:pPr>
              <w:widowControl/>
              <w:jc w:val="left"/>
              <w:textAlignment w:val="center"/>
              <w:rPr>
                <w:rFonts w:ascii="宋体" w:hAnsi="宋体"/>
                <w:color w:val="auto"/>
                <w:kern w:val="0"/>
                <w:szCs w:val="21"/>
              </w:rPr>
            </w:pPr>
            <w:r>
              <w:rPr>
                <w:rFonts w:hint="eastAsia" w:ascii="宋体" w:hAnsi="宋体"/>
                <w:color w:val="auto"/>
                <w:kern w:val="0"/>
                <w:szCs w:val="21"/>
              </w:rPr>
              <w:t>视频矩阵参数8入8出视频矩阵</w:t>
            </w:r>
          </w:p>
          <w:p w14:paraId="68DC1687">
            <w:pPr>
              <w:widowControl/>
              <w:jc w:val="left"/>
              <w:textAlignment w:val="center"/>
              <w:rPr>
                <w:rFonts w:ascii="宋体" w:hAnsi="宋体"/>
                <w:color w:val="auto"/>
                <w:kern w:val="0"/>
                <w:szCs w:val="21"/>
              </w:rPr>
            </w:pPr>
            <w:r>
              <w:rPr>
                <w:rFonts w:hint="eastAsia" w:ascii="宋体" w:hAnsi="宋体"/>
                <w:color w:val="auto"/>
                <w:kern w:val="0"/>
                <w:szCs w:val="21"/>
              </w:rPr>
              <w:t>支持分辨率：支持1080P 60FPS</w:t>
            </w:r>
          </w:p>
          <w:p w14:paraId="37C5BA87">
            <w:pPr>
              <w:widowControl/>
              <w:jc w:val="left"/>
              <w:textAlignment w:val="center"/>
              <w:rPr>
                <w:rFonts w:ascii="宋体" w:hAnsi="宋体"/>
                <w:color w:val="auto"/>
                <w:kern w:val="0"/>
                <w:szCs w:val="21"/>
              </w:rPr>
            </w:pPr>
            <w:r>
              <w:rPr>
                <w:rFonts w:hint="eastAsia" w:ascii="宋体" w:hAnsi="宋体"/>
                <w:color w:val="auto"/>
                <w:kern w:val="0"/>
                <w:szCs w:val="21"/>
              </w:rPr>
              <w:t>支持协议：支持HDMI1.4协议</w:t>
            </w:r>
          </w:p>
          <w:p w14:paraId="0765DD20">
            <w:pPr>
              <w:widowControl/>
              <w:jc w:val="left"/>
              <w:textAlignment w:val="center"/>
              <w:rPr>
                <w:rFonts w:ascii="宋体" w:hAnsi="宋体"/>
                <w:color w:val="auto"/>
                <w:kern w:val="0"/>
                <w:szCs w:val="21"/>
              </w:rPr>
            </w:pPr>
            <w:r>
              <w:rPr>
                <w:rFonts w:hint="eastAsia" w:ascii="宋体" w:hAnsi="宋体"/>
                <w:color w:val="auto"/>
                <w:kern w:val="0"/>
                <w:szCs w:val="21"/>
              </w:rPr>
              <w:t>最大支持分辨率：1920*1080P@60FPS</w:t>
            </w:r>
          </w:p>
          <w:p w14:paraId="23E99A80">
            <w:pPr>
              <w:widowControl/>
              <w:jc w:val="left"/>
              <w:textAlignment w:val="center"/>
              <w:rPr>
                <w:rFonts w:ascii="宋体" w:hAnsi="宋体"/>
                <w:color w:val="auto"/>
                <w:kern w:val="0"/>
                <w:szCs w:val="21"/>
              </w:rPr>
            </w:pPr>
            <w:r>
              <w:rPr>
                <w:rFonts w:hint="eastAsia" w:ascii="宋体" w:hAnsi="宋体"/>
                <w:color w:val="auto"/>
                <w:kern w:val="0"/>
                <w:szCs w:val="21"/>
              </w:rPr>
              <w:t>最小电平：T.M.D.S. 2.9V</w:t>
            </w:r>
          </w:p>
          <w:p w14:paraId="19103487">
            <w:pPr>
              <w:widowControl/>
              <w:jc w:val="left"/>
              <w:textAlignment w:val="center"/>
              <w:rPr>
                <w:rFonts w:ascii="宋体" w:hAnsi="宋体"/>
                <w:color w:val="auto"/>
                <w:kern w:val="0"/>
                <w:szCs w:val="21"/>
              </w:rPr>
            </w:pPr>
            <w:r>
              <w:rPr>
                <w:rFonts w:hint="eastAsia" w:ascii="宋体" w:hAnsi="宋体"/>
                <w:color w:val="auto"/>
                <w:kern w:val="0"/>
                <w:szCs w:val="21"/>
              </w:rPr>
              <w:t>最大电平：T.M.D.S. 3.3V</w:t>
            </w:r>
          </w:p>
          <w:p w14:paraId="7E32FD7A">
            <w:pPr>
              <w:widowControl/>
              <w:jc w:val="left"/>
              <w:textAlignment w:val="center"/>
              <w:rPr>
                <w:rFonts w:ascii="宋体" w:hAnsi="宋体"/>
                <w:color w:val="auto"/>
                <w:kern w:val="0"/>
                <w:szCs w:val="21"/>
              </w:rPr>
            </w:pPr>
            <w:r>
              <w:rPr>
                <w:rFonts w:hint="eastAsia" w:ascii="宋体" w:hAnsi="宋体"/>
                <w:color w:val="auto"/>
                <w:kern w:val="0"/>
                <w:szCs w:val="21"/>
              </w:rPr>
              <w:t>阻抗：50Ω</w:t>
            </w:r>
          </w:p>
          <w:p w14:paraId="0FFF96AE">
            <w:pPr>
              <w:widowControl/>
              <w:jc w:val="left"/>
              <w:textAlignment w:val="center"/>
              <w:rPr>
                <w:rFonts w:ascii="宋体" w:hAnsi="宋体"/>
                <w:color w:val="auto"/>
                <w:kern w:val="0"/>
                <w:szCs w:val="21"/>
              </w:rPr>
            </w:pPr>
            <w:r>
              <w:rPr>
                <w:rFonts w:hint="eastAsia" w:ascii="宋体" w:hAnsi="宋体"/>
                <w:color w:val="auto"/>
                <w:kern w:val="0"/>
                <w:szCs w:val="21"/>
              </w:rPr>
              <w:t>EDID：默认EDID、广播EDID</w:t>
            </w:r>
          </w:p>
          <w:p w14:paraId="5C5CFBC1">
            <w:pPr>
              <w:widowControl/>
              <w:jc w:val="left"/>
              <w:textAlignment w:val="center"/>
              <w:rPr>
                <w:rFonts w:ascii="宋体" w:hAnsi="宋体"/>
                <w:color w:val="auto"/>
                <w:kern w:val="0"/>
                <w:szCs w:val="21"/>
              </w:rPr>
            </w:pPr>
            <w:r>
              <w:rPr>
                <w:rFonts w:hint="eastAsia" w:ascii="宋体" w:hAnsi="宋体"/>
                <w:color w:val="auto"/>
                <w:kern w:val="0"/>
                <w:szCs w:val="21"/>
              </w:rPr>
              <w:t>最大直流偏置误差：15mV</w:t>
            </w:r>
          </w:p>
          <w:p w14:paraId="5361746C">
            <w:pPr>
              <w:widowControl/>
              <w:jc w:val="left"/>
              <w:textAlignment w:val="center"/>
              <w:rPr>
                <w:rFonts w:ascii="宋体" w:hAnsi="宋体"/>
                <w:color w:val="auto"/>
                <w:kern w:val="0"/>
                <w:szCs w:val="21"/>
              </w:rPr>
            </w:pPr>
            <w:r>
              <w:rPr>
                <w:rFonts w:hint="eastAsia" w:ascii="宋体" w:hAnsi="宋体"/>
                <w:color w:val="auto"/>
                <w:kern w:val="0"/>
                <w:szCs w:val="21"/>
              </w:rPr>
              <w:t>特性：</w:t>
            </w:r>
          </w:p>
          <w:p w14:paraId="65795FB2">
            <w:pPr>
              <w:widowControl/>
              <w:jc w:val="left"/>
              <w:textAlignment w:val="center"/>
              <w:rPr>
                <w:rFonts w:ascii="宋体" w:hAnsi="宋体"/>
                <w:color w:val="auto"/>
                <w:kern w:val="0"/>
                <w:szCs w:val="21"/>
              </w:rPr>
            </w:pPr>
            <w:r>
              <w:rPr>
                <w:rFonts w:hint="eastAsia" w:ascii="宋体" w:hAnsi="宋体"/>
                <w:color w:val="auto"/>
                <w:kern w:val="0"/>
                <w:szCs w:val="21"/>
              </w:rPr>
              <w:t>符合HDMI1.3规范，同时支持HDMI1.4的3D功能；</w:t>
            </w:r>
          </w:p>
          <w:p w14:paraId="4F349B58">
            <w:pPr>
              <w:widowControl/>
              <w:jc w:val="left"/>
              <w:textAlignment w:val="center"/>
              <w:rPr>
                <w:rFonts w:ascii="宋体" w:hAnsi="宋体"/>
                <w:color w:val="auto"/>
                <w:kern w:val="0"/>
                <w:szCs w:val="21"/>
              </w:rPr>
            </w:pPr>
            <w:r>
              <w:rPr>
                <w:rFonts w:hint="eastAsia" w:ascii="宋体" w:hAnsi="宋体"/>
                <w:color w:val="auto"/>
                <w:kern w:val="0"/>
                <w:szCs w:val="21"/>
              </w:rPr>
              <w:t>符合HDCP1.3规范；</w:t>
            </w:r>
          </w:p>
          <w:p w14:paraId="7A656327">
            <w:pPr>
              <w:widowControl/>
              <w:jc w:val="left"/>
              <w:textAlignment w:val="center"/>
              <w:rPr>
                <w:rFonts w:ascii="宋体" w:hAnsi="宋体"/>
                <w:color w:val="auto"/>
                <w:kern w:val="0"/>
                <w:szCs w:val="21"/>
              </w:rPr>
            </w:pPr>
            <w:r>
              <w:rPr>
                <w:rFonts w:hint="eastAsia" w:ascii="宋体" w:hAnsi="宋体"/>
                <w:color w:val="auto"/>
                <w:kern w:val="0"/>
                <w:szCs w:val="21"/>
              </w:rPr>
              <w:t>支持PCM、Dolby-AC3、DTS5.1、DTS7.1、DSD等音频格式传输；</w:t>
            </w:r>
          </w:p>
          <w:p w14:paraId="1598F849">
            <w:pPr>
              <w:widowControl/>
              <w:jc w:val="left"/>
              <w:textAlignment w:val="center"/>
              <w:rPr>
                <w:rFonts w:ascii="宋体" w:hAnsi="宋体"/>
                <w:color w:val="auto"/>
                <w:kern w:val="0"/>
                <w:szCs w:val="21"/>
              </w:rPr>
            </w:pPr>
            <w:r>
              <w:rPr>
                <w:rFonts w:hint="eastAsia" w:ascii="宋体" w:hAnsi="宋体"/>
                <w:color w:val="auto"/>
                <w:kern w:val="0"/>
                <w:szCs w:val="21"/>
              </w:rPr>
              <w:t>8.电池参数</w:t>
            </w:r>
          </w:p>
          <w:p w14:paraId="5E81B447">
            <w:pPr>
              <w:widowControl/>
              <w:jc w:val="left"/>
              <w:textAlignment w:val="center"/>
              <w:rPr>
                <w:rFonts w:ascii="宋体" w:hAnsi="宋体"/>
                <w:color w:val="auto"/>
                <w:kern w:val="0"/>
                <w:szCs w:val="21"/>
              </w:rPr>
            </w:pPr>
            <w:r>
              <w:rPr>
                <w:rFonts w:hint="eastAsia" w:ascii="宋体" w:hAnsi="宋体"/>
                <w:color w:val="auto"/>
                <w:kern w:val="0"/>
                <w:szCs w:val="21"/>
              </w:rPr>
              <w:t>电池类型：锂离子电池</w:t>
            </w:r>
          </w:p>
          <w:p w14:paraId="01B6B537">
            <w:pPr>
              <w:widowControl/>
              <w:jc w:val="left"/>
              <w:textAlignment w:val="center"/>
              <w:rPr>
                <w:rFonts w:ascii="宋体" w:hAnsi="宋体"/>
                <w:color w:val="auto"/>
                <w:kern w:val="0"/>
                <w:szCs w:val="21"/>
              </w:rPr>
            </w:pPr>
            <w:r>
              <w:rPr>
                <w:rFonts w:hint="eastAsia" w:ascii="宋体" w:hAnsi="宋体"/>
                <w:color w:val="auto"/>
                <w:kern w:val="0"/>
                <w:szCs w:val="21"/>
              </w:rPr>
              <w:t>电池标准电压：DC 12V~15v</w:t>
            </w:r>
          </w:p>
          <w:p w14:paraId="605EAF8D">
            <w:pPr>
              <w:widowControl/>
              <w:jc w:val="left"/>
              <w:textAlignment w:val="center"/>
              <w:rPr>
                <w:rFonts w:ascii="宋体" w:hAnsi="宋体"/>
                <w:color w:val="auto"/>
                <w:kern w:val="0"/>
                <w:szCs w:val="21"/>
              </w:rPr>
            </w:pPr>
            <w:r>
              <w:rPr>
                <w:rFonts w:hint="eastAsia" w:ascii="宋体" w:hAnsi="宋体"/>
                <w:color w:val="auto"/>
                <w:kern w:val="0"/>
                <w:szCs w:val="21"/>
              </w:rPr>
              <w:t>电池容量：≥200Wh</w:t>
            </w:r>
          </w:p>
        </w:tc>
        <w:tc>
          <w:tcPr>
            <w:tcW w:w="687" w:type="dxa"/>
            <w:tcBorders>
              <w:top w:val="nil"/>
              <w:left w:val="nil"/>
              <w:bottom w:val="single" w:color="000000" w:sz="8" w:space="0"/>
              <w:right w:val="single" w:color="000000" w:sz="8" w:space="0"/>
            </w:tcBorders>
            <w:shd w:val="clear" w:color="auto" w:fill="auto"/>
            <w:vAlign w:val="center"/>
          </w:tcPr>
          <w:p w14:paraId="2A2383FC">
            <w:pPr>
              <w:widowControl/>
              <w:jc w:val="center"/>
              <w:textAlignment w:val="center"/>
              <w:rPr>
                <w:rFonts w:ascii="宋体" w:hAnsi="宋体"/>
                <w:color w:val="auto"/>
                <w:szCs w:val="21"/>
              </w:rPr>
            </w:pPr>
            <w:r>
              <w:rPr>
                <w:rFonts w:hint="eastAsia" w:ascii="宋体" w:hAnsi="宋体"/>
                <w:color w:val="auto"/>
                <w:kern w:val="0"/>
                <w:szCs w:val="21"/>
              </w:rPr>
              <w:t>2</w:t>
            </w:r>
          </w:p>
        </w:tc>
        <w:tc>
          <w:tcPr>
            <w:tcW w:w="627" w:type="dxa"/>
            <w:tcBorders>
              <w:top w:val="nil"/>
              <w:left w:val="nil"/>
              <w:bottom w:val="single" w:color="000000" w:sz="8" w:space="0"/>
              <w:right w:val="single" w:color="000000" w:sz="8" w:space="0"/>
            </w:tcBorders>
            <w:shd w:val="clear" w:color="auto" w:fill="auto"/>
            <w:vAlign w:val="center"/>
          </w:tcPr>
          <w:p w14:paraId="6D2C734E">
            <w:pPr>
              <w:widowControl/>
              <w:jc w:val="center"/>
              <w:textAlignment w:val="center"/>
              <w:rPr>
                <w:rFonts w:ascii="宋体" w:hAnsi="宋体"/>
                <w:color w:val="auto"/>
                <w:szCs w:val="21"/>
              </w:rPr>
            </w:pPr>
            <w:r>
              <w:rPr>
                <w:rFonts w:hint="eastAsia" w:ascii="宋体" w:hAnsi="宋体"/>
                <w:color w:val="auto"/>
                <w:kern w:val="0"/>
                <w:szCs w:val="21"/>
              </w:rPr>
              <w:t>台</w:t>
            </w:r>
          </w:p>
        </w:tc>
      </w:tr>
      <w:tr w14:paraId="52C8EF5C">
        <w:tblPrEx>
          <w:tblCellMar>
            <w:top w:w="0" w:type="dxa"/>
            <w:left w:w="108" w:type="dxa"/>
            <w:bottom w:w="0" w:type="dxa"/>
            <w:right w:w="108" w:type="dxa"/>
          </w:tblCellMar>
        </w:tblPrEx>
        <w:trPr>
          <w:trHeight w:val="90"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47913F72">
            <w:pPr>
              <w:widowControl/>
              <w:jc w:val="center"/>
              <w:textAlignment w:val="center"/>
              <w:rPr>
                <w:rFonts w:ascii="宋体" w:hAnsi="宋体"/>
                <w:color w:val="auto"/>
                <w:szCs w:val="21"/>
              </w:rPr>
            </w:pPr>
            <w:r>
              <w:rPr>
                <w:rFonts w:hint="eastAsia" w:ascii="宋体" w:hAnsi="宋体"/>
                <w:color w:val="auto"/>
                <w:kern w:val="0"/>
                <w:szCs w:val="21"/>
              </w:rPr>
              <w:t>5</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650B90">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43301AB7">
            <w:pPr>
              <w:widowControl/>
              <w:jc w:val="left"/>
              <w:textAlignment w:val="center"/>
              <w:rPr>
                <w:rFonts w:ascii="宋体" w:hAnsi="宋体"/>
                <w:color w:val="auto"/>
                <w:szCs w:val="21"/>
              </w:rPr>
            </w:pPr>
            <w:r>
              <w:rPr>
                <w:rFonts w:hint="eastAsia" w:ascii="宋体" w:hAnsi="宋体"/>
                <w:color w:val="auto"/>
                <w:kern w:val="0"/>
                <w:szCs w:val="21"/>
              </w:rPr>
              <w:t>单兵5G便携站（含10台网络对讲机）</w:t>
            </w:r>
          </w:p>
        </w:tc>
        <w:tc>
          <w:tcPr>
            <w:tcW w:w="5782" w:type="dxa"/>
            <w:tcBorders>
              <w:top w:val="nil"/>
              <w:left w:val="nil"/>
              <w:bottom w:val="single" w:color="000000" w:sz="8" w:space="0"/>
              <w:right w:val="single" w:color="000000" w:sz="8" w:space="0"/>
            </w:tcBorders>
            <w:shd w:val="clear" w:color="auto" w:fill="auto"/>
            <w:vAlign w:val="center"/>
          </w:tcPr>
          <w:p w14:paraId="3B94F97C">
            <w:pPr>
              <w:widowControl/>
              <w:jc w:val="left"/>
              <w:textAlignment w:val="center"/>
              <w:rPr>
                <w:rFonts w:ascii="宋体" w:hAnsi="宋体"/>
                <w:color w:val="auto"/>
                <w:kern w:val="0"/>
                <w:szCs w:val="21"/>
              </w:rPr>
            </w:pPr>
            <w:r>
              <w:rPr>
                <w:rFonts w:hint="eastAsia" w:ascii="宋体" w:hAnsi="宋体"/>
                <w:color w:val="auto"/>
                <w:kern w:val="0"/>
                <w:szCs w:val="21"/>
              </w:rPr>
              <w:t>搭建 5G 应急通信网络，为随行指挥提供高速网络支撑，配套对讲机实现现场集群对讲</w:t>
            </w:r>
          </w:p>
          <w:p w14:paraId="6569871F">
            <w:pPr>
              <w:widowControl/>
              <w:jc w:val="left"/>
              <w:textAlignment w:val="center"/>
              <w:rPr>
                <w:rFonts w:ascii="宋体" w:hAnsi="宋体"/>
                <w:color w:val="auto"/>
                <w:kern w:val="0"/>
                <w:szCs w:val="21"/>
              </w:rPr>
            </w:pPr>
            <w:r>
              <w:rPr>
                <w:rFonts w:hint="eastAsia" w:ascii="宋体" w:hAnsi="宋体"/>
                <w:color w:val="auto"/>
                <w:kern w:val="0"/>
                <w:szCs w:val="21"/>
              </w:rPr>
              <w:t>1、5G背负式基站</w:t>
            </w:r>
          </w:p>
          <w:p w14:paraId="14FD9A8F">
            <w:pPr>
              <w:widowControl/>
              <w:jc w:val="left"/>
              <w:textAlignment w:val="center"/>
              <w:rPr>
                <w:rFonts w:ascii="宋体" w:hAnsi="宋体"/>
                <w:color w:val="auto"/>
                <w:kern w:val="0"/>
                <w:szCs w:val="21"/>
              </w:rPr>
            </w:pPr>
            <w:r>
              <w:rPr>
                <w:rFonts w:hint="eastAsia" w:ascii="宋体" w:hAnsi="宋体"/>
                <w:color w:val="auto"/>
                <w:kern w:val="0"/>
                <w:szCs w:val="21"/>
              </w:rPr>
              <w:t>适用标准 3GPP TS38 104-16</w:t>
            </w:r>
          </w:p>
          <w:p w14:paraId="470F13E8">
            <w:pPr>
              <w:widowControl/>
              <w:jc w:val="left"/>
              <w:textAlignment w:val="center"/>
              <w:rPr>
                <w:rFonts w:ascii="宋体" w:hAnsi="宋体"/>
                <w:color w:val="auto"/>
                <w:kern w:val="0"/>
                <w:szCs w:val="21"/>
              </w:rPr>
            </w:pPr>
            <w:r>
              <w:rPr>
                <w:rFonts w:hint="eastAsia" w:ascii="宋体" w:hAnsi="宋体"/>
                <w:color w:val="auto"/>
                <w:kern w:val="0"/>
                <w:szCs w:val="21"/>
              </w:rPr>
              <w:t>工作制式 FDD</w:t>
            </w:r>
          </w:p>
          <w:p w14:paraId="426F3A50">
            <w:pPr>
              <w:widowControl/>
              <w:jc w:val="left"/>
              <w:textAlignment w:val="center"/>
              <w:rPr>
                <w:rFonts w:ascii="宋体" w:hAnsi="宋体"/>
                <w:color w:val="auto"/>
                <w:kern w:val="0"/>
                <w:szCs w:val="21"/>
              </w:rPr>
            </w:pPr>
            <w:r>
              <w:rPr>
                <w:rFonts w:hint="eastAsia" w:ascii="宋体" w:hAnsi="宋体"/>
                <w:color w:val="auto"/>
                <w:kern w:val="0"/>
                <w:szCs w:val="21"/>
              </w:rPr>
              <w:t>适用频段 N28</w:t>
            </w:r>
          </w:p>
          <w:p w14:paraId="4DD7A93D">
            <w:pPr>
              <w:widowControl/>
              <w:jc w:val="left"/>
              <w:textAlignment w:val="center"/>
              <w:rPr>
                <w:rFonts w:ascii="宋体" w:hAnsi="宋体"/>
                <w:color w:val="auto"/>
                <w:kern w:val="0"/>
                <w:szCs w:val="21"/>
              </w:rPr>
            </w:pPr>
            <w:r>
              <w:rPr>
                <w:rFonts w:hint="eastAsia" w:ascii="宋体" w:hAnsi="宋体"/>
                <w:color w:val="auto"/>
                <w:kern w:val="0"/>
                <w:szCs w:val="21"/>
              </w:rPr>
              <w:t>载扇容量 30MHz/20MHz/15MHz/10MHz/5MHz</w:t>
            </w:r>
          </w:p>
          <w:p w14:paraId="271EA714">
            <w:pPr>
              <w:widowControl/>
              <w:jc w:val="left"/>
              <w:textAlignment w:val="center"/>
              <w:rPr>
                <w:rFonts w:ascii="宋体" w:hAnsi="宋体"/>
                <w:color w:val="auto"/>
                <w:kern w:val="0"/>
                <w:szCs w:val="21"/>
              </w:rPr>
            </w:pPr>
            <w:r>
              <w:rPr>
                <w:rFonts w:hint="eastAsia" w:ascii="宋体" w:hAnsi="宋体"/>
                <w:color w:val="auto"/>
                <w:kern w:val="0"/>
                <w:szCs w:val="21"/>
              </w:rPr>
              <w:t>子载波间隔 15kHz</w:t>
            </w:r>
          </w:p>
          <w:p w14:paraId="659E5295">
            <w:pPr>
              <w:widowControl/>
              <w:jc w:val="left"/>
              <w:textAlignment w:val="center"/>
              <w:rPr>
                <w:rFonts w:ascii="宋体" w:hAnsi="宋体"/>
                <w:color w:val="auto"/>
                <w:kern w:val="0"/>
                <w:szCs w:val="21"/>
              </w:rPr>
            </w:pPr>
            <w:r>
              <w:rPr>
                <w:rFonts w:hint="eastAsia" w:ascii="宋体" w:hAnsi="宋体"/>
                <w:color w:val="auto"/>
                <w:kern w:val="0"/>
                <w:szCs w:val="21"/>
              </w:rPr>
              <w:t>射频通道 支持2T2R</w:t>
            </w:r>
          </w:p>
          <w:p w14:paraId="7E887B18">
            <w:pPr>
              <w:widowControl/>
              <w:jc w:val="left"/>
              <w:textAlignment w:val="center"/>
              <w:rPr>
                <w:rFonts w:ascii="宋体" w:hAnsi="宋体"/>
                <w:color w:val="auto"/>
                <w:kern w:val="0"/>
                <w:szCs w:val="21"/>
              </w:rPr>
            </w:pPr>
            <w:r>
              <w:rPr>
                <w:rFonts w:hint="eastAsia" w:ascii="宋体" w:hAnsi="宋体"/>
                <w:color w:val="auto"/>
                <w:kern w:val="0"/>
                <w:szCs w:val="21"/>
              </w:rPr>
              <w:t>发射功率 单通道≥37dBm</w:t>
            </w:r>
          </w:p>
          <w:p w14:paraId="2BF0B8D5">
            <w:pPr>
              <w:widowControl/>
              <w:jc w:val="left"/>
              <w:textAlignment w:val="center"/>
              <w:rPr>
                <w:rFonts w:ascii="宋体" w:hAnsi="宋体"/>
                <w:color w:val="auto"/>
                <w:kern w:val="0"/>
                <w:szCs w:val="21"/>
              </w:rPr>
            </w:pPr>
            <w:r>
              <w:rPr>
                <w:rFonts w:hint="eastAsia" w:ascii="宋体" w:hAnsi="宋体"/>
                <w:color w:val="auto"/>
                <w:kern w:val="0"/>
                <w:szCs w:val="21"/>
              </w:rPr>
              <w:t>用户数≥ 1200接入，在线用户≥200并发</w:t>
            </w:r>
          </w:p>
          <w:p w14:paraId="6862DD77">
            <w:pPr>
              <w:widowControl/>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▲上/下行峰值速率 上行≥150Mbps，下行≥300Mbps</w:t>
            </w:r>
          </w:p>
          <w:p w14:paraId="3B285544">
            <w:pPr>
              <w:widowControl/>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调制方式 下行 QPSK、16QAM、64QAM、256QAM</w:t>
            </w:r>
          </w:p>
          <w:p w14:paraId="451882DC">
            <w:pPr>
              <w:widowControl/>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上行 π/2-BPSK、QPSK、16QAM、64QAM；</w:t>
            </w:r>
          </w:p>
          <w:p w14:paraId="18FD33E7">
            <w:pPr>
              <w:widowControl/>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系统同步 同步方式 北斗/GPS和1588同步</w:t>
            </w:r>
          </w:p>
          <w:p w14:paraId="71A216B4">
            <w:pPr>
              <w:widowControl/>
              <w:jc w:val="left"/>
              <w:textAlignment w:val="center"/>
              <w:rPr>
                <w:rFonts w:ascii="宋体" w:hAnsi="宋体"/>
                <w:color w:val="auto"/>
                <w:kern w:val="0"/>
                <w:szCs w:val="21"/>
              </w:rPr>
            </w:pPr>
            <w:r>
              <w:rPr>
                <w:rFonts w:hint="eastAsia" w:ascii="宋体" w:hAnsi="宋体"/>
                <w:color w:val="auto"/>
                <w:kern w:val="0"/>
                <w:szCs w:val="21"/>
              </w:rPr>
              <w:t xml:space="preserve">同步精度 </w:t>
            </w:r>
          </w:p>
          <w:p w14:paraId="3DF49CBD">
            <w:pPr>
              <w:widowControl/>
              <w:jc w:val="left"/>
              <w:textAlignment w:val="center"/>
              <w:rPr>
                <w:rFonts w:ascii="宋体" w:hAnsi="宋体"/>
                <w:color w:val="auto"/>
                <w:kern w:val="0"/>
                <w:szCs w:val="21"/>
              </w:rPr>
            </w:pPr>
            <w:r>
              <w:rPr>
                <w:rFonts w:hint="eastAsia" w:ascii="宋体" w:hAnsi="宋体"/>
                <w:color w:val="auto"/>
                <w:kern w:val="0"/>
                <w:szCs w:val="21"/>
              </w:rPr>
              <w:t>频率偏移≤±0.1ppm</w:t>
            </w:r>
          </w:p>
          <w:p w14:paraId="19554488">
            <w:pPr>
              <w:widowControl/>
              <w:jc w:val="left"/>
              <w:textAlignment w:val="center"/>
              <w:rPr>
                <w:rFonts w:ascii="宋体" w:hAnsi="宋体"/>
                <w:color w:val="auto"/>
                <w:kern w:val="0"/>
                <w:szCs w:val="21"/>
              </w:rPr>
            </w:pPr>
            <w:r>
              <w:rPr>
                <w:rFonts w:hint="eastAsia" w:ascii="宋体" w:hAnsi="宋体"/>
                <w:color w:val="auto"/>
                <w:kern w:val="0"/>
                <w:szCs w:val="21"/>
              </w:rPr>
              <w:t>邻道功率比(ACLR) Adjacent Channel＜-45dBc;</w:t>
            </w:r>
          </w:p>
          <w:p w14:paraId="4B2804AA">
            <w:pPr>
              <w:widowControl/>
              <w:jc w:val="left"/>
              <w:textAlignment w:val="center"/>
              <w:rPr>
                <w:rFonts w:ascii="宋体" w:hAnsi="宋体"/>
                <w:color w:val="auto"/>
                <w:kern w:val="0"/>
                <w:szCs w:val="21"/>
              </w:rPr>
            </w:pPr>
            <w:r>
              <w:rPr>
                <w:rFonts w:hint="eastAsia" w:ascii="宋体" w:hAnsi="宋体"/>
                <w:color w:val="auto"/>
                <w:kern w:val="0"/>
                <w:szCs w:val="21"/>
              </w:rPr>
              <w:t xml:space="preserve"> Non-adjacent channel＜-55dBc，非邻道功能；</w:t>
            </w:r>
          </w:p>
          <w:p w14:paraId="35F0BEC2">
            <w:pPr>
              <w:widowControl/>
              <w:jc w:val="left"/>
              <w:textAlignment w:val="center"/>
              <w:rPr>
                <w:rFonts w:ascii="宋体" w:hAnsi="宋体"/>
                <w:color w:val="auto"/>
                <w:kern w:val="0"/>
                <w:szCs w:val="21"/>
              </w:rPr>
            </w:pPr>
            <w:r>
              <w:rPr>
                <w:rFonts w:hint="eastAsia" w:ascii="宋体" w:hAnsi="宋体"/>
                <w:color w:val="auto"/>
                <w:kern w:val="0"/>
                <w:szCs w:val="21"/>
              </w:rPr>
              <w:t>EVM QPSK≤17.5%；</w:t>
            </w:r>
          </w:p>
          <w:p w14:paraId="4E2FC58F">
            <w:pPr>
              <w:widowControl/>
              <w:jc w:val="left"/>
              <w:textAlignment w:val="center"/>
              <w:rPr>
                <w:rFonts w:ascii="宋体" w:hAnsi="宋体"/>
                <w:color w:val="auto"/>
                <w:kern w:val="0"/>
                <w:szCs w:val="21"/>
              </w:rPr>
            </w:pPr>
            <w:r>
              <w:rPr>
                <w:rFonts w:hint="eastAsia" w:ascii="宋体" w:hAnsi="宋体"/>
                <w:color w:val="auto"/>
                <w:kern w:val="0"/>
                <w:szCs w:val="21"/>
              </w:rPr>
              <w:t>16QAM≤12.5%；</w:t>
            </w:r>
          </w:p>
          <w:p w14:paraId="76E07AE2">
            <w:pPr>
              <w:widowControl/>
              <w:jc w:val="left"/>
              <w:textAlignment w:val="center"/>
              <w:rPr>
                <w:rFonts w:ascii="宋体" w:hAnsi="宋体"/>
                <w:color w:val="auto"/>
                <w:kern w:val="0"/>
                <w:szCs w:val="21"/>
              </w:rPr>
            </w:pPr>
            <w:r>
              <w:rPr>
                <w:rFonts w:hint="eastAsia" w:ascii="宋体" w:hAnsi="宋体"/>
                <w:color w:val="auto"/>
                <w:kern w:val="0"/>
                <w:szCs w:val="21"/>
              </w:rPr>
              <w:t>64QAM≤8%；</w:t>
            </w:r>
          </w:p>
          <w:p w14:paraId="453B8542">
            <w:pPr>
              <w:widowControl/>
              <w:jc w:val="left"/>
              <w:textAlignment w:val="center"/>
              <w:rPr>
                <w:rFonts w:ascii="宋体" w:hAnsi="宋体"/>
                <w:color w:val="auto"/>
                <w:kern w:val="0"/>
                <w:szCs w:val="21"/>
              </w:rPr>
            </w:pPr>
            <w:r>
              <w:rPr>
                <w:rFonts w:hint="eastAsia" w:ascii="宋体" w:hAnsi="宋体"/>
                <w:color w:val="auto"/>
                <w:kern w:val="0"/>
                <w:szCs w:val="21"/>
              </w:rPr>
              <w:t>256QAM≤3.5%；</w:t>
            </w:r>
          </w:p>
          <w:p w14:paraId="118AF95D">
            <w:pPr>
              <w:widowControl/>
              <w:jc w:val="left"/>
              <w:textAlignment w:val="center"/>
              <w:rPr>
                <w:rFonts w:ascii="宋体" w:hAnsi="宋体"/>
                <w:color w:val="auto"/>
                <w:kern w:val="0"/>
                <w:szCs w:val="21"/>
              </w:rPr>
            </w:pPr>
            <w:r>
              <w:rPr>
                <w:rFonts w:hint="eastAsia" w:ascii="宋体" w:hAnsi="宋体"/>
                <w:color w:val="auto"/>
                <w:kern w:val="0"/>
                <w:szCs w:val="21"/>
              </w:rPr>
              <w:t>杂散辐射 9 kHz – 150 kHz：≤-36dBm/1kHz</w:t>
            </w:r>
          </w:p>
          <w:p w14:paraId="3CE611EB">
            <w:pPr>
              <w:widowControl/>
              <w:jc w:val="left"/>
              <w:textAlignment w:val="center"/>
              <w:rPr>
                <w:rFonts w:ascii="宋体" w:hAnsi="宋体"/>
                <w:color w:val="auto"/>
                <w:kern w:val="0"/>
                <w:szCs w:val="21"/>
              </w:rPr>
            </w:pPr>
            <w:r>
              <w:rPr>
                <w:rFonts w:hint="eastAsia" w:ascii="宋体" w:hAnsi="宋体"/>
                <w:color w:val="auto"/>
                <w:kern w:val="0"/>
                <w:szCs w:val="21"/>
              </w:rPr>
              <w:t>150 kHz – 30 MHz: ≤-36dBm/10kHz</w:t>
            </w:r>
          </w:p>
          <w:p w14:paraId="58FAEBB2">
            <w:pPr>
              <w:widowControl/>
              <w:jc w:val="left"/>
              <w:textAlignment w:val="center"/>
              <w:rPr>
                <w:rFonts w:ascii="宋体" w:hAnsi="宋体"/>
                <w:color w:val="auto"/>
                <w:kern w:val="0"/>
                <w:szCs w:val="21"/>
              </w:rPr>
            </w:pPr>
            <w:r>
              <w:rPr>
                <w:rFonts w:hint="eastAsia" w:ascii="宋体" w:hAnsi="宋体"/>
                <w:color w:val="auto"/>
                <w:kern w:val="0"/>
                <w:szCs w:val="21"/>
              </w:rPr>
              <w:t>30 MHz – 1 GHz:≤-36dBm/100kHz</w:t>
            </w:r>
          </w:p>
          <w:p w14:paraId="4CF4528E">
            <w:pPr>
              <w:widowControl/>
              <w:jc w:val="left"/>
              <w:textAlignment w:val="center"/>
              <w:rPr>
                <w:rFonts w:ascii="宋体" w:hAnsi="宋体"/>
                <w:color w:val="auto"/>
                <w:kern w:val="0"/>
                <w:szCs w:val="21"/>
              </w:rPr>
            </w:pPr>
            <w:r>
              <w:rPr>
                <w:rFonts w:hint="eastAsia" w:ascii="宋体" w:hAnsi="宋体"/>
                <w:color w:val="auto"/>
                <w:kern w:val="0"/>
                <w:szCs w:val="21"/>
              </w:rPr>
              <w:t>1 Hz – 12.75GHz: ≤-36dBm/1MHz</w:t>
            </w:r>
          </w:p>
          <w:p w14:paraId="1CB60C4C">
            <w:pPr>
              <w:widowControl/>
              <w:jc w:val="left"/>
              <w:textAlignment w:val="center"/>
              <w:rPr>
                <w:rFonts w:ascii="宋体" w:hAnsi="宋体"/>
                <w:color w:val="auto"/>
                <w:kern w:val="0"/>
                <w:szCs w:val="21"/>
              </w:rPr>
            </w:pPr>
            <w:r>
              <w:rPr>
                <w:rFonts w:hint="eastAsia" w:ascii="宋体" w:hAnsi="宋体"/>
                <w:color w:val="auto"/>
                <w:kern w:val="0"/>
                <w:szCs w:val="21"/>
              </w:rPr>
              <w:t>接收灵敏度≤ -95.3dBm@ G-FR1-A1-4,15KHz</w:t>
            </w:r>
          </w:p>
          <w:p w14:paraId="418B5551">
            <w:pPr>
              <w:widowControl/>
              <w:jc w:val="left"/>
              <w:textAlignment w:val="center"/>
              <w:rPr>
                <w:rFonts w:ascii="宋体" w:hAnsi="宋体"/>
                <w:color w:val="auto"/>
                <w:kern w:val="0"/>
                <w:szCs w:val="21"/>
              </w:rPr>
            </w:pPr>
            <w:r>
              <w:rPr>
                <w:rFonts w:hint="eastAsia" w:ascii="宋体" w:hAnsi="宋体"/>
                <w:color w:val="auto"/>
                <w:kern w:val="0"/>
                <w:szCs w:val="21"/>
              </w:rPr>
              <w:t>接口 射频输出：N头*2</w:t>
            </w:r>
          </w:p>
          <w:p w14:paraId="67C11E5C">
            <w:pPr>
              <w:widowControl/>
              <w:jc w:val="left"/>
              <w:textAlignment w:val="center"/>
              <w:rPr>
                <w:rFonts w:ascii="宋体" w:hAnsi="宋体"/>
                <w:color w:val="auto"/>
                <w:kern w:val="0"/>
                <w:szCs w:val="21"/>
              </w:rPr>
            </w:pPr>
            <w:r>
              <w:rPr>
                <w:rFonts w:hint="eastAsia" w:ascii="宋体" w:hAnsi="宋体"/>
                <w:color w:val="auto"/>
                <w:kern w:val="0"/>
                <w:szCs w:val="21"/>
              </w:rPr>
              <w:t>网口接口： WAN*1、LAN*1</w:t>
            </w:r>
          </w:p>
          <w:p w14:paraId="626773DD">
            <w:pPr>
              <w:widowControl/>
              <w:jc w:val="left"/>
              <w:textAlignment w:val="center"/>
              <w:rPr>
                <w:rFonts w:ascii="宋体" w:hAnsi="宋体"/>
                <w:color w:val="auto"/>
                <w:kern w:val="0"/>
                <w:szCs w:val="21"/>
              </w:rPr>
            </w:pPr>
            <w:r>
              <w:rPr>
                <w:rFonts w:hint="eastAsia" w:ascii="宋体" w:hAnsi="宋体"/>
                <w:color w:val="auto"/>
                <w:kern w:val="0"/>
                <w:szCs w:val="21"/>
              </w:rPr>
              <w:t>电源接口：航插接口*1</w:t>
            </w:r>
          </w:p>
          <w:p w14:paraId="44FDB49A">
            <w:pPr>
              <w:widowControl/>
              <w:jc w:val="left"/>
              <w:textAlignment w:val="center"/>
              <w:rPr>
                <w:rFonts w:ascii="宋体" w:hAnsi="宋体"/>
                <w:color w:val="auto"/>
                <w:kern w:val="0"/>
                <w:szCs w:val="21"/>
              </w:rPr>
            </w:pPr>
            <w:r>
              <w:rPr>
                <w:rFonts w:hint="eastAsia" w:ascii="宋体" w:hAnsi="宋体"/>
                <w:color w:val="auto"/>
                <w:kern w:val="0"/>
                <w:szCs w:val="21"/>
              </w:rPr>
              <w:t>同步接口：SMA头*1</w:t>
            </w:r>
          </w:p>
          <w:p w14:paraId="54BA6B71">
            <w:pPr>
              <w:widowControl/>
              <w:jc w:val="left"/>
              <w:textAlignment w:val="center"/>
              <w:rPr>
                <w:rFonts w:ascii="宋体" w:hAnsi="宋体"/>
                <w:color w:val="auto"/>
                <w:kern w:val="0"/>
                <w:szCs w:val="21"/>
              </w:rPr>
            </w:pPr>
            <w:r>
              <w:rPr>
                <w:rFonts w:hint="eastAsia" w:ascii="宋体" w:hAnsi="宋体"/>
                <w:color w:val="auto"/>
                <w:kern w:val="0"/>
                <w:szCs w:val="21"/>
              </w:rPr>
              <w:t>开关：金属按键开关*1</w:t>
            </w:r>
          </w:p>
          <w:p w14:paraId="5AD40583">
            <w:pPr>
              <w:widowControl/>
              <w:jc w:val="left"/>
              <w:textAlignment w:val="center"/>
              <w:rPr>
                <w:rFonts w:ascii="宋体" w:hAnsi="宋体"/>
                <w:color w:val="auto"/>
                <w:kern w:val="0"/>
                <w:szCs w:val="21"/>
              </w:rPr>
            </w:pPr>
            <w:r>
              <w:rPr>
                <w:rFonts w:hint="eastAsia" w:ascii="宋体" w:hAnsi="宋体"/>
                <w:color w:val="auto"/>
                <w:kern w:val="0"/>
                <w:szCs w:val="21"/>
              </w:rPr>
              <w:t>指示灯 激活、同步、告警</w:t>
            </w:r>
          </w:p>
          <w:p w14:paraId="30180BF8">
            <w:pPr>
              <w:widowControl/>
              <w:jc w:val="left"/>
              <w:textAlignment w:val="center"/>
              <w:rPr>
                <w:rFonts w:ascii="宋体" w:hAnsi="宋体"/>
                <w:color w:val="auto"/>
                <w:kern w:val="0"/>
                <w:szCs w:val="21"/>
              </w:rPr>
            </w:pPr>
            <w:r>
              <w:rPr>
                <w:rFonts w:hint="eastAsia" w:ascii="宋体" w:hAnsi="宋体"/>
                <w:color w:val="auto"/>
                <w:kern w:val="0"/>
                <w:szCs w:val="21"/>
              </w:rPr>
              <w:t>2、网络对讲机</w:t>
            </w:r>
          </w:p>
          <w:p w14:paraId="6431102C">
            <w:pPr>
              <w:widowControl/>
              <w:jc w:val="left"/>
              <w:textAlignment w:val="center"/>
              <w:rPr>
                <w:rFonts w:ascii="宋体" w:hAnsi="宋体"/>
                <w:color w:val="auto"/>
                <w:kern w:val="0"/>
                <w:szCs w:val="21"/>
              </w:rPr>
            </w:pPr>
            <w:r>
              <w:rPr>
                <w:rFonts w:hint="eastAsia" w:ascii="宋体" w:hAnsi="宋体"/>
                <w:color w:val="auto"/>
                <w:kern w:val="0"/>
                <w:szCs w:val="21"/>
              </w:rPr>
              <w:t>主屏尺寸 ≥2.4英寸,</w:t>
            </w:r>
          </w:p>
          <w:p w14:paraId="61BB0F96">
            <w:pPr>
              <w:widowControl/>
              <w:jc w:val="left"/>
              <w:textAlignment w:val="center"/>
              <w:rPr>
                <w:rFonts w:ascii="宋体" w:hAnsi="宋体"/>
                <w:color w:val="auto"/>
                <w:kern w:val="0"/>
                <w:szCs w:val="21"/>
              </w:rPr>
            </w:pPr>
            <w:r>
              <w:rPr>
                <w:rFonts w:hint="eastAsia" w:ascii="宋体" w:hAnsi="宋体"/>
                <w:color w:val="auto"/>
                <w:kern w:val="0"/>
                <w:szCs w:val="21"/>
              </w:rPr>
              <w:t>触摸屏 电容屏</w:t>
            </w:r>
          </w:p>
          <w:p w14:paraId="12F7DEE0">
            <w:pPr>
              <w:widowControl/>
              <w:jc w:val="left"/>
              <w:textAlignment w:val="center"/>
              <w:rPr>
                <w:rFonts w:ascii="宋体" w:hAnsi="宋体"/>
                <w:color w:val="auto"/>
                <w:kern w:val="0"/>
                <w:szCs w:val="21"/>
              </w:rPr>
            </w:pPr>
            <w:r>
              <w:rPr>
                <w:rFonts w:hint="eastAsia" w:ascii="宋体" w:hAnsi="宋体"/>
                <w:color w:val="auto"/>
                <w:kern w:val="0"/>
                <w:szCs w:val="21"/>
              </w:rPr>
              <w:t>主屏分辨率 分辨率≥（240*320）</w:t>
            </w:r>
          </w:p>
          <w:p w14:paraId="7A130920">
            <w:pPr>
              <w:widowControl/>
              <w:jc w:val="left"/>
              <w:textAlignment w:val="center"/>
              <w:rPr>
                <w:rFonts w:ascii="宋体" w:hAnsi="宋体"/>
                <w:color w:val="auto"/>
                <w:kern w:val="0"/>
                <w:szCs w:val="21"/>
              </w:rPr>
            </w:pPr>
            <w:r>
              <w:rPr>
                <w:rFonts w:hint="eastAsia" w:ascii="宋体" w:hAnsi="宋体"/>
                <w:color w:val="auto"/>
                <w:kern w:val="0"/>
                <w:szCs w:val="21"/>
              </w:rPr>
              <w:t>外观设计 4G智能对讲终端</w:t>
            </w:r>
          </w:p>
          <w:p w14:paraId="725BB363">
            <w:pPr>
              <w:widowControl/>
              <w:jc w:val="left"/>
              <w:textAlignment w:val="center"/>
              <w:rPr>
                <w:rFonts w:ascii="宋体" w:hAnsi="宋体"/>
                <w:color w:val="auto"/>
                <w:kern w:val="0"/>
                <w:szCs w:val="21"/>
              </w:rPr>
            </w:pPr>
            <w:r>
              <w:rPr>
                <w:rFonts w:hint="eastAsia" w:ascii="宋体" w:hAnsi="宋体"/>
                <w:color w:val="auto"/>
                <w:kern w:val="0"/>
                <w:szCs w:val="21"/>
              </w:rPr>
              <w:t>SIM卡类型 单Micro Sim卡</w:t>
            </w:r>
          </w:p>
          <w:p w14:paraId="18DAAB28">
            <w:pPr>
              <w:widowControl/>
              <w:jc w:val="left"/>
              <w:textAlignment w:val="center"/>
              <w:rPr>
                <w:rFonts w:ascii="宋体" w:hAnsi="宋体"/>
                <w:color w:val="auto"/>
                <w:kern w:val="0"/>
                <w:szCs w:val="21"/>
              </w:rPr>
            </w:pPr>
            <w:r>
              <w:rPr>
                <w:rFonts w:hint="eastAsia" w:ascii="宋体" w:hAnsi="宋体"/>
                <w:color w:val="auto"/>
                <w:kern w:val="0"/>
                <w:szCs w:val="21"/>
              </w:rPr>
              <w:t xml:space="preserve">网络模式 GSM, CDMA,WCDMA, EVDO,TD-SCDMA,TDD/FDD-LTE </w:t>
            </w:r>
          </w:p>
          <w:p w14:paraId="1E164176">
            <w:pPr>
              <w:widowControl/>
              <w:jc w:val="left"/>
              <w:textAlignment w:val="center"/>
              <w:rPr>
                <w:rFonts w:ascii="宋体" w:hAnsi="宋体"/>
                <w:color w:val="auto"/>
                <w:kern w:val="0"/>
                <w:szCs w:val="21"/>
              </w:rPr>
            </w:pPr>
            <w:r>
              <w:rPr>
                <w:rFonts w:hint="eastAsia" w:ascii="宋体" w:hAnsi="宋体"/>
                <w:color w:val="auto"/>
                <w:kern w:val="0"/>
                <w:szCs w:val="21"/>
              </w:rPr>
              <w:t>数据业务 LTE CAT4/HSPA/TD-SCDMA/1xEV-DO/EDGE/GPRS</w:t>
            </w:r>
          </w:p>
          <w:p w14:paraId="1F076625">
            <w:pPr>
              <w:widowControl/>
              <w:jc w:val="left"/>
              <w:textAlignment w:val="center"/>
              <w:rPr>
                <w:rFonts w:ascii="宋体" w:hAnsi="宋体"/>
                <w:color w:val="auto"/>
                <w:kern w:val="0"/>
                <w:szCs w:val="21"/>
              </w:rPr>
            </w:pPr>
            <w:r>
              <w:rPr>
                <w:rFonts w:hint="eastAsia" w:ascii="宋体" w:hAnsi="宋体"/>
                <w:color w:val="auto"/>
                <w:kern w:val="0"/>
                <w:szCs w:val="21"/>
              </w:rPr>
              <w:t>支持频段 GSM:850/900/1800/1900;</w:t>
            </w:r>
          </w:p>
          <w:p w14:paraId="250CDC93">
            <w:pPr>
              <w:widowControl/>
              <w:jc w:val="left"/>
              <w:textAlignment w:val="center"/>
              <w:rPr>
                <w:rFonts w:ascii="宋体" w:hAnsi="宋体"/>
                <w:color w:val="auto"/>
                <w:kern w:val="0"/>
                <w:szCs w:val="21"/>
              </w:rPr>
            </w:pPr>
            <w:r>
              <w:rPr>
                <w:rFonts w:hint="eastAsia" w:ascii="宋体" w:hAnsi="宋体"/>
                <w:color w:val="auto"/>
                <w:kern w:val="0"/>
                <w:szCs w:val="21"/>
              </w:rPr>
              <w:t>CDMA:1X</w:t>
            </w:r>
          </w:p>
          <w:p w14:paraId="445ADC45">
            <w:pPr>
              <w:widowControl/>
              <w:jc w:val="left"/>
              <w:textAlignment w:val="center"/>
              <w:rPr>
                <w:rFonts w:ascii="宋体" w:hAnsi="宋体"/>
                <w:color w:val="auto"/>
                <w:kern w:val="0"/>
                <w:szCs w:val="21"/>
              </w:rPr>
            </w:pPr>
            <w:r>
              <w:rPr>
                <w:rFonts w:hint="eastAsia" w:ascii="宋体" w:hAnsi="宋体"/>
                <w:color w:val="auto"/>
                <w:kern w:val="0"/>
                <w:szCs w:val="21"/>
              </w:rPr>
              <w:t>WCDMA:850/900/1900/2100</w:t>
            </w:r>
          </w:p>
          <w:p w14:paraId="2691685B">
            <w:pPr>
              <w:widowControl/>
              <w:jc w:val="left"/>
              <w:textAlignment w:val="center"/>
              <w:rPr>
                <w:rFonts w:ascii="宋体" w:hAnsi="宋体"/>
                <w:color w:val="auto"/>
                <w:kern w:val="0"/>
                <w:szCs w:val="21"/>
              </w:rPr>
            </w:pPr>
            <w:r>
              <w:rPr>
                <w:rFonts w:hint="eastAsia" w:ascii="宋体" w:hAnsi="宋体"/>
                <w:color w:val="auto"/>
                <w:kern w:val="0"/>
                <w:szCs w:val="21"/>
              </w:rPr>
              <w:t xml:space="preserve">TD_SCDMA:A/F(B34/B39) </w:t>
            </w:r>
          </w:p>
          <w:p w14:paraId="4AC7FD49">
            <w:pPr>
              <w:widowControl/>
              <w:jc w:val="left"/>
              <w:textAlignment w:val="center"/>
              <w:rPr>
                <w:rFonts w:ascii="宋体" w:hAnsi="宋体"/>
                <w:color w:val="auto"/>
                <w:kern w:val="0"/>
                <w:szCs w:val="21"/>
              </w:rPr>
            </w:pPr>
            <w:r>
              <w:rPr>
                <w:rFonts w:hint="eastAsia" w:ascii="宋体" w:hAnsi="宋体"/>
                <w:color w:val="auto"/>
                <w:kern w:val="0"/>
                <w:szCs w:val="21"/>
              </w:rPr>
              <w:t>EVDO：BC0</w:t>
            </w:r>
          </w:p>
          <w:p w14:paraId="48AAC7B3">
            <w:pPr>
              <w:widowControl/>
              <w:jc w:val="left"/>
              <w:textAlignment w:val="center"/>
              <w:rPr>
                <w:rFonts w:ascii="宋体" w:hAnsi="宋体"/>
                <w:color w:val="auto"/>
                <w:kern w:val="0"/>
                <w:szCs w:val="21"/>
              </w:rPr>
            </w:pPr>
            <w:r>
              <w:rPr>
                <w:rFonts w:hint="eastAsia" w:ascii="宋体" w:hAnsi="宋体"/>
                <w:color w:val="auto"/>
                <w:kern w:val="0"/>
                <w:szCs w:val="21"/>
              </w:rPr>
              <w:t xml:space="preserve">LTE-FDD:B1/B3/B4/B5/B7/B8/B20/B28AB  </w:t>
            </w:r>
          </w:p>
          <w:p w14:paraId="178D550F">
            <w:pPr>
              <w:widowControl/>
              <w:jc w:val="left"/>
              <w:textAlignment w:val="center"/>
              <w:rPr>
                <w:rFonts w:ascii="宋体" w:hAnsi="宋体"/>
                <w:color w:val="auto"/>
                <w:kern w:val="0"/>
                <w:szCs w:val="21"/>
              </w:rPr>
            </w:pPr>
            <w:r>
              <w:rPr>
                <w:rFonts w:hint="eastAsia" w:ascii="宋体" w:hAnsi="宋体"/>
                <w:color w:val="auto"/>
                <w:kern w:val="0"/>
                <w:szCs w:val="21"/>
              </w:rPr>
              <w:t xml:space="preserve">LTE-TDD:B38/B39/B40/B41 </w:t>
            </w:r>
          </w:p>
          <w:p w14:paraId="1CCC1968">
            <w:pPr>
              <w:widowControl/>
              <w:jc w:val="left"/>
              <w:textAlignment w:val="center"/>
              <w:rPr>
                <w:rFonts w:ascii="宋体" w:hAnsi="宋体"/>
                <w:color w:val="auto"/>
                <w:kern w:val="0"/>
                <w:szCs w:val="21"/>
              </w:rPr>
            </w:pPr>
            <w:r>
              <w:rPr>
                <w:rFonts w:hint="eastAsia" w:ascii="宋体" w:hAnsi="宋体"/>
                <w:color w:val="auto"/>
                <w:kern w:val="0"/>
                <w:szCs w:val="21"/>
              </w:rPr>
              <w:t xml:space="preserve">理论速率 LTE :CAT4 (150Mbps Downlink 50mbps Uplink) </w:t>
            </w:r>
          </w:p>
          <w:p w14:paraId="7A5F5BC5">
            <w:pPr>
              <w:widowControl/>
              <w:jc w:val="left"/>
              <w:textAlignment w:val="center"/>
              <w:rPr>
                <w:rFonts w:ascii="宋体" w:hAnsi="宋体"/>
                <w:color w:val="auto"/>
                <w:kern w:val="0"/>
                <w:szCs w:val="21"/>
              </w:rPr>
            </w:pPr>
            <w:r>
              <w:rPr>
                <w:rFonts w:hint="eastAsia" w:ascii="宋体" w:hAnsi="宋体"/>
                <w:color w:val="auto"/>
                <w:kern w:val="0"/>
                <w:szCs w:val="21"/>
              </w:rPr>
              <w:t>WCDMA: Category 24 HSDPA category 7 HSUPA</w:t>
            </w:r>
          </w:p>
          <w:p w14:paraId="205D4AA5">
            <w:pPr>
              <w:widowControl/>
              <w:jc w:val="left"/>
              <w:textAlignment w:val="center"/>
              <w:rPr>
                <w:rFonts w:ascii="宋体" w:hAnsi="宋体"/>
                <w:color w:val="auto"/>
                <w:kern w:val="0"/>
                <w:szCs w:val="21"/>
              </w:rPr>
            </w:pPr>
            <w:r>
              <w:rPr>
                <w:rFonts w:hint="eastAsia" w:ascii="宋体" w:hAnsi="宋体"/>
                <w:color w:val="auto"/>
                <w:kern w:val="0"/>
                <w:szCs w:val="21"/>
              </w:rPr>
              <w:t>TD_SCDMA: category 14(downlink) category 6(uplink)</w:t>
            </w:r>
          </w:p>
          <w:p w14:paraId="61247D70">
            <w:pPr>
              <w:widowControl/>
              <w:jc w:val="left"/>
              <w:textAlignment w:val="center"/>
              <w:rPr>
                <w:rFonts w:ascii="宋体" w:hAnsi="宋体"/>
                <w:color w:val="auto"/>
                <w:kern w:val="0"/>
                <w:szCs w:val="21"/>
              </w:rPr>
            </w:pPr>
            <w:r>
              <w:rPr>
                <w:rFonts w:hint="eastAsia" w:ascii="宋体" w:hAnsi="宋体"/>
                <w:color w:val="auto"/>
                <w:kern w:val="0"/>
                <w:szCs w:val="21"/>
              </w:rPr>
              <w:t>GSM: Class 12 GPRS, Edge</w:t>
            </w:r>
          </w:p>
          <w:p w14:paraId="040FE8E9">
            <w:pPr>
              <w:widowControl/>
              <w:jc w:val="left"/>
              <w:textAlignment w:val="center"/>
              <w:rPr>
                <w:rFonts w:ascii="宋体" w:hAnsi="宋体"/>
                <w:color w:val="auto"/>
                <w:kern w:val="0"/>
                <w:szCs w:val="21"/>
              </w:rPr>
            </w:pPr>
            <w:r>
              <w:rPr>
                <w:rFonts w:hint="eastAsia" w:ascii="宋体" w:hAnsi="宋体"/>
                <w:color w:val="auto"/>
                <w:kern w:val="0"/>
                <w:szCs w:val="21"/>
              </w:rPr>
              <w:t>操作系统 Android 8.1</w:t>
            </w:r>
          </w:p>
          <w:p w14:paraId="0BF79186">
            <w:pPr>
              <w:widowControl/>
              <w:jc w:val="left"/>
              <w:textAlignment w:val="center"/>
              <w:rPr>
                <w:rFonts w:ascii="宋体" w:hAnsi="宋体"/>
                <w:color w:val="auto"/>
                <w:kern w:val="0"/>
                <w:szCs w:val="21"/>
              </w:rPr>
            </w:pPr>
            <w:r>
              <w:rPr>
                <w:rFonts w:hint="eastAsia" w:ascii="宋体" w:hAnsi="宋体"/>
                <w:color w:val="auto"/>
                <w:kern w:val="0"/>
                <w:szCs w:val="21"/>
              </w:rPr>
              <w:t xml:space="preserve">主控平台 四核1.5GHz </w:t>
            </w:r>
          </w:p>
          <w:p w14:paraId="1458F78C">
            <w:pPr>
              <w:widowControl/>
              <w:jc w:val="left"/>
              <w:textAlignment w:val="center"/>
              <w:rPr>
                <w:rFonts w:ascii="宋体" w:hAnsi="宋体"/>
                <w:color w:val="auto"/>
                <w:kern w:val="0"/>
                <w:szCs w:val="21"/>
              </w:rPr>
            </w:pPr>
            <w:r>
              <w:rPr>
                <w:rFonts w:hint="eastAsia" w:ascii="宋体" w:hAnsi="宋体"/>
                <w:color w:val="auto"/>
                <w:kern w:val="0"/>
                <w:szCs w:val="21"/>
              </w:rPr>
              <w:t xml:space="preserve">机身内存 8GB ROM+1GB RAM </w:t>
            </w:r>
          </w:p>
          <w:p w14:paraId="35FE0BFC">
            <w:pPr>
              <w:widowControl/>
              <w:jc w:val="left"/>
              <w:textAlignment w:val="center"/>
              <w:rPr>
                <w:rFonts w:ascii="宋体" w:hAnsi="宋体"/>
                <w:color w:val="auto"/>
                <w:kern w:val="0"/>
                <w:szCs w:val="21"/>
              </w:rPr>
            </w:pPr>
            <w:r>
              <w:rPr>
                <w:rFonts w:hint="eastAsia" w:ascii="宋体" w:hAnsi="宋体"/>
                <w:color w:val="auto"/>
                <w:kern w:val="0"/>
                <w:szCs w:val="21"/>
              </w:rPr>
              <w:t>存储卡 支持外部T卡，可扩展至128GB</w:t>
            </w:r>
          </w:p>
          <w:p w14:paraId="1BBC33F7">
            <w:pPr>
              <w:widowControl/>
              <w:jc w:val="left"/>
              <w:textAlignment w:val="center"/>
              <w:rPr>
                <w:rFonts w:ascii="宋体" w:hAnsi="宋体"/>
                <w:color w:val="auto"/>
                <w:kern w:val="0"/>
                <w:szCs w:val="21"/>
              </w:rPr>
            </w:pPr>
            <w:r>
              <w:rPr>
                <w:rFonts w:hint="eastAsia" w:ascii="宋体" w:hAnsi="宋体"/>
                <w:color w:val="auto"/>
                <w:kern w:val="0"/>
                <w:szCs w:val="21"/>
              </w:rPr>
              <w:t>电池容量 3.8V锂聚合物4100mAH</w:t>
            </w:r>
          </w:p>
        </w:tc>
        <w:tc>
          <w:tcPr>
            <w:tcW w:w="687" w:type="dxa"/>
            <w:tcBorders>
              <w:top w:val="nil"/>
              <w:left w:val="nil"/>
              <w:bottom w:val="single" w:color="000000" w:sz="8" w:space="0"/>
              <w:right w:val="single" w:color="000000" w:sz="8" w:space="0"/>
            </w:tcBorders>
            <w:shd w:val="clear" w:color="auto" w:fill="auto"/>
            <w:vAlign w:val="center"/>
          </w:tcPr>
          <w:p w14:paraId="7FE81D0E">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73E0BE29">
            <w:pPr>
              <w:widowControl/>
              <w:jc w:val="center"/>
              <w:textAlignment w:val="center"/>
              <w:rPr>
                <w:rFonts w:ascii="宋体" w:hAnsi="宋体"/>
                <w:color w:val="auto"/>
                <w:szCs w:val="21"/>
              </w:rPr>
            </w:pPr>
            <w:r>
              <w:rPr>
                <w:rFonts w:hint="eastAsia" w:ascii="宋体" w:hAnsi="宋体"/>
                <w:color w:val="auto"/>
                <w:kern w:val="0"/>
                <w:szCs w:val="21"/>
              </w:rPr>
              <w:t>台</w:t>
            </w:r>
          </w:p>
        </w:tc>
      </w:tr>
      <w:tr w14:paraId="2B453417">
        <w:tblPrEx>
          <w:tblCellMar>
            <w:top w:w="0" w:type="dxa"/>
            <w:left w:w="108" w:type="dxa"/>
            <w:bottom w:w="0" w:type="dxa"/>
            <w:right w:w="108" w:type="dxa"/>
          </w:tblCellMar>
        </w:tblPrEx>
        <w:trPr>
          <w:trHeight w:val="3513"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3A854BA4">
            <w:pPr>
              <w:widowControl/>
              <w:jc w:val="center"/>
              <w:textAlignment w:val="center"/>
              <w:rPr>
                <w:rFonts w:ascii="宋体" w:hAnsi="宋体"/>
                <w:color w:val="auto"/>
                <w:szCs w:val="21"/>
              </w:rPr>
            </w:pPr>
            <w:r>
              <w:rPr>
                <w:rFonts w:hint="eastAsia" w:ascii="宋体" w:hAnsi="宋体"/>
                <w:color w:val="auto"/>
                <w:kern w:val="0"/>
                <w:szCs w:val="21"/>
              </w:rPr>
              <w:t>6</w:t>
            </w:r>
          </w:p>
        </w:tc>
        <w:tc>
          <w:tcPr>
            <w:tcW w:w="563" w:type="dxa"/>
            <w:gridSpan w:val="2"/>
            <w:tcBorders>
              <w:top w:val="nil"/>
              <w:left w:val="nil"/>
              <w:bottom w:val="single" w:color="000000" w:sz="8" w:space="0"/>
              <w:right w:val="single" w:color="000000" w:sz="8" w:space="0"/>
            </w:tcBorders>
            <w:shd w:val="clear" w:color="auto" w:fill="auto"/>
            <w:vAlign w:val="center"/>
          </w:tcPr>
          <w:p w14:paraId="41425DDA">
            <w:pPr>
              <w:widowControl/>
              <w:jc w:val="left"/>
              <w:textAlignment w:val="center"/>
              <w:rPr>
                <w:rFonts w:ascii="宋体" w:hAnsi="宋体"/>
                <w:color w:val="auto"/>
                <w:szCs w:val="21"/>
              </w:rPr>
            </w:pPr>
            <w:r>
              <w:rPr>
                <w:rFonts w:hint="eastAsia" w:ascii="宋体" w:hAnsi="宋体"/>
                <w:color w:val="auto"/>
                <w:kern w:val="0"/>
                <w:szCs w:val="21"/>
              </w:rPr>
              <w:t>乡镇救援队</w:t>
            </w:r>
          </w:p>
        </w:tc>
        <w:tc>
          <w:tcPr>
            <w:tcW w:w="724" w:type="dxa"/>
            <w:tcBorders>
              <w:top w:val="nil"/>
              <w:left w:val="nil"/>
              <w:bottom w:val="single" w:color="000000" w:sz="8" w:space="0"/>
              <w:right w:val="single" w:color="000000" w:sz="8" w:space="0"/>
            </w:tcBorders>
            <w:shd w:val="clear" w:color="auto" w:fill="auto"/>
            <w:vAlign w:val="center"/>
          </w:tcPr>
          <w:p w14:paraId="402F5E7A">
            <w:pPr>
              <w:widowControl/>
              <w:jc w:val="left"/>
              <w:textAlignment w:val="center"/>
              <w:rPr>
                <w:rFonts w:ascii="宋体" w:hAnsi="宋体"/>
                <w:color w:val="auto"/>
                <w:szCs w:val="21"/>
              </w:rPr>
            </w:pPr>
            <w:r>
              <w:rPr>
                <w:rFonts w:hint="eastAsia" w:ascii="宋体" w:hAnsi="宋体"/>
                <w:color w:val="auto"/>
                <w:kern w:val="0"/>
                <w:szCs w:val="21"/>
              </w:rPr>
              <w:t>单兵便携指挥箱</w:t>
            </w:r>
          </w:p>
        </w:tc>
        <w:tc>
          <w:tcPr>
            <w:tcW w:w="5782" w:type="dxa"/>
            <w:tcBorders>
              <w:top w:val="nil"/>
              <w:left w:val="nil"/>
              <w:bottom w:val="single" w:color="000000" w:sz="8" w:space="0"/>
              <w:right w:val="single" w:color="000000" w:sz="8" w:space="0"/>
            </w:tcBorders>
            <w:shd w:val="clear" w:color="auto" w:fill="auto"/>
            <w:vAlign w:val="center"/>
          </w:tcPr>
          <w:p w14:paraId="1F7EB76A">
            <w:pPr>
              <w:widowControl/>
              <w:jc w:val="left"/>
              <w:textAlignment w:val="center"/>
              <w:rPr>
                <w:rFonts w:ascii="宋体" w:hAnsi="宋体"/>
                <w:color w:val="auto"/>
                <w:kern w:val="0"/>
                <w:szCs w:val="21"/>
              </w:rPr>
            </w:pPr>
            <w:r>
              <w:rPr>
                <w:rFonts w:hint="eastAsia" w:ascii="宋体" w:hAnsi="宋体"/>
                <w:color w:val="auto"/>
                <w:kern w:val="0"/>
                <w:szCs w:val="21"/>
              </w:rPr>
              <w:t>1.高清摄像头参数</w:t>
            </w:r>
          </w:p>
          <w:p w14:paraId="363CE7D8">
            <w:pPr>
              <w:widowControl/>
              <w:jc w:val="left"/>
              <w:textAlignment w:val="center"/>
              <w:rPr>
                <w:rFonts w:ascii="宋体" w:hAnsi="宋体"/>
                <w:color w:val="auto"/>
                <w:kern w:val="0"/>
                <w:szCs w:val="21"/>
              </w:rPr>
            </w:pPr>
            <w:r>
              <w:rPr>
                <w:rFonts w:hint="eastAsia" w:ascii="宋体" w:hAnsi="宋体"/>
                <w:color w:val="auto"/>
                <w:kern w:val="0"/>
                <w:szCs w:val="21"/>
              </w:rPr>
              <w:t>传感器类型：CMOS</w:t>
            </w:r>
          </w:p>
          <w:p w14:paraId="2AF967B2">
            <w:pPr>
              <w:widowControl/>
              <w:jc w:val="left"/>
              <w:textAlignment w:val="center"/>
              <w:rPr>
                <w:rFonts w:ascii="宋体" w:hAnsi="宋体"/>
                <w:color w:val="auto"/>
                <w:kern w:val="0"/>
                <w:szCs w:val="21"/>
              </w:rPr>
            </w:pPr>
            <w:r>
              <w:rPr>
                <w:rFonts w:hint="eastAsia" w:ascii="宋体" w:hAnsi="宋体"/>
                <w:color w:val="auto"/>
                <w:kern w:val="0"/>
                <w:szCs w:val="21"/>
              </w:rPr>
              <w:t>有效像素：≥1920*1080</w:t>
            </w:r>
          </w:p>
          <w:p w14:paraId="2A542B38">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最低照度：彩色≤0.2lux，黑白≤0.01lux</w:t>
            </w:r>
          </w:p>
          <w:p w14:paraId="1D2BDE28">
            <w:pPr>
              <w:widowControl/>
              <w:jc w:val="left"/>
              <w:textAlignment w:val="center"/>
              <w:rPr>
                <w:rFonts w:ascii="宋体" w:hAnsi="宋体"/>
                <w:color w:val="auto"/>
                <w:kern w:val="0"/>
                <w:szCs w:val="21"/>
              </w:rPr>
            </w:pPr>
            <w:r>
              <w:rPr>
                <w:rFonts w:hint="eastAsia" w:ascii="宋体" w:hAnsi="宋体"/>
                <w:color w:val="auto"/>
                <w:kern w:val="0"/>
                <w:szCs w:val="21"/>
              </w:rPr>
              <w:t>2.显示参数</w:t>
            </w:r>
          </w:p>
          <w:p w14:paraId="0387745A">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屏幕尺寸：≥15.6英寸</w:t>
            </w:r>
          </w:p>
          <w:p w14:paraId="7E7A7653">
            <w:pPr>
              <w:widowControl/>
              <w:jc w:val="left"/>
              <w:textAlignment w:val="center"/>
              <w:rPr>
                <w:rFonts w:ascii="宋体" w:hAnsi="宋体"/>
                <w:color w:val="auto"/>
                <w:kern w:val="0"/>
                <w:szCs w:val="21"/>
              </w:rPr>
            </w:pPr>
            <w:r>
              <w:rPr>
                <w:rFonts w:hint="eastAsia" w:ascii="宋体" w:hAnsi="宋体"/>
                <w:color w:val="auto"/>
                <w:kern w:val="0"/>
                <w:szCs w:val="21"/>
              </w:rPr>
              <w:t>屏幕数量：1</w:t>
            </w:r>
          </w:p>
          <w:p w14:paraId="02D1BCBC">
            <w:pPr>
              <w:widowControl/>
              <w:jc w:val="left"/>
              <w:textAlignment w:val="center"/>
              <w:rPr>
                <w:rFonts w:ascii="宋体" w:hAnsi="宋体"/>
                <w:color w:val="auto"/>
                <w:kern w:val="0"/>
                <w:szCs w:val="21"/>
              </w:rPr>
            </w:pPr>
            <w:r>
              <w:rPr>
                <w:rFonts w:hint="eastAsia" w:ascii="宋体" w:hAnsi="宋体"/>
                <w:color w:val="auto"/>
                <w:kern w:val="0"/>
                <w:szCs w:val="21"/>
              </w:rPr>
              <w:t>分辨率：≥ 1920*1080；</w:t>
            </w:r>
          </w:p>
          <w:p w14:paraId="3A81E0F8">
            <w:pPr>
              <w:widowControl/>
              <w:jc w:val="left"/>
              <w:textAlignment w:val="center"/>
              <w:rPr>
                <w:rFonts w:ascii="宋体" w:hAnsi="宋体"/>
                <w:color w:val="auto"/>
                <w:kern w:val="0"/>
                <w:szCs w:val="21"/>
              </w:rPr>
            </w:pPr>
            <w:r>
              <w:rPr>
                <w:rFonts w:hint="eastAsia" w:ascii="宋体" w:hAnsi="宋体"/>
                <w:color w:val="auto"/>
                <w:kern w:val="0"/>
                <w:szCs w:val="21"/>
              </w:rPr>
              <w:t>屏幕刷新率：60Hz</w:t>
            </w:r>
          </w:p>
          <w:p w14:paraId="0F24261E">
            <w:pPr>
              <w:widowControl/>
              <w:jc w:val="left"/>
              <w:textAlignment w:val="center"/>
              <w:rPr>
                <w:rFonts w:ascii="宋体" w:hAnsi="宋体"/>
                <w:color w:val="auto"/>
                <w:kern w:val="0"/>
                <w:szCs w:val="21"/>
              </w:rPr>
            </w:pPr>
            <w:r>
              <w:rPr>
                <w:rFonts w:hint="eastAsia" w:ascii="宋体" w:hAnsi="宋体"/>
                <w:color w:val="auto"/>
                <w:kern w:val="0"/>
                <w:szCs w:val="21"/>
              </w:rPr>
              <w:t>对比度： ≥800： 1；</w:t>
            </w:r>
          </w:p>
          <w:p w14:paraId="48C8FCDC">
            <w:pPr>
              <w:widowControl/>
              <w:jc w:val="left"/>
              <w:textAlignment w:val="center"/>
              <w:rPr>
                <w:rFonts w:hint="eastAsia" w:ascii="宋体" w:hAnsi="宋体"/>
                <w:color w:val="auto"/>
                <w:kern w:val="0"/>
                <w:szCs w:val="21"/>
              </w:rPr>
            </w:pPr>
            <w:r>
              <w:rPr>
                <w:rFonts w:hint="eastAsia" w:ascii="宋体" w:hAnsi="宋体"/>
                <w:color w:val="auto"/>
                <w:kern w:val="0"/>
                <w:szCs w:val="21"/>
              </w:rPr>
              <w:t>▲亮度：≥800cd/m²</w:t>
            </w:r>
          </w:p>
          <w:p w14:paraId="77DF1825">
            <w:pPr>
              <w:widowControl/>
              <w:jc w:val="left"/>
              <w:textAlignment w:val="center"/>
              <w:rPr>
                <w:rFonts w:ascii="宋体" w:hAnsi="宋体"/>
                <w:color w:val="auto"/>
                <w:kern w:val="0"/>
                <w:szCs w:val="21"/>
              </w:rPr>
            </w:pPr>
            <w:r>
              <w:rPr>
                <w:rFonts w:hint="eastAsia" w:ascii="宋体" w:hAnsi="宋体"/>
                <w:color w:val="auto"/>
                <w:kern w:val="0"/>
                <w:szCs w:val="21"/>
              </w:rPr>
              <w:t>支持颜色：≥262K</w:t>
            </w:r>
          </w:p>
          <w:p w14:paraId="0F034BEA">
            <w:pPr>
              <w:widowControl/>
              <w:jc w:val="left"/>
              <w:textAlignment w:val="center"/>
              <w:rPr>
                <w:rFonts w:ascii="宋体" w:hAnsi="宋体"/>
                <w:color w:val="auto"/>
                <w:kern w:val="0"/>
                <w:szCs w:val="21"/>
              </w:rPr>
            </w:pPr>
            <w:r>
              <w:rPr>
                <w:rFonts w:hint="eastAsia" w:ascii="宋体" w:hAnsi="宋体"/>
                <w:color w:val="auto"/>
                <w:kern w:val="0"/>
                <w:szCs w:val="21"/>
              </w:rPr>
              <w:t>3. 4G/5G路由参数</w:t>
            </w:r>
          </w:p>
          <w:p w14:paraId="1E43D541">
            <w:pPr>
              <w:widowControl/>
              <w:jc w:val="left"/>
              <w:textAlignment w:val="center"/>
              <w:rPr>
                <w:rFonts w:ascii="宋体" w:hAnsi="宋体"/>
                <w:color w:val="auto"/>
                <w:kern w:val="0"/>
                <w:szCs w:val="21"/>
              </w:rPr>
            </w:pPr>
            <w:r>
              <w:rPr>
                <w:rFonts w:hint="eastAsia" w:ascii="宋体" w:hAnsi="宋体"/>
                <w:color w:val="auto"/>
                <w:kern w:val="0"/>
                <w:szCs w:val="21"/>
              </w:rPr>
              <w:t>信号制式：支持2G、3G、4G、5G</w:t>
            </w:r>
          </w:p>
          <w:p w14:paraId="0A6DD3B5">
            <w:pPr>
              <w:widowControl/>
              <w:jc w:val="left"/>
              <w:textAlignment w:val="center"/>
              <w:rPr>
                <w:rFonts w:ascii="宋体" w:hAnsi="宋体"/>
                <w:color w:val="auto"/>
                <w:kern w:val="0"/>
                <w:szCs w:val="21"/>
              </w:rPr>
            </w:pPr>
            <w:r>
              <w:rPr>
                <w:rFonts w:hint="eastAsia" w:ascii="宋体" w:hAnsi="宋体"/>
                <w:color w:val="auto"/>
                <w:kern w:val="0"/>
                <w:szCs w:val="21"/>
              </w:rPr>
              <w:t>运营商支持：移动、联通、电信</w:t>
            </w:r>
          </w:p>
          <w:p w14:paraId="187CEB9B">
            <w:pPr>
              <w:widowControl/>
              <w:jc w:val="left"/>
              <w:textAlignment w:val="center"/>
              <w:rPr>
                <w:rFonts w:ascii="宋体" w:hAnsi="宋体"/>
                <w:color w:val="auto"/>
                <w:kern w:val="0"/>
                <w:szCs w:val="21"/>
              </w:rPr>
            </w:pPr>
            <w:r>
              <w:rPr>
                <w:rFonts w:hint="eastAsia" w:ascii="宋体" w:hAnsi="宋体"/>
                <w:color w:val="auto"/>
                <w:kern w:val="0"/>
                <w:szCs w:val="21"/>
              </w:rPr>
              <w:t>WiFi功能：支持</w:t>
            </w:r>
          </w:p>
          <w:p w14:paraId="58A034DA">
            <w:pPr>
              <w:widowControl/>
              <w:jc w:val="left"/>
              <w:textAlignment w:val="center"/>
              <w:rPr>
                <w:rFonts w:ascii="宋体" w:hAnsi="宋体"/>
                <w:color w:val="auto"/>
                <w:kern w:val="0"/>
                <w:szCs w:val="21"/>
              </w:rPr>
            </w:pPr>
            <w:r>
              <w:rPr>
                <w:rFonts w:hint="eastAsia" w:ascii="宋体" w:hAnsi="宋体"/>
                <w:color w:val="auto"/>
                <w:kern w:val="0"/>
                <w:szCs w:val="21"/>
              </w:rPr>
              <w:t>4.音频参数</w:t>
            </w:r>
          </w:p>
          <w:p w14:paraId="4A075DC1">
            <w:pPr>
              <w:widowControl/>
              <w:jc w:val="left"/>
              <w:textAlignment w:val="center"/>
              <w:rPr>
                <w:rFonts w:ascii="宋体" w:hAnsi="宋体"/>
                <w:color w:val="auto"/>
                <w:kern w:val="0"/>
                <w:szCs w:val="21"/>
              </w:rPr>
            </w:pPr>
            <w:r>
              <w:rPr>
                <w:rFonts w:hint="eastAsia" w:ascii="宋体" w:hAnsi="宋体"/>
                <w:color w:val="auto"/>
                <w:kern w:val="0"/>
                <w:szCs w:val="21"/>
              </w:rPr>
              <w:t>1）麦克风</w:t>
            </w:r>
          </w:p>
          <w:p w14:paraId="2A99AA99">
            <w:pPr>
              <w:widowControl/>
              <w:jc w:val="left"/>
              <w:textAlignment w:val="center"/>
              <w:rPr>
                <w:rFonts w:ascii="宋体" w:hAnsi="宋体"/>
                <w:color w:val="auto"/>
                <w:kern w:val="0"/>
                <w:szCs w:val="21"/>
              </w:rPr>
            </w:pPr>
            <w:r>
              <w:rPr>
                <w:rFonts w:hint="eastAsia" w:ascii="宋体" w:hAnsi="宋体"/>
                <w:color w:val="auto"/>
                <w:kern w:val="0"/>
                <w:szCs w:val="21"/>
              </w:rPr>
              <w:t>指向特性：全向麦克风</w:t>
            </w:r>
          </w:p>
          <w:p w14:paraId="761C5378">
            <w:pPr>
              <w:widowControl/>
              <w:jc w:val="left"/>
              <w:textAlignment w:val="center"/>
              <w:rPr>
                <w:rFonts w:ascii="宋体" w:hAnsi="宋体"/>
                <w:color w:val="auto"/>
                <w:kern w:val="0"/>
                <w:szCs w:val="21"/>
              </w:rPr>
            </w:pPr>
            <w:r>
              <w:rPr>
                <w:rFonts w:hint="eastAsia" w:ascii="宋体" w:hAnsi="宋体"/>
                <w:color w:val="auto"/>
                <w:kern w:val="0"/>
                <w:szCs w:val="21"/>
              </w:rPr>
              <w:t>降噪功能：支持ENC降噪</w:t>
            </w:r>
          </w:p>
          <w:p w14:paraId="3F0705BE">
            <w:pPr>
              <w:widowControl/>
              <w:jc w:val="left"/>
              <w:textAlignment w:val="center"/>
              <w:rPr>
                <w:rFonts w:ascii="宋体" w:hAnsi="宋体"/>
                <w:color w:val="auto"/>
                <w:kern w:val="0"/>
                <w:szCs w:val="21"/>
              </w:rPr>
            </w:pPr>
            <w:r>
              <w:rPr>
                <w:rFonts w:hint="eastAsia" w:ascii="宋体" w:hAnsi="宋体"/>
                <w:color w:val="auto"/>
                <w:kern w:val="0"/>
                <w:szCs w:val="21"/>
              </w:rPr>
              <w:t>拾音范围：≥5m</w:t>
            </w:r>
          </w:p>
          <w:p w14:paraId="05ACA62B">
            <w:pPr>
              <w:widowControl/>
              <w:jc w:val="left"/>
              <w:textAlignment w:val="center"/>
              <w:rPr>
                <w:rFonts w:ascii="宋体" w:hAnsi="宋体"/>
                <w:color w:val="auto"/>
                <w:kern w:val="0"/>
                <w:szCs w:val="21"/>
              </w:rPr>
            </w:pPr>
            <w:r>
              <w:rPr>
                <w:rFonts w:hint="eastAsia" w:ascii="宋体" w:hAnsi="宋体"/>
                <w:color w:val="auto"/>
                <w:kern w:val="0"/>
                <w:szCs w:val="21"/>
              </w:rPr>
              <w:t>2）喇叭</w:t>
            </w:r>
          </w:p>
          <w:p w14:paraId="4F981363">
            <w:pPr>
              <w:widowControl/>
              <w:jc w:val="left"/>
              <w:textAlignment w:val="center"/>
              <w:rPr>
                <w:rFonts w:ascii="宋体" w:hAnsi="宋体"/>
                <w:color w:val="auto"/>
                <w:kern w:val="0"/>
                <w:szCs w:val="21"/>
              </w:rPr>
            </w:pPr>
            <w:r>
              <w:rPr>
                <w:rFonts w:hint="eastAsia" w:ascii="宋体" w:hAnsi="宋体"/>
                <w:color w:val="auto"/>
                <w:kern w:val="0"/>
                <w:szCs w:val="21"/>
              </w:rPr>
              <w:t>产品参数：</w:t>
            </w:r>
          </w:p>
          <w:p w14:paraId="4BB406FD">
            <w:pPr>
              <w:widowControl/>
              <w:jc w:val="left"/>
              <w:textAlignment w:val="center"/>
              <w:rPr>
                <w:rFonts w:hint="eastAsia" w:ascii="宋体" w:hAnsi="宋体"/>
                <w:color w:val="auto"/>
                <w:kern w:val="0"/>
                <w:szCs w:val="21"/>
              </w:rPr>
            </w:pPr>
            <w:r>
              <w:rPr>
                <w:rFonts w:hint="eastAsia" w:ascii="宋体" w:hAnsi="宋体"/>
                <w:color w:val="auto"/>
                <w:kern w:val="0"/>
                <w:szCs w:val="21"/>
              </w:rPr>
              <w:t>▲功率：≥5W</w:t>
            </w:r>
          </w:p>
          <w:p w14:paraId="51A6E8CC">
            <w:pPr>
              <w:widowControl/>
              <w:jc w:val="left"/>
              <w:textAlignment w:val="center"/>
              <w:rPr>
                <w:rFonts w:ascii="宋体" w:hAnsi="宋体"/>
                <w:color w:val="auto"/>
                <w:kern w:val="0"/>
                <w:szCs w:val="21"/>
              </w:rPr>
            </w:pPr>
            <w:r>
              <w:rPr>
                <w:rFonts w:hint="eastAsia" w:ascii="宋体" w:hAnsi="宋体"/>
                <w:color w:val="auto"/>
                <w:kern w:val="0"/>
                <w:szCs w:val="21"/>
              </w:rPr>
              <w:t>5.电池参数</w:t>
            </w:r>
          </w:p>
          <w:p w14:paraId="38984746">
            <w:pPr>
              <w:widowControl/>
              <w:jc w:val="left"/>
              <w:textAlignment w:val="center"/>
              <w:rPr>
                <w:rFonts w:ascii="宋体" w:hAnsi="宋体"/>
                <w:color w:val="auto"/>
                <w:kern w:val="0"/>
                <w:szCs w:val="21"/>
              </w:rPr>
            </w:pPr>
            <w:r>
              <w:rPr>
                <w:rFonts w:hint="eastAsia" w:ascii="宋体" w:hAnsi="宋体"/>
                <w:color w:val="auto"/>
                <w:kern w:val="0"/>
                <w:szCs w:val="21"/>
              </w:rPr>
              <w:t>电池类型：锂离子电池</w:t>
            </w:r>
          </w:p>
          <w:p w14:paraId="154C64E5">
            <w:pPr>
              <w:widowControl/>
              <w:jc w:val="left"/>
              <w:textAlignment w:val="center"/>
              <w:rPr>
                <w:rFonts w:ascii="宋体" w:hAnsi="宋体"/>
                <w:color w:val="auto"/>
                <w:kern w:val="0"/>
                <w:szCs w:val="21"/>
              </w:rPr>
            </w:pPr>
            <w:r>
              <w:rPr>
                <w:rFonts w:hint="eastAsia" w:ascii="宋体" w:hAnsi="宋体"/>
                <w:color w:val="auto"/>
                <w:kern w:val="0"/>
                <w:szCs w:val="21"/>
              </w:rPr>
              <w:t>电池标准电压：DC 12V</w:t>
            </w:r>
          </w:p>
          <w:p w14:paraId="46F71EC5">
            <w:pPr>
              <w:widowControl/>
              <w:jc w:val="left"/>
              <w:textAlignment w:val="center"/>
              <w:rPr>
                <w:rFonts w:ascii="宋体" w:hAnsi="宋体"/>
                <w:color w:val="auto"/>
                <w:kern w:val="0"/>
                <w:szCs w:val="21"/>
              </w:rPr>
            </w:pPr>
            <w:r>
              <w:rPr>
                <w:rFonts w:hint="eastAsia" w:ascii="宋体" w:hAnsi="宋体"/>
                <w:color w:val="auto"/>
                <w:kern w:val="0"/>
                <w:szCs w:val="21"/>
              </w:rPr>
              <w:t>电池容量：≥100Wh</w:t>
            </w:r>
          </w:p>
        </w:tc>
        <w:tc>
          <w:tcPr>
            <w:tcW w:w="687" w:type="dxa"/>
            <w:tcBorders>
              <w:top w:val="nil"/>
              <w:left w:val="nil"/>
              <w:bottom w:val="single" w:color="000000" w:sz="8" w:space="0"/>
              <w:right w:val="single" w:color="000000" w:sz="8" w:space="0"/>
            </w:tcBorders>
            <w:shd w:val="clear" w:color="auto" w:fill="auto"/>
            <w:vAlign w:val="center"/>
          </w:tcPr>
          <w:p w14:paraId="5CB1C324">
            <w:pPr>
              <w:widowControl/>
              <w:jc w:val="center"/>
              <w:textAlignment w:val="center"/>
              <w:rPr>
                <w:rFonts w:ascii="宋体" w:hAnsi="宋体"/>
                <w:color w:val="auto"/>
                <w:szCs w:val="21"/>
              </w:rPr>
            </w:pPr>
            <w:r>
              <w:rPr>
                <w:rFonts w:hint="eastAsia" w:ascii="宋体" w:hAnsi="宋体"/>
                <w:color w:val="auto"/>
                <w:kern w:val="0"/>
                <w:szCs w:val="21"/>
              </w:rPr>
              <w:t>3</w:t>
            </w:r>
          </w:p>
        </w:tc>
        <w:tc>
          <w:tcPr>
            <w:tcW w:w="627" w:type="dxa"/>
            <w:tcBorders>
              <w:top w:val="nil"/>
              <w:left w:val="nil"/>
              <w:bottom w:val="single" w:color="000000" w:sz="8" w:space="0"/>
              <w:right w:val="single" w:color="000000" w:sz="8" w:space="0"/>
            </w:tcBorders>
            <w:shd w:val="clear" w:color="auto" w:fill="auto"/>
            <w:vAlign w:val="center"/>
          </w:tcPr>
          <w:p w14:paraId="4F5E6148">
            <w:pPr>
              <w:widowControl/>
              <w:jc w:val="center"/>
              <w:textAlignment w:val="center"/>
              <w:rPr>
                <w:rFonts w:ascii="宋体" w:hAnsi="宋体"/>
                <w:color w:val="auto"/>
                <w:szCs w:val="21"/>
              </w:rPr>
            </w:pPr>
            <w:r>
              <w:rPr>
                <w:rFonts w:hint="eastAsia" w:ascii="宋体" w:hAnsi="宋体"/>
                <w:color w:val="auto"/>
                <w:kern w:val="0"/>
                <w:szCs w:val="21"/>
              </w:rPr>
              <w:t>台</w:t>
            </w:r>
          </w:p>
        </w:tc>
      </w:tr>
      <w:tr w14:paraId="46C6C2E5">
        <w:tblPrEx>
          <w:tblCellMar>
            <w:top w:w="0" w:type="dxa"/>
            <w:left w:w="108" w:type="dxa"/>
            <w:bottom w:w="0" w:type="dxa"/>
            <w:right w:w="108" w:type="dxa"/>
          </w:tblCellMar>
        </w:tblPrEx>
        <w:trPr>
          <w:trHeight w:val="2878"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430CAF3A">
            <w:pPr>
              <w:widowControl/>
              <w:jc w:val="center"/>
              <w:textAlignment w:val="center"/>
              <w:rPr>
                <w:rFonts w:ascii="宋体" w:hAnsi="宋体"/>
                <w:color w:val="auto"/>
                <w:szCs w:val="21"/>
              </w:rPr>
            </w:pPr>
            <w:r>
              <w:rPr>
                <w:rFonts w:hint="eastAsia" w:ascii="宋体" w:hAnsi="宋体"/>
                <w:color w:val="auto"/>
                <w:kern w:val="0"/>
                <w:szCs w:val="21"/>
              </w:rPr>
              <w:t>7</w:t>
            </w:r>
          </w:p>
        </w:tc>
        <w:tc>
          <w:tcPr>
            <w:tcW w:w="563"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480C56C">
            <w:pPr>
              <w:widowControl/>
              <w:jc w:val="center"/>
              <w:textAlignment w:val="center"/>
              <w:rPr>
                <w:rFonts w:ascii="宋体" w:hAnsi="宋体"/>
                <w:color w:val="auto"/>
                <w:szCs w:val="21"/>
              </w:rPr>
            </w:pPr>
            <w:r>
              <w:rPr>
                <w:rFonts w:hint="eastAsia" w:ascii="宋体" w:hAnsi="宋体"/>
                <w:color w:val="auto"/>
                <w:kern w:val="0"/>
                <w:szCs w:val="21"/>
              </w:rPr>
              <w:t>融合通信系统</w:t>
            </w:r>
          </w:p>
        </w:tc>
        <w:tc>
          <w:tcPr>
            <w:tcW w:w="724" w:type="dxa"/>
            <w:tcBorders>
              <w:top w:val="nil"/>
              <w:left w:val="nil"/>
              <w:bottom w:val="single" w:color="000000" w:sz="8" w:space="0"/>
              <w:right w:val="single" w:color="000000" w:sz="8" w:space="0"/>
            </w:tcBorders>
            <w:shd w:val="clear" w:color="auto" w:fill="auto"/>
            <w:vAlign w:val="center"/>
          </w:tcPr>
          <w:p w14:paraId="14401502">
            <w:pPr>
              <w:widowControl/>
              <w:jc w:val="left"/>
              <w:textAlignment w:val="center"/>
              <w:rPr>
                <w:rFonts w:ascii="宋体" w:hAnsi="宋体"/>
                <w:color w:val="auto"/>
                <w:szCs w:val="21"/>
              </w:rPr>
            </w:pPr>
            <w:r>
              <w:rPr>
                <w:rFonts w:hint="eastAsia" w:ascii="宋体" w:hAnsi="宋体"/>
                <w:color w:val="auto"/>
                <w:kern w:val="0"/>
                <w:szCs w:val="21"/>
              </w:rPr>
              <w:t>语音调度主机</w:t>
            </w:r>
          </w:p>
        </w:tc>
        <w:tc>
          <w:tcPr>
            <w:tcW w:w="5782" w:type="dxa"/>
            <w:tcBorders>
              <w:top w:val="nil"/>
              <w:left w:val="nil"/>
              <w:bottom w:val="single" w:color="000000" w:sz="8" w:space="0"/>
              <w:right w:val="single" w:color="000000" w:sz="8" w:space="0"/>
            </w:tcBorders>
            <w:shd w:val="clear" w:color="auto" w:fill="auto"/>
            <w:vAlign w:val="center"/>
          </w:tcPr>
          <w:p w14:paraId="7BD72355">
            <w:pPr>
              <w:widowControl/>
              <w:jc w:val="left"/>
              <w:textAlignment w:val="center"/>
              <w:rPr>
                <w:rFonts w:ascii="宋体" w:hAnsi="宋体"/>
                <w:color w:val="auto"/>
                <w:kern w:val="0"/>
                <w:szCs w:val="21"/>
              </w:rPr>
            </w:pPr>
            <w:r>
              <w:rPr>
                <w:rFonts w:hint="eastAsia" w:ascii="宋体" w:hAnsi="宋体"/>
                <w:color w:val="auto"/>
                <w:kern w:val="0"/>
                <w:szCs w:val="21"/>
              </w:rPr>
              <w:t>2U标准机架设计机箱，≥8个业务插槽。</w:t>
            </w:r>
          </w:p>
          <w:p w14:paraId="6FF9CBDF">
            <w:pPr>
              <w:widowControl/>
              <w:jc w:val="left"/>
              <w:textAlignment w:val="center"/>
              <w:rPr>
                <w:rFonts w:ascii="宋体" w:hAnsi="宋体"/>
                <w:color w:val="auto"/>
                <w:kern w:val="0"/>
                <w:szCs w:val="21"/>
              </w:rPr>
            </w:pPr>
            <w:r>
              <w:rPr>
                <w:rFonts w:hint="eastAsia" w:ascii="宋体" w:hAnsi="宋体"/>
                <w:color w:val="auto"/>
                <w:kern w:val="0"/>
                <w:szCs w:val="21"/>
              </w:rPr>
              <w:t xml:space="preserve">业务插槽：共计8个业务插槽，支持插入数字中继、模拟话机接入、无线音频、集群等板卡混合插入。 </w:t>
            </w:r>
          </w:p>
          <w:p w14:paraId="3DB45B94">
            <w:pPr>
              <w:widowControl/>
              <w:jc w:val="left"/>
              <w:textAlignment w:val="center"/>
              <w:rPr>
                <w:rFonts w:ascii="宋体" w:hAnsi="宋体"/>
                <w:color w:val="auto"/>
                <w:kern w:val="0"/>
                <w:szCs w:val="21"/>
              </w:rPr>
            </w:pPr>
            <w:r>
              <w:rPr>
                <w:rFonts w:hint="eastAsia" w:ascii="宋体" w:hAnsi="宋体"/>
                <w:color w:val="auto"/>
                <w:kern w:val="0"/>
                <w:szCs w:val="21"/>
              </w:rPr>
              <w:t>通过各个业务板卡可实现PSTN公网、企业交换机、音频调音台、无线集群车载台等系统设备的综合接入，从而实现各系统之间音频互联互通。</w:t>
            </w:r>
          </w:p>
          <w:p w14:paraId="7A73818D">
            <w:pPr>
              <w:widowControl/>
              <w:jc w:val="left"/>
              <w:textAlignment w:val="center"/>
              <w:rPr>
                <w:rFonts w:ascii="宋体" w:hAnsi="宋体"/>
                <w:color w:val="auto"/>
                <w:kern w:val="0"/>
                <w:szCs w:val="21"/>
              </w:rPr>
            </w:pPr>
            <w:r>
              <w:rPr>
                <w:rFonts w:hint="eastAsia" w:ascii="宋体" w:hAnsi="宋体"/>
                <w:color w:val="auto"/>
                <w:kern w:val="0"/>
                <w:szCs w:val="21"/>
              </w:rPr>
              <w:t>网口类型：支持RJ45接口为10/100/1000M自适应以太网接口</w:t>
            </w:r>
          </w:p>
          <w:p w14:paraId="1416348A">
            <w:pPr>
              <w:widowControl/>
              <w:jc w:val="left"/>
              <w:textAlignment w:val="center"/>
              <w:rPr>
                <w:rFonts w:ascii="宋体" w:hAnsi="宋体"/>
                <w:color w:val="auto"/>
                <w:kern w:val="0"/>
                <w:szCs w:val="21"/>
              </w:rPr>
            </w:pPr>
            <w:r>
              <w:rPr>
                <w:rFonts w:hint="eastAsia" w:ascii="宋体" w:hAnsi="宋体"/>
                <w:color w:val="auto"/>
                <w:kern w:val="0"/>
                <w:szCs w:val="21"/>
              </w:rPr>
              <w:t>电源适应性：电源电压正常工作范围在AC100V~AC220V内</w:t>
            </w:r>
          </w:p>
          <w:p w14:paraId="6C86C093">
            <w:pPr>
              <w:widowControl/>
              <w:jc w:val="left"/>
              <w:textAlignment w:val="center"/>
              <w:rPr>
                <w:rFonts w:hint="eastAsia"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主机尺寸：主机尺寸为19英寸，高度为2U</w:t>
            </w:r>
          </w:p>
          <w:p w14:paraId="2BA41739">
            <w:pPr>
              <w:widowControl/>
              <w:jc w:val="left"/>
              <w:textAlignment w:val="center"/>
              <w:rPr>
                <w:rFonts w:ascii="宋体" w:hAnsi="宋体"/>
                <w:color w:val="auto"/>
                <w:kern w:val="0"/>
                <w:szCs w:val="21"/>
              </w:rPr>
            </w:pPr>
            <w:r>
              <w:rPr>
                <w:rFonts w:hint="eastAsia" w:ascii="宋体" w:hAnsi="宋体"/>
                <w:color w:val="auto"/>
                <w:kern w:val="0"/>
                <w:szCs w:val="21"/>
              </w:rPr>
              <w:t>子板热插拔：子板支持热插拔，可在主机正常工作状态下更换子板插槽</w:t>
            </w:r>
          </w:p>
          <w:p w14:paraId="5EAD7AD5">
            <w:pPr>
              <w:widowControl/>
              <w:jc w:val="left"/>
              <w:textAlignment w:val="center"/>
              <w:rPr>
                <w:rFonts w:ascii="宋体" w:hAnsi="宋体"/>
                <w:color w:val="auto"/>
                <w:kern w:val="0"/>
                <w:szCs w:val="21"/>
              </w:rPr>
            </w:pPr>
            <w:r>
              <w:rPr>
                <w:rFonts w:hint="eastAsia" w:ascii="宋体" w:hAnsi="宋体"/>
                <w:color w:val="auto"/>
                <w:kern w:val="0"/>
                <w:szCs w:val="21"/>
              </w:rPr>
              <w:t xml:space="preserve">主机系统：主机采用嵌入式Linux 系统，内置≥4核心CPU </w:t>
            </w:r>
          </w:p>
        </w:tc>
        <w:tc>
          <w:tcPr>
            <w:tcW w:w="687" w:type="dxa"/>
            <w:tcBorders>
              <w:top w:val="nil"/>
              <w:left w:val="nil"/>
              <w:bottom w:val="single" w:color="000000" w:sz="8" w:space="0"/>
              <w:right w:val="single" w:color="000000" w:sz="8" w:space="0"/>
            </w:tcBorders>
            <w:shd w:val="clear" w:color="auto" w:fill="auto"/>
            <w:vAlign w:val="center"/>
          </w:tcPr>
          <w:p w14:paraId="68A31654">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2AABCAE4">
            <w:pPr>
              <w:widowControl/>
              <w:jc w:val="center"/>
              <w:textAlignment w:val="center"/>
              <w:rPr>
                <w:rFonts w:ascii="宋体" w:hAnsi="宋体"/>
                <w:color w:val="auto"/>
                <w:szCs w:val="21"/>
              </w:rPr>
            </w:pPr>
            <w:r>
              <w:rPr>
                <w:rFonts w:hint="eastAsia" w:ascii="宋体" w:hAnsi="宋体"/>
                <w:color w:val="auto"/>
                <w:kern w:val="0"/>
                <w:szCs w:val="21"/>
              </w:rPr>
              <w:t>台</w:t>
            </w:r>
          </w:p>
        </w:tc>
      </w:tr>
      <w:tr w14:paraId="53C98697">
        <w:tblPrEx>
          <w:tblCellMar>
            <w:top w:w="0" w:type="dxa"/>
            <w:left w:w="108" w:type="dxa"/>
            <w:bottom w:w="0" w:type="dxa"/>
            <w:right w:w="108" w:type="dxa"/>
          </w:tblCellMar>
        </w:tblPrEx>
        <w:trPr>
          <w:trHeight w:val="3195"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5A62AE56">
            <w:pPr>
              <w:widowControl/>
              <w:jc w:val="center"/>
              <w:textAlignment w:val="center"/>
              <w:rPr>
                <w:rFonts w:ascii="宋体" w:hAnsi="宋体"/>
                <w:color w:val="auto"/>
                <w:szCs w:val="21"/>
              </w:rPr>
            </w:pPr>
            <w:r>
              <w:rPr>
                <w:rFonts w:hint="eastAsia" w:ascii="宋体" w:hAnsi="宋体"/>
                <w:color w:val="auto"/>
                <w:kern w:val="0"/>
                <w:szCs w:val="21"/>
              </w:rPr>
              <w:t>8</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2B6A3B">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157AA518">
            <w:pPr>
              <w:widowControl/>
              <w:jc w:val="left"/>
              <w:textAlignment w:val="center"/>
              <w:rPr>
                <w:rFonts w:ascii="宋体" w:hAnsi="宋体"/>
                <w:color w:val="auto"/>
                <w:szCs w:val="21"/>
              </w:rPr>
            </w:pPr>
            <w:r>
              <w:rPr>
                <w:rFonts w:hint="eastAsia" w:ascii="宋体" w:hAnsi="宋体"/>
                <w:color w:val="auto"/>
                <w:kern w:val="0"/>
                <w:szCs w:val="21"/>
              </w:rPr>
              <w:t>数字中继网关</w:t>
            </w:r>
          </w:p>
        </w:tc>
        <w:tc>
          <w:tcPr>
            <w:tcW w:w="5782" w:type="dxa"/>
            <w:tcBorders>
              <w:top w:val="nil"/>
              <w:left w:val="nil"/>
              <w:bottom w:val="single" w:color="000000" w:sz="8" w:space="0"/>
              <w:right w:val="single" w:color="000000" w:sz="8" w:space="0"/>
            </w:tcBorders>
            <w:shd w:val="clear" w:color="auto" w:fill="auto"/>
            <w:vAlign w:val="center"/>
          </w:tcPr>
          <w:p w14:paraId="6A818952">
            <w:pPr>
              <w:widowControl/>
              <w:jc w:val="left"/>
              <w:textAlignment w:val="center"/>
              <w:rPr>
                <w:rFonts w:ascii="宋体" w:hAnsi="宋体"/>
                <w:color w:val="auto"/>
                <w:kern w:val="0"/>
                <w:szCs w:val="21"/>
              </w:rPr>
            </w:pPr>
            <w:r>
              <w:rPr>
                <w:rFonts w:hint="eastAsia" w:ascii="宋体" w:hAnsi="宋体"/>
                <w:color w:val="auto"/>
                <w:kern w:val="0"/>
                <w:szCs w:val="21"/>
              </w:rPr>
              <w:t>数字子板容量：≥1个E1/T1数字中继线路接入</w:t>
            </w:r>
          </w:p>
          <w:p w14:paraId="12E28EDB">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数字子板RTP 编码格式设置：在IE浏览器下，兼容G711A、G711U、G729、G722、G723、iLBC、AMR、 SILK (16K)、 SILK (8K)、 OPUS (16K）和 OPUS (8K）设置选项；</w:t>
            </w:r>
          </w:p>
          <w:p w14:paraId="0CFEB3E5">
            <w:pPr>
              <w:widowControl/>
              <w:jc w:val="left"/>
              <w:textAlignment w:val="center"/>
              <w:rPr>
                <w:rFonts w:ascii="宋体" w:hAnsi="宋体"/>
                <w:color w:val="auto"/>
                <w:kern w:val="0"/>
                <w:szCs w:val="21"/>
              </w:rPr>
            </w:pPr>
            <w:r>
              <w:rPr>
                <w:rFonts w:hint="eastAsia" w:ascii="宋体" w:hAnsi="宋体"/>
                <w:color w:val="auto"/>
                <w:kern w:val="0"/>
                <w:szCs w:val="21"/>
              </w:rPr>
              <w:t>数字子板发送DTMF方式设置：在IE浏览器下，兼容 RFC2833、信令和带内设置选项；</w:t>
            </w:r>
          </w:p>
          <w:p w14:paraId="532486CA">
            <w:pPr>
              <w:widowControl/>
              <w:jc w:val="left"/>
              <w:textAlignment w:val="center"/>
              <w:rPr>
                <w:rFonts w:ascii="宋体" w:hAnsi="宋体"/>
                <w:color w:val="auto"/>
                <w:kern w:val="0"/>
                <w:szCs w:val="21"/>
              </w:rPr>
            </w:pPr>
            <w:r>
              <w:rPr>
                <w:rFonts w:hint="eastAsia" w:ascii="宋体" w:hAnsi="宋体"/>
                <w:color w:val="auto"/>
                <w:kern w:val="0"/>
                <w:szCs w:val="21"/>
              </w:rPr>
              <w:t>数字子板信令方式设置：在IE浏览器下，兼容 ISDN 用户侧、ISDN 网络侧、1号（SS1/R2)信令，7号信令﹣TUP和7号信令 设置选项；</w:t>
            </w:r>
          </w:p>
          <w:p w14:paraId="32EDB3F3">
            <w:pPr>
              <w:widowControl/>
              <w:jc w:val="left"/>
              <w:textAlignment w:val="center"/>
              <w:rPr>
                <w:rFonts w:ascii="宋体" w:hAnsi="宋体"/>
                <w:color w:val="auto"/>
                <w:szCs w:val="21"/>
              </w:rPr>
            </w:pPr>
            <w:r>
              <w:rPr>
                <w:rFonts w:hint="eastAsia" w:ascii="宋体" w:hAnsi="宋体"/>
                <w:color w:val="auto"/>
                <w:kern w:val="0"/>
                <w:szCs w:val="21"/>
              </w:rPr>
              <w:t>数字子板进程重启功能：关闭后台通话服务进程后可自动重启通话服务进程</w:t>
            </w:r>
          </w:p>
        </w:tc>
        <w:tc>
          <w:tcPr>
            <w:tcW w:w="687" w:type="dxa"/>
            <w:tcBorders>
              <w:top w:val="nil"/>
              <w:left w:val="nil"/>
              <w:bottom w:val="single" w:color="000000" w:sz="8" w:space="0"/>
              <w:right w:val="single" w:color="000000" w:sz="8" w:space="0"/>
            </w:tcBorders>
            <w:shd w:val="clear" w:color="auto" w:fill="auto"/>
            <w:vAlign w:val="center"/>
          </w:tcPr>
          <w:p w14:paraId="1B4C97F4">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09071AC6">
            <w:pPr>
              <w:widowControl/>
              <w:jc w:val="center"/>
              <w:textAlignment w:val="center"/>
              <w:rPr>
                <w:rFonts w:ascii="宋体" w:hAnsi="宋体"/>
                <w:color w:val="auto"/>
                <w:szCs w:val="21"/>
              </w:rPr>
            </w:pPr>
            <w:r>
              <w:rPr>
                <w:rFonts w:hint="eastAsia" w:ascii="宋体" w:hAnsi="宋体"/>
                <w:color w:val="auto"/>
                <w:kern w:val="0"/>
                <w:szCs w:val="21"/>
              </w:rPr>
              <w:t>台</w:t>
            </w:r>
          </w:p>
        </w:tc>
      </w:tr>
      <w:tr w14:paraId="5224BD66">
        <w:tblPrEx>
          <w:tblCellMar>
            <w:top w:w="0" w:type="dxa"/>
            <w:left w:w="108" w:type="dxa"/>
            <w:bottom w:w="0" w:type="dxa"/>
            <w:right w:w="108" w:type="dxa"/>
          </w:tblCellMar>
        </w:tblPrEx>
        <w:trPr>
          <w:trHeight w:val="2243"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0F80F994">
            <w:pPr>
              <w:widowControl/>
              <w:jc w:val="center"/>
              <w:textAlignment w:val="center"/>
              <w:rPr>
                <w:rFonts w:ascii="宋体" w:hAnsi="宋体"/>
                <w:color w:val="auto"/>
                <w:szCs w:val="21"/>
              </w:rPr>
            </w:pPr>
            <w:r>
              <w:rPr>
                <w:rFonts w:hint="eastAsia" w:ascii="宋体" w:hAnsi="宋体"/>
                <w:color w:val="auto"/>
                <w:kern w:val="0"/>
                <w:szCs w:val="21"/>
              </w:rPr>
              <w:t>9</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5133E4">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0EFDCE1A">
            <w:pPr>
              <w:widowControl/>
              <w:jc w:val="left"/>
              <w:textAlignment w:val="center"/>
              <w:rPr>
                <w:rFonts w:ascii="宋体" w:hAnsi="宋体"/>
                <w:color w:val="auto"/>
                <w:szCs w:val="21"/>
              </w:rPr>
            </w:pPr>
            <w:r>
              <w:rPr>
                <w:rFonts w:hint="eastAsia" w:ascii="宋体" w:hAnsi="宋体"/>
                <w:color w:val="auto"/>
                <w:kern w:val="0"/>
                <w:szCs w:val="21"/>
              </w:rPr>
              <w:t>音频接入网关</w:t>
            </w:r>
          </w:p>
        </w:tc>
        <w:tc>
          <w:tcPr>
            <w:tcW w:w="5782" w:type="dxa"/>
            <w:tcBorders>
              <w:top w:val="nil"/>
              <w:left w:val="nil"/>
              <w:bottom w:val="single" w:color="000000" w:sz="8" w:space="0"/>
              <w:right w:val="single" w:color="000000" w:sz="8" w:space="0"/>
            </w:tcBorders>
            <w:shd w:val="clear" w:color="auto" w:fill="auto"/>
            <w:vAlign w:val="center"/>
          </w:tcPr>
          <w:p w14:paraId="3402587E">
            <w:pPr>
              <w:widowControl/>
              <w:jc w:val="left"/>
              <w:textAlignment w:val="center"/>
              <w:rPr>
                <w:rFonts w:ascii="宋体" w:hAnsi="宋体"/>
                <w:color w:val="auto"/>
                <w:kern w:val="0"/>
                <w:szCs w:val="21"/>
              </w:rPr>
            </w:pPr>
            <w:r>
              <w:rPr>
                <w:rFonts w:hint="eastAsia" w:ascii="宋体" w:hAnsi="宋体"/>
                <w:color w:val="auto"/>
                <w:kern w:val="0"/>
                <w:szCs w:val="21"/>
              </w:rPr>
              <w:t>支持与调音台设备对接，实现IP电话、手机、模拟话机等终端与会议室内话筒、音箱终端的互联互通；</w:t>
            </w:r>
          </w:p>
          <w:p w14:paraId="60FD1101">
            <w:pPr>
              <w:widowControl/>
              <w:jc w:val="left"/>
              <w:textAlignment w:val="center"/>
              <w:rPr>
                <w:rFonts w:ascii="宋体" w:hAnsi="宋体"/>
                <w:color w:val="auto"/>
                <w:kern w:val="0"/>
                <w:szCs w:val="21"/>
              </w:rPr>
            </w:pPr>
            <w:r>
              <w:rPr>
                <w:rFonts w:hint="eastAsia" w:ascii="宋体" w:hAnsi="宋体"/>
                <w:color w:val="auto"/>
                <w:kern w:val="0"/>
                <w:szCs w:val="21"/>
              </w:rPr>
              <w:t>支持电话系统呼叫通过传统广播系统的音箱、功放进行扩声；</w:t>
            </w:r>
          </w:p>
          <w:p w14:paraId="4BA37440">
            <w:pPr>
              <w:widowControl/>
              <w:jc w:val="left"/>
              <w:textAlignment w:val="center"/>
              <w:rPr>
                <w:rFonts w:ascii="宋体" w:hAnsi="宋体"/>
                <w:color w:val="auto"/>
                <w:kern w:val="0"/>
                <w:szCs w:val="21"/>
              </w:rPr>
            </w:pPr>
            <w:r>
              <w:rPr>
                <w:rFonts w:hint="eastAsia" w:ascii="宋体" w:hAnsi="宋体"/>
                <w:color w:val="auto"/>
                <w:kern w:val="0"/>
                <w:szCs w:val="21"/>
              </w:rPr>
              <w:t>支持麦克风声音通过调音台输入到网关传输扩声到远端电话系统中</w:t>
            </w:r>
          </w:p>
          <w:p w14:paraId="46D83591">
            <w:pPr>
              <w:widowControl/>
              <w:jc w:val="left"/>
              <w:textAlignment w:val="center"/>
              <w:rPr>
                <w:rFonts w:ascii="宋体" w:hAnsi="宋体"/>
                <w:color w:val="auto"/>
                <w:kern w:val="0"/>
                <w:szCs w:val="21"/>
              </w:rPr>
            </w:pPr>
            <w:r>
              <w:rPr>
                <w:rFonts w:hint="eastAsia" w:ascii="宋体" w:hAnsi="宋体"/>
                <w:color w:val="auto"/>
                <w:kern w:val="0"/>
                <w:szCs w:val="21"/>
              </w:rPr>
              <w:t>音频子板容量：单块子板支持4路音频输入和音频输出信号接入</w:t>
            </w:r>
          </w:p>
          <w:p w14:paraId="422D1BCA">
            <w:pPr>
              <w:widowControl/>
              <w:jc w:val="left"/>
              <w:textAlignment w:val="center"/>
              <w:rPr>
                <w:rFonts w:ascii="宋体" w:hAnsi="宋体"/>
                <w:color w:val="auto"/>
                <w:szCs w:val="21"/>
              </w:rPr>
            </w:pPr>
            <w:r>
              <w:rPr>
                <w:rFonts w:hint="eastAsia" w:ascii="宋体" w:hAnsi="宋体" w:eastAsia="宋体" w:cs="宋体"/>
                <w:color w:val="auto"/>
                <w:sz w:val="21"/>
                <w:szCs w:val="21"/>
              </w:rPr>
              <w:t>▲</w:t>
            </w:r>
            <w:r>
              <w:rPr>
                <w:rFonts w:hint="eastAsia" w:ascii="宋体" w:hAnsi="宋体"/>
                <w:color w:val="auto"/>
                <w:kern w:val="0"/>
                <w:szCs w:val="21"/>
              </w:rPr>
              <w:t>音频子板RTP编码格式设置：在IE浏览器下，兼容G711A、G711U和G729设置选项</w:t>
            </w:r>
          </w:p>
        </w:tc>
        <w:tc>
          <w:tcPr>
            <w:tcW w:w="687" w:type="dxa"/>
            <w:tcBorders>
              <w:top w:val="nil"/>
              <w:left w:val="nil"/>
              <w:bottom w:val="single" w:color="000000" w:sz="8" w:space="0"/>
              <w:right w:val="single" w:color="000000" w:sz="8" w:space="0"/>
            </w:tcBorders>
            <w:shd w:val="clear" w:color="auto" w:fill="auto"/>
            <w:vAlign w:val="center"/>
          </w:tcPr>
          <w:p w14:paraId="28806CBC">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04EB1F71">
            <w:pPr>
              <w:widowControl/>
              <w:jc w:val="center"/>
              <w:textAlignment w:val="center"/>
              <w:rPr>
                <w:rFonts w:ascii="宋体" w:hAnsi="宋体"/>
                <w:color w:val="auto"/>
                <w:szCs w:val="21"/>
              </w:rPr>
            </w:pPr>
            <w:r>
              <w:rPr>
                <w:rFonts w:hint="eastAsia" w:ascii="宋体" w:hAnsi="宋体"/>
                <w:color w:val="auto"/>
                <w:kern w:val="0"/>
                <w:szCs w:val="21"/>
              </w:rPr>
              <w:t>台</w:t>
            </w:r>
          </w:p>
        </w:tc>
      </w:tr>
      <w:tr w14:paraId="3970AE4B">
        <w:tblPrEx>
          <w:tblCellMar>
            <w:top w:w="0" w:type="dxa"/>
            <w:left w:w="108" w:type="dxa"/>
            <w:bottom w:w="0" w:type="dxa"/>
            <w:right w:w="108" w:type="dxa"/>
          </w:tblCellMar>
        </w:tblPrEx>
        <w:trPr>
          <w:trHeight w:val="2560"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32AABCBB">
            <w:pPr>
              <w:widowControl/>
              <w:jc w:val="center"/>
              <w:textAlignment w:val="center"/>
              <w:rPr>
                <w:rFonts w:ascii="宋体" w:hAnsi="宋体"/>
                <w:color w:val="auto"/>
                <w:szCs w:val="21"/>
              </w:rPr>
            </w:pPr>
            <w:r>
              <w:rPr>
                <w:rFonts w:hint="eastAsia" w:ascii="宋体" w:hAnsi="宋体"/>
                <w:color w:val="auto"/>
                <w:kern w:val="0"/>
                <w:szCs w:val="21"/>
              </w:rPr>
              <w:t>10</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1A331C">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2BCB83B2">
            <w:pPr>
              <w:widowControl/>
              <w:jc w:val="left"/>
              <w:textAlignment w:val="center"/>
              <w:rPr>
                <w:rFonts w:ascii="宋体" w:hAnsi="宋体"/>
                <w:color w:val="auto"/>
                <w:szCs w:val="21"/>
              </w:rPr>
            </w:pPr>
            <w:r>
              <w:rPr>
                <w:rFonts w:hint="eastAsia" w:ascii="宋体" w:hAnsi="宋体"/>
                <w:color w:val="auto"/>
                <w:kern w:val="0"/>
                <w:szCs w:val="21"/>
              </w:rPr>
              <w:t>无线接入网关</w:t>
            </w:r>
          </w:p>
        </w:tc>
        <w:tc>
          <w:tcPr>
            <w:tcW w:w="5782" w:type="dxa"/>
            <w:tcBorders>
              <w:top w:val="nil"/>
              <w:left w:val="nil"/>
              <w:bottom w:val="single" w:color="000000" w:sz="8" w:space="0"/>
              <w:right w:val="single" w:color="000000" w:sz="8" w:space="0"/>
            </w:tcBorders>
            <w:shd w:val="clear" w:color="auto" w:fill="auto"/>
            <w:vAlign w:val="center"/>
          </w:tcPr>
          <w:p w14:paraId="77C1E6B9">
            <w:pPr>
              <w:widowControl/>
              <w:jc w:val="left"/>
              <w:textAlignment w:val="center"/>
              <w:rPr>
                <w:rFonts w:ascii="宋体" w:hAnsi="宋体"/>
                <w:color w:val="auto"/>
                <w:kern w:val="0"/>
                <w:szCs w:val="21"/>
              </w:rPr>
            </w:pPr>
            <w:r>
              <w:rPr>
                <w:rFonts w:hint="eastAsia" w:ascii="宋体" w:hAnsi="宋体"/>
                <w:color w:val="auto"/>
                <w:kern w:val="0"/>
                <w:szCs w:val="21"/>
              </w:rPr>
              <w:t>支持不低于4路无线集群接入，实现与无线集群通信和网络通信的双向语音、PTT等信令交互</w:t>
            </w:r>
          </w:p>
          <w:p w14:paraId="01C3F51B">
            <w:pPr>
              <w:widowControl/>
              <w:jc w:val="left"/>
              <w:textAlignment w:val="center"/>
              <w:rPr>
                <w:rFonts w:ascii="宋体" w:hAnsi="宋体"/>
                <w:color w:val="auto"/>
                <w:kern w:val="0"/>
                <w:szCs w:val="21"/>
              </w:rPr>
            </w:pPr>
            <w:r>
              <w:rPr>
                <w:rFonts w:hint="eastAsia" w:ascii="宋体" w:hAnsi="宋体"/>
                <w:color w:val="auto"/>
                <w:kern w:val="0"/>
                <w:szCs w:val="21"/>
              </w:rPr>
              <w:t>单板支持4路RJ45接口EM中继接入</w:t>
            </w:r>
          </w:p>
          <w:p w14:paraId="160EE01A">
            <w:pPr>
              <w:widowControl/>
              <w:jc w:val="left"/>
              <w:textAlignment w:val="center"/>
              <w:rPr>
                <w:rFonts w:ascii="宋体" w:hAnsi="宋体"/>
                <w:color w:val="auto"/>
                <w:kern w:val="0"/>
                <w:szCs w:val="21"/>
              </w:rPr>
            </w:pPr>
            <w:r>
              <w:rPr>
                <w:rFonts w:hint="eastAsia" w:ascii="宋体" w:hAnsi="宋体"/>
                <w:color w:val="auto"/>
                <w:kern w:val="0"/>
                <w:szCs w:val="21"/>
              </w:rPr>
              <w:t>G711A、G711U、G729、G723、AMR、iLBC等</w:t>
            </w:r>
          </w:p>
          <w:p w14:paraId="53C23080">
            <w:pPr>
              <w:widowControl/>
              <w:jc w:val="left"/>
              <w:textAlignment w:val="center"/>
              <w:rPr>
                <w:rFonts w:ascii="宋体" w:hAnsi="宋体"/>
                <w:color w:val="auto"/>
                <w:kern w:val="0"/>
                <w:szCs w:val="21"/>
              </w:rPr>
            </w:pPr>
            <w:r>
              <w:rPr>
                <w:rFonts w:hint="eastAsia" w:ascii="宋体" w:hAnsi="宋体"/>
                <w:color w:val="auto"/>
                <w:kern w:val="0"/>
                <w:szCs w:val="21"/>
              </w:rPr>
              <w:t>集成子板容量：单块子板支持4路RJ45网线接入</w:t>
            </w:r>
          </w:p>
          <w:p w14:paraId="0A3719AB">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集成子板RTP编码格式设置：在IE浏览器下，具有G711A、G711U和G729设置选项</w:t>
            </w:r>
          </w:p>
          <w:p w14:paraId="5BB1247F">
            <w:pPr>
              <w:widowControl/>
              <w:jc w:val="left"/>
              <w:textAlignment w:val="center"/>
              <w:rPr>
                <w:rFonts w:ascii="宋体" w:hAnsi="宋体"/>
                <w:color w:val="auto"/>
                <w:szCs w:val="21"/>
              </w:rPr>
            </w:pPr>
            <w:r>
              <w:rPr>
                <w:rFonts w:hint="eastAsia" w:ascii="宋体" w:hAnsi="宋体"/>
                <w:color w:val="auto"/>
                <w:kern w:val="0"/>
                <w:szCs w:val="21"/>
              </w:rPr>
              <w:t>集成子板车载台连接：支持连接车载台进行语音通话</w:t>
            </w:r>
          </w:p>
        </w:tc>
        <w:tc>
          <w:tcPr>
            <w:tcW w:w="687" w:type="dxa"/>
            <w:tcBorders>
              <w:top w:val="nil"/>
              <w:left w:val="nil"/>
              <w:bottom w:val="single" w:color="000000" w:sz="8" w:space="0"/>
              <w:right w:val="single" w:color="000000" w:sz="8" w:space="0"/>
            </w:tcBorders>
            <w:shd w:val="clear" w:color="auto" w:fill="auto"/>
            <w:vAlign w:val="center"/>
          </w:tcPr>
          <w:p w14:paraId="0DBE2424">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3367595A">
            <w:pPr>
              <w:widowControl/>
              <w:jc w:val="center"/>
              <w:textAlignment w:val="center"/>
              <w:rPr>
                <w:rFonts w:ascii="宋体" w:hAnsi="宋体"/>
                <w:color w:val="auto"/>
                <w:szCs w:val="21"/>
              </w:rPr>
            </w:pPr>
            <w:r>
              <w:rPr>
                <w:rFonts w:hint="eastAsia" w:ascii="宋体" w:hAnsi="宋体"/>
                <w:color w:val="auto"/>
                <w:kern w:val="0"/>
                <w:szCs w:val="21"/>
              </w:rPr>
              <w:t>台</w:t>
            </w:r>
          </w:p>
        </w:tc>
      </w:tr>
      <w:tr w14:paraId="6F5135CF">
        <w:tblPrEx>
          <w:tblCellMar>
            <w:top w:w="0" w:type="dxa"/>
            <w:left w:w="108" w:type="dxa"/>
            <w:bottom w:w="0" w:type="dxa"/>
            <w:right w:w="108" w:type="dxa"/>
          </w:tblCellMar>
        </w:tblPrEx>
        <w:trPr>
          <w:trHeight w:val="3195"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4E3437B6">
            <w:pPr>
              <w:widowControl/>
              <w:jc w:val="center"/>
              <w:textAlignment w:val="center"/>
              <w:rPr>
                <w:rFonts w:ascii="宋体" w:hAnsi="宋体"/>
                <w:color w:val="auto"/>
                <w:szCs w:val="21"/>
              </w:rPr>
            </w:pPr>
            <w:r>
              <w:rPr>
                <w:rFonts w:hint="eastAsia" w:ascii="宋体" w:hAnsi="宋体"/>
                <w:color w:val="auto"/>
                <w:kern w:val="0"/>
                <w:szCs w:val="21"/>
              </w:rPr>
              <w:t>11</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035B8C">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679061E0">
            <w:pPr>
              <w:widowControl/>
              <w:jc w:val="left"/>
              <w:textAlignment w:val="center"/>
              <w:rPr>
                <w:rFonts w:ascii="宋体" w:hAnsi="宋体"/>
                <w:color w:val="auto"/>
                <w:szCs w:val="21"/>
              </w:rPr>
            </w:pPr>
            <w:r>
              <w:rPr>
                <w:rFonts w:hint="eastAsia" w:ascii="宋体" w:hAnsi="宋体"/>
                <w:color w:val="auto"/>
                <w:kern w:val="0"/>
                <w:szCs w:val="21"/>
              </w:rPr>
              <w:t>视频服务器</w:t>
            </w:r>
          </w:p>
        </w:tc>
        <w:tc>
          <w:tcPr>
            <w:tcW w:w="5782" w:type="dxa"/>
            <w:tcBorders>
              <w:top w:val="nil"/>
              <w:left w:val="nil"/>
              <w:bottom w:val="single" w:color="000000" w:sz="8" w:space="0"/>
              <w:right w:val="single" w:color="000000" w:sz="8" w:space="0"/>
            </w:tcBorders>
            <w:shd w:val="clear" w:color="auto" w:fill="auto"/>
            <w:vAlign w:val="center"/>
          </w:tcPr>
          <w:p w14:paraId="0B7B17F4">
            <w:pPr>
              <w:widowControl/>
              <w:jc w:val="left"/>
              <w:textAlignment w:val="center"/>
              <w:rPr>
                <w:rFonts w:ascii="宋体" w:hAnsi="宋体"/>
                <w:color w:val="auto"/>
                <w:kern w:val="0"/>
                <w:szCs w:val="21"/>
              </w:rPr>
            </w:pPr>
            <w:r>
              <w:rPr>
                <w:rFonts w:hint="eastAsia" w:ascii="宋体" w:hAnsi="宋体"/>
                <w:color w:val="auto"/>
                <w:kern w:val="0"/>
                <w:szCs w:val="21"/>
              </w:rPr>
              <w:t>支持视频级联推送、流媒体转发</w:t>
            </w:r>
          </w:p>
          <w:p w14:paraId="01D167ED">
            <w:pPr>
              <w:widowControl/>
              <w:jc w:val="left"/>
              <w:textAlignment w:val="center"/>
              <w:rPr>
                <w:rFonts w:ascii="宋体" w:hAnsi="宋体"/>
                <w:color w:val="auto"/>
                <w:kern w:val="0"/>
                <w:szCs w:val="21"/>
              </w:rPr>
            </w:pPr>
            <w:r>
              <w:rPr>
                <w:rFonts w:hint="eastAsia" w:ascii="宋体" w:hAnsi="宋体"/>
                <w:color w:val="auto"/>
                <w:kern w:val="0"/>
                <w:szCs w:val="21"/>
              </w:rPr>
              <w:t>转码功能：输入码流支持H265、H264、SVAC2.0、MJPEG，转出码流支持H265或H264</w:t>
            </w:r>
          </w:p>
          <w:p w14:paraId="16322444">
            <w:pPr>
              <w:widowControl/>
              <w:jc w:val="left"/>
              <w:textAlignment w:val="center"/>
              <w:rPr>
                <w:rFonts w:hint="eastAsia" w:ascii="宋体" w:hAnsi="宋体"/>
                <w:color w:val="auto"/>
                <w:kern w:val="0"/>
                <w:szCs w:val="21"/>
              </w:rPr>
            </w:pPr>
            <w:r>
              <w:rPr>
                <w:rFonts w:hint="eastAsia" w:ascii="宋体" w:hAnsi="宋体"/>
                <w:color w:val="auto"/>
                <w:kern w:val="0"/>
                <w:szCs w:val="21"/>
              </w:rPr>
              <w:t>支持调整分辨率，</w:t>
            </w:r>
            <w:r>
              <w:rPr>
                <w:rFonts w:hint="eastAsia" w:ascii="宋体" w:hAnsi="宋体"/>
                <w:color w:val="auto"/>
                <w:kern w:val="0"/>
                <w:szCs w:val="21"/>
                <w:highlight w:val="none"/>
              </w:rPr>
              <w:t>包括但不限于</w:t>
            </w:r>
            <w:r>
              <w:rPr>
                <w:rFonts w:hint="eastAsia" w:ascii="宋体" w:hAnsi="宋体"/>
                <w:color w:val="auto"/>
                <w:kern w:val="0"/>
                <w:szCs w:val="21"/>
              </w:rPr>
              <w:t>1080P转720P等多种模式分辨率调整</w:t>
            </w:r>
          </w:p>
          <w:p w14:paraId="19D94D33">
            <w:pPr>
              <w:widowControl/>
              <w:jc w:val="left"/>
              <w:textAlignment w:val="center"/>
              <w:rPr>
                <w:rFonts w:ascii="宋体" w:hAnsi="宋体"/>
                <w:color w:val="auto"/>
                <w:kern w:val="0"/>
                <w:szCs w:val="21"/>
              </w:rPr>
            </w:pPr>
            <w:r>
              <w:rPr>
                <w:rFonts w:hint="eastAsia" w:ascii="宋体" w:hAnsi="宋体"/>
                <w:color w:val="auto"/>
                <w:kern w:val="0"/>
                <w:szCs w:val="21"/>
              </w:rPr>
              <w:t>支持调整码率，例如4Mbps降低到1Mbps</w:t>
            </w:r>
          </w:p>
          <w:p w14:paraId="2BEA9DD1">
            <w:pPr>
              <w:widowControl/>
              <w:jc w:val="left"/>
              <w:textAlignment w:val="center"/>
              <w:rPr>
                <w:rFonts w:ascii="宋体" w:hAnsi="宋体"/>
                <w:color w:val="auto"/>
                <w:kern w:val="0"/>
                <w:szCs w:val="21"/>
              </w:rPr>
            </w:pPr>
            <w:r>
              <w:rPr>
                <w:rFonts w:hint="eastAsia" w:ascii="宋体" w:hAnsi="宋体"/>
                <w:color w:val="auto"/>
                <w:kern w:val="0"/>
                <w:szCs w:val="21"/>
              </w:rPr>
              <w:t>支持调整帧率，例如25FPS降低到15FPS</w:t>
            </w:r>
          </w:p>
          <w:p w14:paraId="51F53CFD">
            <w:pPr>
              <w:widowControl/>
              <w:jc w:val="left"/>
              <w:textAlignment w:val="center"/>
              <w:rPr>
                <w:rFonts w:ascii="宋体" w:hAnsi="宋体"/>
                <w:color w:val="auto"/>
                <w:kern w:val="0"/>
                <w:szCs w:val="21"/>
              </w:rPr>
            </w:pPr>
            <w:r>
              <w:rPr>
                <w:rFonts w:hint="eastAsia" w:ascii="宋体" w:hAnsi="宋体"/>
                <w:color w:val="auto"/>
                <w:kern w:val="0"/>
                <w:szCs w:val="21"/>
              </w:rPr>
              <w:t>支持调整图像质量</w:t>
            </w:r>
          </w:p>
          <w:p w14:paraId="6DC07583">
            <w:pPr>
              <w:widowControl/>
              <w:jc w:val="left"/>
              <w:textAlignment w:val="center"/>
              <w:rPr>
                <w:rFonts w:ascii="宋体" w:hAnsi="宋体"/>
                <w:color w:val="auto"/>
                <w:kern w:val="0"/>
                <w:szCs w:val="21"/>
              </w:rPr>
            </w:pPr>
            <w:r>
              <w:rPr>
                <w:rFonts w:hint="eastAsia" w:ascii="宋体" w:hAnsi="宋体"/>
                <w:color w:val="auto"/>
                <w:kern w:val="0"/>
                <w:szCs w:val="21"/>
              </w:rPr>
              <w:t>处理器：≥8核</w:t>
            </w:r>
          </w:p>
          <w:p w14:paraId="29A2CE99">
            <w:pPr>
              <w:widowControl/>
              <w:jc w:val="left"/>
              <w:textAlignment w:val="center"/>
              <w:rPr>
                <w:rFonts w:ascii="宋体" w:hAnsi="宋体"/>
                <w:color w:val="auto"/>
                <w:kern w:val="0"/>
                <w:szCs w:val="21"/>
              </w:rPr>
            </w:pPr>
            <w:r>
              <w:rPr>
                <w:rFonts w:hint="eastAsia" w:ascii="宋体" w:hAnsi="宋体"/>
                <w:color w:val="auto"/>
                <w:kern w:val="0"/>
                <w:szCs w:val="21"/>
              </w:rPr>
              <w:t>内存：≥32GB DDR4</w:t>
            </w:r>
          </w:p>
          <w:p w14:paraId="480DF98C">
            <w:pPr>
              <w:widowControl/>
              <w:jc w:val="left"/>
              <w:textAlignment w:val="center"/>
              <w:rPr>
                <w:rFonts w:ascii="宋体" w:hAnsi="宋体"/>
                <w:color w:val="auto"/>
                <w:szCs w:val="21"/>
              </w:rPr>
            </w:pPr>
            <w:r>
              <w:rPr>
                <w:rFonts w:hint="eastAsia" w:ascii="宋体" w:hAnsi="宋体"/>
                <w:color w:val="auto"/>
                <w:kern w:val="0"/>
                <w:szCs w:val="21"/>
              </w:rPr>
              <w:t>硬盘：≥256GB SSD</w:t>
            </w:r>
          </w:p>
        </w:tc>
        <w:tc>
          <w:tcPr>
            <w:tcW w:w="687" w:type="dxa"/>
            <w:tcBorders>
              <w:top w:val="nil"/>
              <w:left w:val="nil"/>
              <w:bottom w:val="single" w:color="000000" w:sz="8" w:space="0"/>
              <w:right w:val="single" w:color="000000" w:sz="8" w:space="0"/>
            </w:tcBorders>
            <w:shd w:val="clear" w:color="auto" w:fill="auto"/>
            <w:vAlign w:val="center"/>
          </w:tcPr>
          <w:p w14:paraId="0A0B27FC">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2EC7CDFF">
            <w:pPr>
              <w:widowControl/>
              <w:jc w:val="center"/>
              <w:textAlignment w:val="center"/>
              <w:rPr>
                <w:rFonts w:ascii="宋体" w:hAnsi="宋体"/>
                <w:color w:val="auto"/>
                <w:szCs w:val="21"/>
              </w:rPr>
            </w:pPr>
            <w:r>
              <w:rPr>
                <w:rFonts w:hint="eastAsia" w:ascii="宋体" w:hAnsi="宋体"/>
                <w:color w:val="auto"/>
                <w:kern w:val="0"/>
                <w:szCs w:val="21"/>
              </w:rPr>
              <w:t>台</w:t>
            </w:r>
          </w:p>
        </w:tc>
      </w:tr>
      <w:tr w14:paraId="1410926E">
        <w:tblPrEx>
          <w:tblCellMar>
            <w:top w:w="0" w:type="dxa"/>
            <w:left w:w="108" w:type="dxa"/>
            <w:bottom w:w="0" w:type="dxa"/>
            <w:right w:w="108" w:type="dxa"/>
          </w:tblCellMar>
        </w:tblPrEx>
        <w:trPr>
          <w:trHeight w:val="1385"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0B6FFD64">
            <w:pPr>
              <w:widowControl/>
              <w:jc w:val="center"/>
              <w:textAlignment w:val="center"/>
              <w:rPr>
                <w:rFonts w:ascii="宋体" w:hAnsi="宋体"/>
                <w:color w:val="auto"/>
                <w:szCs w:val="21"/>
              </w:rPr>
            </w:pPr>
            <w:r>
              <w:rPr>
                <w:rFonts w:hint="eastAsia" w:ascii="宋体" w:hAnsi="宋体"/>
                <w:color w:val="auto"/>
                <w:kern w:val="0"/>
                <w:szCs w:val="21"/>
              </w:rPr>
              <w:t>12</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869C4B">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7D32262E">
            <w:pPr>
              <w:widowControl/>
              <w:jc w:val="left"/>
              <w:textAlignment w:val="center"/>
              <w:rPr>
                <w:rFonts w:ascii="宋体" w:hAnsi="宋体"/>
                <w:color w:val="auto"/>
                <w:szCs w:val="21"/>
              </w:rPr>
            </w:pPr>
            <w:r>
              <w:rPr>
                <w:rFonts w:hint="eastAsia" w:ascii="宋体" w:hAnsi="宋体" w:eastAsia="宋体" w:cs="宋体"/>
                <w:color w:val="auto"/>
                <w:sz w:val="21"/>
                <w:szCs w:val="21"/>
              </w:rPr>
              <w:t>★</w:t>
            </w:r>
            <w:r>
              <w:rPr>
                <w:rFonts w:hint="eastAsia" w:ascii="宋体" w:hAnsi="宋体"/>
                <w:color w:val="auto"/>
                <w:kern w:val="0"/>
                <w:szCs w:val="21"/>
              </w:rPr>
              <w:t>视频监控接入管理服务器</w:t>
            </w:r>
          </w:p>
        </w:tc>
        <w:tc>
          <w:tcPr>
            <w:tcW w:w="5782" w:type="dxa"/>
            <w:tcBorders>
              <w:top w:val="nil"/>
              <w:left w:val="nil"/>
              <w:bottom w:val="single" w:color="000000" w:sz="8" w:space="0"/>
              <w:right w:val="single" w:color="000000" w:sz="8" w:space="0"/>
            </w:tcBorders>
            <w:shd w:val="clear" w:color="auto" w:fill="auto"/>
            <w:vAlign w:val="center"/>
          </w:tcPr>
          <w:p w14:paraId="06B9DA77">
            <w:pPr>
              <w:widowControl/>
              <w:jc w:val="left"/>
              <w:textAlignment w:val="center"/>
              <w:rPr>
                <w:rFonts w:ascii="宋体" w:hAnsi="宋体"/>
                <w:color w:val="auto"/>
                <w:szCs w:val="21"/>
              </w:rPr>
            </w:pPr>
            <w:r>
              <w:rPr>
                <w:rFonts w:hint="eastAsia" w:ascii="宋体" w:hAnsi="宋体"/>
                <w:color w:val="auto"/>
                <w:kern w:val="0"/>
                <w:szCs w:val="21"/>
              </w:rPr>
              <w:t>通过视频监控接入管理服务器实现对视频监控的统一接入和管理，实现县域内各类视频监控监控画面的汇聚、调阅与共享</w:t>
            </w:r>
          </w:p>
        </w:tc>
        <w:tc>
          <w:tcPr>
            <w:tcW w:w="687" w:type="dxa"/>
            <w:tcBorders>
              <w:top w:val="nil"/>
              <w:left w:val="nil"/>
              <w:bottom w:val="single" w:color="000000" w:sz="8" w:space="0"/>
              <w:right w:val="single" w:color="000000" w:sz="8" w:space="0"/>
            </w:tcBorders>
            <w:shd w:val="clear" w:color="auto" w:fill="auto"/>
            <w:vAlign w:val="center"/>
          </w:tcPr>
          <w:p w14:paraId="408F9F8C">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2292D96E">
            <w:pPr>
              <w:widowControl/>
              <w:jc w:val="center"/>
              <w:textAlignment w:val="center"/>
              <w:rPr>
                <w:rFonts w:ascii="宋体" w:hAnsi="宋体"/>
                <w:color w:val="auto"/>
                <w:szCs w:val="21"/>
              </w:rPr>
            </w:pPr>
            <w:r>
              <w:rPr>
                <w:rFonts w:hint="eastAsia" w:ascii="宋体" w:hAnsi="宋体"/>
                <w:color w:val="auto"/>
                <w:kern w:val="0"/>
                <w:szCs w:val="21"/>
              </w:rPr>
              <w:t>台</w:t>
            </w:r>
          </w:p>
        </w:tc>
      </w:tr>
      <w:tr w14:paraId="61E24E91">
        <w:tblPrEx>
          <w:tblCellMar>
            <w:top w:w="0" w:type="dxa"/>
            <w:left w:w="108" w:type="dxa"/>
            <w:bottom w:w="0" w:type="dxa"/>
            <w:right w:w="108" w:type="dxa"/>
          </w:tblCellMar>
        </w:tblPrEx>
        <w:trPr>
          <w:trHeight w:val="5100"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6D8B79A6">
            <w:pPr>
              <w:widowControl/>
              <w:jc w:val="center"/>
              <w:textAlignment w:val="center"/>
              <w:rPr>
                <w:rFonts w:ascii="宋体" w:hAnsi="宋体"/>
                <w:color w:val="auto"/>
                <w:szCs w:val="21"/>
              </w:rPr>
            </w:pPr>
            <w:r>
              <w:rPr>
                <w:rFonts w:hint="eastAsia" w:ascii="宋体" w:hAnsi="宋体"/>
                <w:color w:val="auto"/>
                <w:kern w:val="0"/>
                <w:szCs w:val="21"/>
              </w:rPr>
              <w:t>13</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757698">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16AC9B36">
            <w:pPr>
              <w:widowControl/>
              <w:jc w:val="left"/>
              <w:textAlignment w:val="center"/>
              <w:rPr>
                <w:rFonts w:ascii="宋体" w:hAnsi="宋体"/>
                <w:color w:val="auto"/>
                <w:szCs w:val="21"/>
              </w:rPr>
            </w:pPr>
            <w:r>
              <w:rPr>
                <w:rFonts w:hint="eastAsia" w:ascii="宋体" w:hAnsi="宋体"/>
                <w:color w:val="auto"/>
                <w:szCs w:val="21"/>
              </w:rPr>
              <w:t>★</w:t>
            </w:r>
            <w:r>
              <w:rPr>
                <w:rFonts w:hint="eastAsia" w:ascii="宋体" w:hAnsi="宋体"/>
                <w:color w:val="auto"/>
                <w:kern w:val="0"/>
                <w:szCs w:val="21"/>
              </w:rPr>
              <w:t>会商调度服务器</w:t>
            </w:r>
            <w:r>
              <w:rPr>
                <w:rFonts w:hint="eastAsia" w:ascii="宋体" w:hAnsi="宋体"/>
                <w:b/>
                <w:bCs/>
                <w:color w:val="auto"/>
                <w:kern w:val="0"/>
                <w:szCs w:val="21"/>
              </w:rPr>
              <w:t>（核心产品）</w:t>
            </w:r>
          </w:p>
        </w:tc>
        <w:tc>
          <w:tcPr>
            <w:tcW w:w="5782" w:type="dxa"/>
            <w:tcBorders>
              <w:top w:val="nil"/>
              <w:left w:val="nil"/>
              <w:bottom w:val="single" w:color="000000" w:sz="8" w:space="0"/>
              <w:right w:val="single" w:color="000000" w:sz="8" w:space="0"/>
            </w:tcBorders>
            <w:shd w:val="clear" w:color="auto" w:fill="auto"/>
            <w:vAlign w:val="center"/>
          </w:tcPr>
          <w:p w14:paraId="6E18B275">
            <w:pPr>
              <w:widowControl/>
              <w:jc w:val="left"/>
              <w:textAlignment w:val="center"/>
              <w:rPr>
                <w:rFonts w:ascii="宋体" w:hAnsi="宋体"/>
                <w:color w:val="auto"/>
                <w:kern w:val="0"/>
                <w:szCs w:val="21"/>
              </w:rPr>
            </w:pPr>
            <w:r>
              <w:rPr>
                <w:rFonts w:hint="eastAsia" w:ascii="宋体" w:hAnsi="宋体"/>
                <w:color w:val="auto"/>
                <w:kern w:val="0"/>
                <w:szCs w:val="21"/>
              </w:rPr>
              <w:t>采用国产化操作系统，嵌入式一体化设计（嵌入式操作系统），（非PC，非安卓系统，非工控机架构）。</w:t>
            </w:r>
          </w:p>
          <w:p w14:paraId="43E25843">
            <w:pPr>
              <w:widowControl/>
              <w:jc w:val="left"/>
              <w:textAlignment w:val="center"/>
              <w:rPr>
                <w:rFonts w:ascii="宋体" w:hAnsi="宋体"/>
                <w:color w:val="auto"/>
                <w:kern w:val="0"/>
                <w:szCs w:val="21"/>
              </w:rPr>
            </w:pPr>
            <w:r>
              <w:rPr>
                <w:rFonts w:hint="eastAsia" w:ascii="宋体" w:hAnsi="宋体"/>
                <w:color w:val="auto"/>
                <w:kern w:val="0"/>
                <w:szCs w:val="21"/>
              </w:rPr>
              <w:t>设备需支持16路1080P60fps终端加入会议</w:t>
            </w:r>
          </w:p>
          <w:p w14:paraId="1F11F124">
            <w:pPr>
              <w:widowControl/>
              <w:jc w:val="left"/>
              <w:textAlignment w:val="center"/>
              <w:rPr>
                <w:rFonts w:ascii="宋体" w:hAnsi="宋体"/>
                <w:color w:val="auto"/>
                <w:kern w:val="0"/>
                <w:szCs w:val="21"/>
              </w:rPr>
            </w:pPr>
            <w:r>
              <w:rPr>
                <w:rFonts w:hint="eastAsia" w:ascii="宋体" w:hAnsi="宋体"/>
                <w:color w:val="auto"/>
                <w:kern w:val="0"/>
                <w:szCs w:val="21"/>
              </w:rPr>
              <w:t>支持ITU-T H.323和IETF SIP通信标准，能够和符合国际标准的产品互联互通</w:t>
            </w:r>
          </w:p>
          <w:p w14:paraId="2142F59C">
            <w:pPr>
              <w:widowControl/>
              <w:jc w:val="left"/>
              <w:textAlignment w:val="center"/>
              <w:rPr>
                <w:rFonts w:ascii="宋体" w:hAnsi="宋体"/>
                <w:color w:val="auto"/>
                <w:kern w:val="0"/>
                <w:szCs w:val="21"/>
              </w:rPr>
            </w:pPr>
            <w:r>
              <w:rPr>
                <w:rFonts w:hint="eastAsia" w:ascii="宋体" w:hAnsi="宋体"/>
                <w:color w:val="auto"/>
                <w:kern w:val="0"/>
                <w:szCs w:val="21"/>
              </w:rPr>
              <w:t>支持通过 H.323/SIP/RTSP 协议呼叫终端，支持最大 64kbps-16Mbps 速率</w:t>
            </w:r>
          </w:p>
          <w:p w14:paraId="769051D6">
            <w:pPr>
              <w:widowControl/>
              <w:jc w:val="left"/>
              <w:textAlignment w:val="center"/>
              <w:rPr>
                <w:rFonts w:ascii="宋体" w:hAnsi="宋体"/>
                <w:color w:val="auto"/>
                <w:kern w:val="0"/>
                <w:szCs w:val="21"/>
              </w:rPr>
            </w:pPr>
            <w:r>
              <w:rPr>
                <w:rFonts w:hint="eastAsia" w:ascii="宋体" w:hAnsi="宋体"/>
                <w:color w:val="auto"/>
                <w:kern w:val="0"/>
                <w:szCs w:val="21"/>
              </w:rPr>
              <w:t>支持在会议过程中调看实时画面；</w:t>
            </w:r>
          </w:p>
          <w:p w14:paraId="5CE9FF36">
            <w:pPr>
              <w:widowControl/>
              <w:jc w:val="left"/>
              <w:textAlignment w:val="center"/>
              <w:rPr>
                <w:rFonts w:ascii="宋体" w:hAnsi="宋体"/>
                <w:color w:val="auto"/>
                <w:kern w:val="0"/>
                <w:szCs w:val="21"/>
              </w:rPr>
            </w:pPr>
            <w:r>
              <w:rPr>
                <w:rFonts w:hint="eastAsia" w:ascii="宋体" w:hAnsi="宋体"/>
                <w:color w:val="auto"/>
                <w:kern w:val="0"/>
                <w:szCs w:val="21"/>
              </w:rPr>
              <w:t>支持H.264BP、H.264HP、H265视频编解码协议</w:t>
            </w:r>
          </w:p>
          <w:p w14:paraId="130277FB">
            <w:pPr>
              <w:widowControl/>
              <w:jc w:val="left"/>
              <w:textAlignment w:val="center"/>
              <w:rPr>
                <w:rFonts w:ascii="宋体" w:hAnsi="宋体"/>
                <w:color w:val="auto"/>
                <w:kern w:val="0"/>
                <w:szCs w:val="21"/>
              </w:rPr>
            </w:pPr>
            <w:r>
              <w:rPr>
                <w:rFonts w:hint="eastAsia" w:ascii="宋体" w:hAnsi="宋体"/>
                <w:color w:val="auto"/>
                <w:kern w:val="0"/>
                <w:szCs w:val="21"/>
              </w:rPr>
              <w:t>支持G.711A/U、G.722、G.728、G.722.1C、G719、G.729、AACLC/LD、Opus、MP3音频编解码协议，支持最大48kHz采样率</w:t>
            </w:r>
          </w:p>
          <w:p w14:paraId="2EBADD90">
            <w:pPr>
              <w:widowControl/>
              <w:jc w:val="left"/>
              <w:textAlignment w:val="center"/>
              <w:rPr>
                <w:rFonts w:ascii="宋体" w:hAnsi="宋体"/>
                <w:color w:val="auto"/>
                <w:kern w:val="0"/>
                <w:szCs w:val="21"/>
              </w:rPr>
            </w:pPr>
            <w:r>
              <w:rPr>
                <w:rFonts w:hint="eastAsia" w:ascii="宋体" w:hAnsi="宋体"/>
                <w:color w:val="auto"/>
                <w:kern w:val="0"/>
                <w:szCs w:val="21"/>
              </w:rPr>
              <w:t>支持4k30fps 1080p 25/30/50/60fps、720p25/30/50/60fps 、360p 25/30fps视频能力</w:t>
            </w:r>
          </w:p>
          <w:p w14:paraId="281B5541">
            <w:pPr>
              <w:widowControl/>
              <w:jc w:val="left"/>
              <w:textAlignment w:val="center"/>
              <w:rPr>
                <w:rFonts w:ascii="宋体" w:hAnsi="宋体"/>
                <w:color w:val="auto"/>
                <w:kern w:val="0"/>
                <w:szCs w:val="21"/>
              </w:rPr>
            </w:pPr>
            <w:r>
              <w:rPr>
                <w:rFonts w:hint="eastAsia" w:ascii="宋体" w:hAnsi="宋体"/>
                <w:color w:val="auto"/>
                <w:kern w:val="0"/>
                <w:szCs w:val="21"/>
              </w:rPr>
              <w:t>支持 H.239，BFCP 双流协议，最大支持主流 4K@30fps 情况下，辅流视频同时实现 4K@30fps，支持辅流加入多画面</w:t>
            </w:r>
          </w:p>
          <w:p w14:paraId="6EC5DFB8">
            <w:pPr>
              <w:widowControl/>
              <w:jc w:val="left"/>
              <w:textAlignment w:val="center"/>
              <w:rPr>
                <w:rFonts w:ascii="宋体" w:hAnsi="宋体"/>
                <w:color w:val="auto"/>
                <w:szCs w:val="21"/>
              </w:rPr>
            </w:pPr>
            <w:r>
              <w:rPr>
                <w:rFonts w:hint="eastAsia" w:ascii="宋体" w:hAnsi="宋体"/>
                <w:color w:val="auto"/>
                <w:kern w:val="0"/>
                <w:szCs w:val="21"/>
              </w:rPr>
              <w:t>支持多画面功能，多画面中的每个分屏支持叠加会场名称</w:t>
            </w:r>
          </w:p>
        </w:tc>
        <w:tc>
          <w:tcPr>
            <w:tcW w:w="687" w:type="dxa"/>
            <w:tcBorders>
              <w:top w:val="nil"/>
              <w:left w:val="nil"/>
              <w:bottom w:val="single" w:color="000000" w:sz="8" w:space="0"/>
              <w:right w:val="single" w:color="000000" w:sz="8" w:space="0"/>
            </w:tcBorders>
            <w:shd w:val="clear" w:color="auto" w:fill="auto"/>
            <w:vAlign w:val="center"/>
          </w:tcPr>
          <w:p w14:paraId="706B0A66">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755ED810">
            <w:pPr>
              <w:widowControl/>
              <w:jc w:val="center"/>
              <w:textAlignment w:val="center"/>
              <w:rPr>
                <w:rFonts w:ascii="宋体" w:hAnsi="宋体"/>
                <w:color w:val="auto"/>
                <w:szCs w:val="21"/>
              </w:rPr>
            </w:pPr>
            <w:r>
              <w:rPr>
                <w:rFonts w:hint="eastAsia" w:ascii="宋体" w:hAnsi="宋体"/>
                <w:color w:val="auto"/>
                <w:kern w:val="0"/>
                <w:szCs w:val="21"/>
              </w:rPr>
              <w:t>台</w:t>
            </w:r>
          </w:p>
        </w:tc>
      </w:tr>
      <w:tr w14:paraId="5AB41D4E">
        <w:tblPrEx>
          <w:tblCellMar>
            <w:top w:w="0" w:type="dxa"/>
            <w:left w:w="108" w:type="dxa"/>
            <w:bottom w:w="0" w:type="dxa"/>
            <w:right w:w="108" w:type="dxa"/>
          </w:tblCellMar>
        </w:tblPrEx>
        <w:trPr>
          <w:trHeight w:val="1385"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0F88BB13">
            <w:pPr>
              <w:widowControl/>
              <w:jc w:val="center"/>
              <w:textAlignment w:val="center"/>
              <w:rPr>
                <w:rFonts w:ascii="宋体" w:hAnsi="宋体"/>
                <w:color w:val="auto"/>
                <w:szCs w:val="21"/>
              </w:rPr>
            </w:pPr>
            <w:r>
              <w:rPr>
                <w:rFonts w:hint="eastAsia" w:ascii="宋体" w:hAnsi="宋体"/>
                <w:color w:val="auto"/>
                <w:kern w:val="0"/>
                <w:szCs w:val="21"/>
              </w:rPr>
              <w:t>14</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FAD17C">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3AEC6570">
            <w:pPr>
              <w:widowControl/>
              <w:jc w:val="left"/>
              <w:textAlignment w:val="center"/>
              <w:rPr>
                <w:rFonts w:ascii="宋体" w:hAnsi="宋体"/>
                <w:color w:val="auto"/>
                <w:szCs w:val="21"/>
              </w:rPr>
            </w:pPr>
            <w:r>
              <w:rPr>
                <w:rFonts w:hint="eastAsia" w:ascii="宋体" w:hAnsi="宋体"/>
                <w:color w:val="auto"/>
                <w:kern w:val="0"/>
                <w:szCs w:val="21"/>
              </w:rPr>
              <w:t>智能终端接入管理服务器</w:t>
            </w:r>
          </w:p>
        </w:tc>
        <w:tc>
          <w:tcPr>
            <w:tcW w:w="5782" w:type="dxa"/>
            <w:tcBorders>
              <w:top w:val="nil"/>
              <w:left w:val="nil"/>
              <w:bottom w:val="single" w:color="000000" w:sz="8" w:space="0"/>
              <w:right w:val="single" w:color="000000" w:sz="8" w:space="0"/>
            </w:tcBorders>
            <w:shd w:val="clear" w:color="auto" w:fill="auto"/>
            <w:vAlign w:val="center"/>
          </w:tcPr>
          <w:p w14:paraId="3FBB5478">
            <w:pPr>
              <w:widowControl/>
              <w:jc w:val="left"/>
              <w:textAlignment w:val="center"/>
              <w:rPr>
                <w:rFonts w:ascii="宋体" w:hAnsi="宋体"/>
                <w:color w:val="auto"/>
                <w:kern w:val="0"/>
                <w:szCs w:val="21"/>
              </w:rPr>
            </w:pPr>
            <w:r>
              <w:rPr>
                <w:rFonts w:hint="eastAsia" w:ascii="宋体" w:hAnsi="宋体"/>
                <w:color w:val="auto"/>
                <w:kern w:val="0"/>
                <w:szCs w:val="21"/>
              </w:rPr>
              <w:t>统一管理接入系统的各类智能终端（如单兵、手机、平板），保障终端安全接入与权限管控，支持不低于</w:t>
            </w:r>
            <w:r>
              <w:rPr>
                <w:rFonts w:ascii="宋体" w:hAnsi="宋体"/>
                <w:color w:val="auto"/>
                <w:kern w:val="0"/>
                <w:szCs w:val="21"/>
              </w:rPr>
              <w:t>5000</w:t>
            </w:r>
            <w:r>
              <w:rPr>
                <w:rFonts w:hint="eastAsia" w:ascii="宋体" w:hAnsi="宋体"/>
                <w:color w:val="auto"/>
                <w:kern w:val="0"/>
                <w:szCs w:val="21"/>
              </w:rPr>
              <w:t>路接入管理能力</w:t>
            </w:r>
          </w:p>
        </w:tc>
        <w:tc>
          <w:tcPr>
            <w:tcW w:w="687" w:type="dxa"/>
            <w:tcBorders>
              <w:top w:val="nil"/>
              <w:left w:val="nil"/>
              <w:bottom w:val="single" w:color="000000" w:sz="8" w:space="0"/>
              <w:right w:val="single" w:color="000000" w:sz="8" w:space="0"/>
            </w:tcBorders>
            <w:shd w:val="clear" w:color="auto" w:fill="auto"/>
            <w:vAlign w:val="center"/>
          </w:tcPr>
          <w:p w14:paraId="29E4D3BD">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609357A1">
            <w:pPr>
              <w:widowControl/>
              <w:jc w:val="center"/>
              <w:textAlignment w:val="center"/>
              <w:rPr>
                <w:rFonts w:ascii="宋体" w:hAnsi="宋体"/>
                <w:color w:val="auto"/>
                <w:szCs w:val="21"/>
              </w:rPr>
            </w:pPr>
            <w:r>
              <w:rPr>
                <w:rFonts w:hint="eastAsia" w:ascii="宋体" w:hAnsi="宋体"/>
                <w:color w:val="auto"/>
                <w:kern w:val="0"/>
                <w:szCs w:val="21"/>
              </w:rPr>
              <w:t>台</w:t>
            </w:r>
          </w:p>
        </w:tc>
      </w:tr>
      <w:tr w14:paraId="3ECD6637">
        <w:tblPrEx>
          <w:tblCellMar>
            <w:top w:w="0" w:type="dxa"/>
            <w:left w:w="108" w:type="dxa"/>
            <w:bottom w:w="0" w:type="dxa"/>
            <w:right w:w="108" w:type="dxa"/>
          </w:tblCellMar>
        </w:tblPrEx>
        <w:trPr>
          <w:trHeight w:val="90"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012624D5">
            <w:pPr>
              <w:widowControl/>
              <w:jc w:val="center"/>
              <w:textAlignment w:val="center"/>
              <w:rPr>
                <w:rFonts w:ascii="宋体" w:hAnsi="宋体"/>
                <w:color w:val="auto"/>
                <w:szCs w:val="21"/>
              </w:rPr>
            </w:pPr>
            <w:r>
              <w:rPr>
                <w:rFonts w:hint="eastAsia" w:ascii="宋体" w:hAnsi="宋体"/>
                <w:color w:val="auto"/>
                <w:kern w:val="0"/>
                <w:szCs w:val="21"/>
              </w:rPr>
              <w:t>15</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FEA8C8">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39A2C046">
            <w:pPr>
              <w:widowControl/>
              <w:jc w:val="left"/>
              <w:textAlignment w:val="center"/>
              <w:rPr>
                <w:rFonts w:ascii="宋体" w:hAnsi="宋体"/>
                <w:color w:val="auto"/>
                <w:szCs w:val="21"/>
              </w:rPr>
            </w:pPr>
            <w:r>
              <w:rPr>
                <w:rFonts w:hint="eastAsia" w:ascii="宋体" w:hAnsi="宋体"/>
                <w:color w:val="auto"/>
                <w:kern w:val="0"/>
                <w:szCs w:val="21"/>
              </w:rPr>
              <w:t>融合通信多媒体调度软件</w:t>
            </w:r>
          </w:p>
        </w:tc>
        <w:tc>
          <w:tcPr>
            <w:tcW w:w="5782" w:type="dxa"/>
            <w:tcBorders>
              <w:top w:val="nil"/>
              <w:left w:val="nil"/>
              <w:bottom w:val="single" w:color="000000" w:sz="8" w:space="0"/>
              <w:right w:val="single" w:color="000000" w:sz="8" w:space="0"/>
            </w:tcBorders>
            <w:shd w:val="clear" w:color="auto" w:fill="auto"/>
            <w:vAlign w:val="center"/>
          </w:tcPr>
          <w:p w14:paraId="1723785E">
            <w:pPr>
              <w:widowControl/>
              <w:jc w:val="left"/>
              <w:textAlignment w:val="center"/>
              <w:rPr>
                <w:rFonts w:ascii="宋体" w:hAnsi="宋体"/>
                <w:color w:val="auto"/>
                <w:kern w:val="0"/>
                <w:szCs w:val="21"/>
              </w:rPr>
            </w:pPr>
            <w:r>
              <w:rPr>
                <w:rFonts w:hint="eastAsia" w:ascii="宋体" w:hAnsi="宋体"/>
                <w:color w:val="auto"/>
                <w:kern w:val="0"/>
                <w:szCs w:val="21"/>
              </w:rPr>
              <w:t>整合语音、视频、数据等多媒体资源，实现应急场景下多业务统一调度与协同指挥</w:t>
            </w:r>
          </w:p>
          <w:p w14:paraId="15950FAC">
            <w:pPr>
              <w:widowControl/>
              <w:jc w:val="left"/>
              <w:textAlignment w:val="center"/>
              <w:rPr>
                <w:rFonts w:ascii="宋体" w:hAnsi="宋体"/>
                <w:color w:val="auto"/>
                <w:kern w:val="0"/>
                <w:szCs w:val="21"/>
              </w:rPr>
            </w:pPr>
            <w:r>
              <w:rPr>
                <w:rFonts w:hint="eastAsia" w:ascii="宋体" w:hAnsi="宋体"/>
                <w:color w:val="auto"/>
                <w:kern w:val="0"/>
                <w:szCs w:val="21"/>
              </w:rPr>
              <w:t>一、集群对讲</w:t>
            </w:r>
          </w:p>
          <w:p w14:paraId="2BE2334D">
            <w:pPr>
              <w:widowControl/>
              <w:jc w:val="left"/>
              <w:textAlignment w:val="center"/>
              <w:rPr>
                <w:rFonts w:ascii="宋体" w:hAnsi="宋体"/>
                <w:color w:val="auto"/>
                <w:kern w:val="0"/>
                <w:szCs w:val="21"/>
              </w:rPr>
            </w:pPr>
            <w:r>
              <w:rPr>
                <w:rFonts w:hint="eastAsia" w:ascii="宋体" w:hAnsi="宋体"/>
                <w:color w:val="auto"/>
                <w:szCs w:val="21"/>
              </w:rPr>
              <w:t>★</w:t>
            </w:r>
            <w:r>
              <w:rPr>
                <w:rFonts w:hint="eastAsia" w:ascii="宋体" w:hAnsi="宋体"/>
                <w:color w:val="auto"/>
                <w:kern w:val="0"/>
                <w:szCs w:val="21"/>
              </w:rPr>
              <w:t>1、支持Web端、手机APP、对讲设备等具备半双工对讲能力的终端，进行一对一或群组集群对讲；</w:t>
            </w:r>
          </w:p>
          <w:p w14:paraId="031A1FE0">
            <w:pPr>
              <w:widowControl/>
              <w:jc w:val="left"/>
              <w:textAlignment w:val="center"/>
              <w:rPr>
                <w:rFonts w:ascii="宋体" w:hAnsi="宋体"/>
                <w:color w:val="auto"/>
                <w:kern w:val="0"/>
                <w:szCs w:val="21"/>
              </w:rPr>
            </w:pPr>
            <w:r>
              <w:rPr>
                <w:rFonts w:hint="eastAsia" w:ascii="宋体" w:hAnsi="宋体"/>
                <w:color w:val="auto"/>
                <w:kern w:val="0"/>
                <w:szCs w:val="21"/>
              </w:rPr>
              <w:t>2、支持在集群对讲过程中，成员进行话权抢占与话权释放，具备话权的成员进行发言；</w:t>
            </w:r>
          </w:p>
          <w:p w14:paraId="05BE63C2">
            <w:pPr>
              <w:widowControl/>
              <w:jc w:val="left"/>
              <w:textAlignment w:val="center"/>
              <w:rPr>
                <w:rFonts w:ascii="宋体" w:hAnsi="宋体"/>
                <w:color w:val="auto"/>
                <w:kern w:val="0"/>
                <w:szCs w:val="21"/>
              </w:rPr>
            </w:pPr>
            <w:r>
              <w:rPr>
                <w:rFonts w:hint="eastAsia" w:ascii="宋体" w:hAnsi="宋体"/>
                <w:color w:val="auto"/>
                <w:kern w:val="0"/>
                <w:szCs w:val="21"/>
              </w:rPr>
              <w:t>3、支持在集群对讲过程中，提示当前发言人；</w:t>
            </w:r>
          </w:p>
          <w:p w14:paraId="15DA0F5D">
            <w:pPr>
              <w:widowControl/>
              <w:jc w:val="left"/>
              <w:textAlignment w:val="center"/>
              <w:rPr>
                <w:rFonts w:ascii="宋体" w:hAnsi="宋体"/>
                <w:color w:val="auto"/>
                <w:kern w:val="0"/>
                <w:szCs w:val="21"/>
              </w:rPr>
            </w:pPr>
            <w:r>
              <w:rPr>
                <w:rFonts w:hint="eastAsia" w:ascii="宋体" w:hAnsi="宋体"/>
                <w:color w:val="auto"/>
                <w:kern w:val="0"/>
                <w:szCs w:val="21"/>
              </w:rPr>
              <w:t>4、支持在集群对讲过程中，成员的邀请与退出；</w:t>
            </w:r>
          </w:p>
          <w:p w14:paraId="1371A785">
            <w:pPr>
              <w:widowControl/>
              <w:jc w:val="left"/>
              <w:textAlignment w:val="center"/>
              <w:rPr>
                <w:rFonts w:ascii="宋体" w:hAnsi="宋体"/>
                <w:color w:val="auto"/>
                <w:kern w:val="0"/>
                <w:szCs w:val="21"/>
              </w:rPr>
            </w:pPr>
            <w:r>
              <w:rPr>
                <w:rFonts w:hint="eastAsia" w:ascii="宋体" w:hAnsi="宋体"/>
                <w:color w:val="auto"/>
                <w:kern w:val="0"/>
                <w:szCs w:val="21"/>
              </w:rPr>
              <w:t>二、通讯录</w:t>
            </w:r>
          </w:p>
          <w:p w14:paraId="307602EE">
            <w:pPr>
              <w:widowControl/>
              <w:jc w:val="left"/>
              <w:textAlignment w:val="center"/>
              <w:rPr>
                <w:rFonts w:ascii="宋体" w:hAnsi="宋体"/>
                <w:color w:val="auto"/>
                <w:kern w:val="0"/>
                <w:szCs w:val="21"/>
              </w:rPr>
            </w:pPr>
            <w:r>
              <w:rPr>
                <w:rFonts w:hint="eastAsia" w:ascii="宋体" w:hAnsi="宋体"/>
                <w:color w:val="auto"/>
                <w:kern w:val="0"/>
                <w:szCs w:val="21"/>
              </w:rPr>
              <w:t>1、支持结合各类具备音频通话能力的资源建立部门、群组、固定联系人、视频设备等多个通讯群组，支持在通讯群组中单端或多选资源进行一对一或群组音频通话；</w:t>
            </w:r>
          </w:p>
          <w:p w14:paraId="2942023A">
            <w:pPr>
              <w:widowControl/>
              <w:jc w:val="left"/>
              <w:textAlignment w:val="center"/>
              <w:rPr>
                <w:rFonts w:ascii="宋体" w:hAnsi="宋体"/>
                <w:color w:val="auto"/>
                <w:kern w:val="0"/>
                <w:szCs w:val="21"/>
              </w:rPr>
            </w:pPr>
            <w:r>
              <w:rPr>
                <w:rFonts w:hint="eastAsia" w:ascii="宋体" w:hAnsi="宋体"/>
                <w:color w:val="auto"/>
                <w:kern w:val="0"/>
                <w:szCs w:val="21"/>
              </w:rPr>
              <w:t>2、支持通讯录中节点显示用户总数/在线数、群组节点显示总数、固定联系人节点显示固定联系人总数、SIP设备节点显示SIP设备总数/在线数、对讲设备节点显示对讲设备总数、对讲频道节点显示对讲频道总数；</w:t>
            </w:r>
          </w:p>
          <w:p w14:paraId="19BDCA40">
            <w:pPr>
              <w:widowControl/>
              <w:jc w:val="left"/>
              <w:textAlignment w:val="center"/>
              <w:rPr>
                <w:rFonts w:ascii="宋体" w:hAnsi="宋体"/>
                <w:color w:val="auto"/>
                <w:kern w:val="0"/>
                <w:szCs w:val="21"/>
              </w:rPr>
            </w:pPr>
            <w:r>
              <w:rPr>
                <w:rFonts w:hint="eastAsia" w:ascii="宋体" w:hAnsi="宋体"/>
                <w:color w:val="auto"/>
                <w:kern w:val="0"/>
                <w:szCs w:val="21"/>
              </w:rPr>
              <w:t>3、支持通讯录中的用户显示登录方式，如：web端、安卓手机、调度台等；</w:t>
            </w:r>
          </w:p>
          <w:p w14:paraId="35C11362">
            <w:pPr>
              <w:widowControl/>
              <w:jc w:val="left"/>
              <w:textAlignment w:val="center"/>
              <w:rPr>
                <w:rFonts w:ascii="宋体" w:hAnsi="宋体"/>
                <w:color w:val="auto"/>
                <w:kern w:val="0"/>
                <w:szCs w:val="21"/>
              </w:rPr>
            </w:pPr>
            <w:r>
              <w:rPr>
                <w:rFonts w:hint="eastAsia" w:ascii="宋体" w:hAnsi="宋体"/>
                <w:color w:val="auto"/>
                <w:kern w:val="0"/>
                <w:szCs w:val="21"/>
              </w:rPr>
              <w:t>4、支持固定联系人按组织目录结构展示；</w:t>
            </w:r>
          </w:p>
          <w:p w14:paraId="66C96D08">
            <w:pPr>
              <w:widowControl/>
              <w:jc w:val="left"/>
              <w:textAlignment w:val="center"/>
              <w:rPr>
                <w:rFonts w:ascii="宋体" w:hAnsi="宋体"/>
                <w:color w:val="auto"/>
                <w:kern w:val="0"/>
                <w:szCs w:val="21"/>
              </w:rPr>
            </w:pPr>
            <w:r>
              <w:rPr>
                <w:rFonts w:hint="eastAsia" w:ascii="宋体" w:hAnsi="宋体"/>
                <w:color w:val="auto"/>
                <w:kern w:val="0"/>
                <w:szCs w:val="21"/>
              </w:rPr>
              <w:t>5、支持固定联系人按用户配置权限；</w:t>
            </w:r>
          </w:p>
          <w:p w14:paraId="0362DE3E">
            <w:pPr>
              <w:widowControl/>
              <w:jc w:val="left"/>
              <w:textAlignment w:val="center"/>
              <w:rPr>
                <w:rFonts w:ascii="宋体" w:hAnsi="宋体"/>
                <w:color w:val="auto"/>
                <w:kern w:val="0"/>
                <w:szCs w:val="21"/>
              </w:rPr>
            </w:pPr>
            <w:r>
              <w:rPr>
                <w:rFonts w:hint="eastAsia" w:ascii="宋体" w:hAnsi="宋体"/>
                <w:color w:val="auto"/>
                <w:kern w:val="0"/>
                <w:szCs w:val="21"/>
              </w:rPr>
              <w:t>三、音频调度</w:t>
            </w:r>
          </w:p>
          <w:p w14:paraId="6D5072CA">
            <w:pPr>
              <w:widowControl/>
              <w:jc w:val="left"/>
              <w:textAlignment w:val="center"/>
              <w:rPr>
                <w:rFonts w:ascii="宋体" w:hAnsi="宋体"/>
                <w:color w:val="auto"/>
                <w:kern w:val="0"/>
                <w:szCs w:val="21"/>
              </w:rPr>
            </w:pPr>
            <w:r>
              <w:rPr>
                <w:rFonts w:hint="eastAsia" w:ascii="宋体" w:hAnsi="宋体"/>
                <w:color w:val="auto"/>
                <w:kern w:val="0"/>
                <w:szCs w:val="21"/>
              </w:rPr>
              <w:t>1、支持音频单呼能力，选择通讯录中的各类型音频资源，一键发起音频单呼；</w:t>
            </w:r>
          </w:p>
          <w:p w14:paraId="0A410DD5">
            <w:pPr>
              <w:widowControl/>
              <w:jc w:val="left"/>
              <w:textAlignment w:val="center"/>
              <w:rPr>
                <w:rFonts w:ascii="宋体" w:hAnsi="宋体"/>
                <w:color w:val="auto"/>
                <w:kern w:val="0"/>
                <w:szCs w:val="21"/>
              </w:rPr>
            </w:pPr>
            <w:r>
              <w:rPr>
                <w:rFonts w:hint="eastAsia" w:ascii="宋体" w:hAnsi="宋体"/>
                <w:color w:val="auto"/>
                <w:kern w:val="0"/>
                <w:szCs w:val="21"/>
              </w:rPr>
              <w:t>2、支持音频组呼能力，可多选通讯录中的各类音频资源，一键发起音频组呼，或编制一个固定通讯群组，针对群组发起组呼，允许组呼过程中手动停止；</w:t>
            </w:r>
          </w:p>
          <w:p w14:paraId="27287824">
            <w:pPr>
              <w:widowControl/>
              <w:jc w:val="left"/>
              <w:textAlignment w:val="center"/>
              <w:rPr>
                <w:rFonts w:ascii="宋体" w:hAnsi="宋体"/>
                <w:color w:val="auto"/>
                <w:kern w:val="0"/>
                <w:szCs w:val="21"/>
              </w:rPr>
            </w:pPr>
            <w:r>
              <w:rPr>
                <w:rFonts w:hint="eastAsia" w:ascii="宋体" w:hAnsi="宋体"/>
                <w:color w:val="auto"/>
                <w:kern w:val="0"/>
                <w:szCs w:val="21"/>
              </w:rPr>
              <w:t>四、实时广播</w:t>
            </w:r>
          </w:p>
          <w:p w14:paraId="6A0FAA23">
            <w:pPr>
              <w:widowControl/>
              <w:jc w:val="left"/>
              <w:textAlignment w:val="center"/>
              <w:rPr>
                <w:rFonts w:ascii="宋体" w:hAnsi="宋体"/>
                <w:color w:val="auto"/>
                <w:kern w:val="0"/>
                <w:szCs w:val="21"/>
              </w:rPr>
            </w:pPr>
            <w:r>
              <w:rPr>
                <w:rFonts w:hint="eastAsia" w:ascii="宋体" w:hAnsi="宋体"/>
                <w:color w:val="auto"/>
                <w:kern w:val="0"/>
                <w:szCs w:val="21"/>
              </w:rPr>
              <w:t>1、支持选择移动APP 账户、WEB 账户、固定电话、移动电话、固定联系人、IP 电话、卫星电话、视频监控等各类型资源，进行实时语音广播喊话</w:t>
            </w:r>
          </w:p>
          <w:p w14:paraId="4C3B66D3">
            <w:pPr>
              <w:widowControl/>
              <w:jc w:val="left"/>
              <w:textAlignment w:val="center"/>
              <w:rPr>
                <w:rFonts w:ascii="宋体" w:hAnsi="宋体"/>
                <w:color w:val="auto"/>
                <w:kern w:val="0"/>
                <w:szCs w:val="21"/>
              </w:rPr>
            </w:pPr>
            <w:r>
              <w:rPr>
                <w:rFonts w:hint="eastAsia" w:ascii="宋体" w:hAnsi="宋体"/>
                <w:color w:val="auto"/>
                <w:kern w:val="0"/>
                <w:szCs w:val="21"/>
              </w:rPr>
              <w:t>2、支持对音频通话进行手动录音或自动录音，音频录制到本地，并可对音频通话录音进行多条件查询，可对通话录音下载、播放；</w:t>
            </w:r>
          </w:p>
          <w:p w14:paraId="6B335F66">
            <w:pPr>
              <w:widowControl/>
              <w:jc w:val="left"/>
              <w:textAlignment w:val="center"/>
              <w:rPr>
                <w:rFonts w:ascii="宋体" w:hAnsi="宋体"/>
                <w:color w:val="auto"/>
                <w:kern w:val="0"/>
                <w:szCs w:val="21"/>
              </w:rPr>
            </w:pPr>
            <w:r>
              <w:rPr>
                <w:rFonts w:hint="eastAsia" w:ascii="宋体" w:hAnsi="宋体"/>
                <w:color w:val="auto"/>
                <w:kern w:val="0"/>
                <w:szCs w:val="21"/>
              </w:rPr>
              <w:t>五、会议调度</w:t>
            </w:r>
          </w:p>
          <w:p w14:paraId="6F23C367">
            <w:pPr>
              <w:widowControl/>
              <w:jc w:val="left"/>
              <w:textAlignment w:val="center"/>
              <w:rPr>
                <w:rFonts w:ascii="宋体" w:hAnsi="宋体"/>
                <w:color w:val="auto"/>
                <w:kern w:val="0"/>
                <w:szCs w:val="21"/>
              </w:rPr>
            </w:pPr>
            <w:r>
              <w:rPr>
                <w:rFonts w:hint="eastAsia" w:ascii="宋体" w:hAnsi="宋体"/>
                <w:color w:val="auto"/>
                <w:kern w:val="0"/>
                <w:szCs w:val="21"/>
              </w:rPr>
              <w:t>1、支持通过SIP、H.323协议接入视频会议终端、视频会议MCU；</w:t>
            </w:r>
          </w:p>
          <w:p w14:paraId="2AFFC300">
            <w:pPr>
              <w:widowControl/>
              <w:jc w:val="left"/>
              <w:textAlignment w:val="center"/>
              <w:rPr>
                <w:rFonts w:hint="eastAsia" w:ascii="宋体" w:hAnsi="宋体"/>
                <w:color w:val="auto"/>
                <w:kern w:val="0"/>
                <w:szCs w:val="21"/>
              </w:rPr>
            </w:pPr>
            <w:r>
              <w:rPr>
                <w:rFonts w:hint="eastAsia" w:ascii="宋体" w:hAnsi="宋体"/>
                <w:color w:val="auto"/>
                <w:kern w:val="0"/>
                <w:szCs w:val="21"/>
              </w:rPr>
              <w:t>▲2、支持编制会议议案，可通过固定场景与成员需求，选择移动设备、会议设备、视频设备、对讲设备等各类型音视频资源以及相关人员手机号等，形成会议预案组，通过会议预案组一键发起会议；（需提供第三方检测机构出具的检测证书并加盖制造商公章佐证）</w:t>
            </w:r>
          </w:p>
          <w:p w14:paraId="3976A429">
            <w:pPr>
              <w:widowControl/>
              <w:jc w:val="left"/>
              <w:textAlignment w:val="center"/>
              <w:rPr>
                <w:rFonts w:ascii="宋体" w:hAnsi="宋体"/>
                <w:color w:val="auto"/>
                <w:szCs w:val="21"/>
              </w:rPr>
            </w:pPr>
            <w:r>
              <w:rPr>
                <w:rFonts w:hint="eastAsia" w:ascii="宋体" w:hAnsi="宋体"/>
                <w:color w:val="auto"/>
                <w:kern w:val="0"/>
                <w:szCs w:val="21"/>
              </w:rPr>
              <w:t>3、发起会议时，支持选择会议成员进行混合组会，包含平台已接入的，如APP 用户、WEB用户、ip 电话、固定电话、移动电话、卫星电话、ip 广播、会议设备、视频设备、固定联系人手机、对讲设备（支持全双工、半双工）、对讲频道等各类型音视频资源；</w:t>
            </w:r>
          </w:p>
        </w:tc>
        <w:tc>
          <w:tcPr>
            <w:tcW w:w="687" w:type="dxa"/>
            <w:tcBorders>
              <w:top w:val="nil"/>
              <w:left w:val="nil"/>
              <w:bottom w:val="single" w:color="000000" w:sz="8" w:space="0"/>
              <w:right w:val="single" w:color="000000" w:sz="8" w:space="0"/>
            </w:tcBorders>
            <w:shd w:val="clear" w:color="auto" w:fill="auto"/>
            <w:vAlign w:val="center"/>
          </w:tcPr>
          <w:p w14:paraId="533B4D79">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6DDDF2C0">
            <w:pPr>
              <w:widowControl/>
              <w:jc w:val="center"/>
              <w:textAlignment w:val="center"/>
              <w:rPr>
                <w:rFonts w:ascii="宋体" w:hAnsi="宋体"/>
                <w:color w:val="auto"/>
                <w:szCs w:val="21"/>
              </w:rPr>
            </w:pPr>
            <w:r>
              <w:rPr>
                <w:rFonts w:hint="eastAsia" w:ascii="宋体" w:hAnsi="宋体"/>
                <w:color w:val="auto"/>
                <w:kern w:val="0"/>
                <w:szCs w:val="21"/>
              </w:rPr>
              <w:t>套</w:t>
            </w:r>
          </w:p>
        </w:tc>
      </w:tr>
      <w:tr w14:paraId="2255783A">
        <w:tblPrEx>
          <w:tblCellMar>
            <w:top w:w="0" w:type="dxa"/>
            <w:left w:w="108" w:type="dxa"/>
            <w:bottom w:w="0" w:type="dxa"/>
            <w:right w:w="108" w:type="dxa"/>
          </w:tblCellMar>
        </w:tblPrEx>
        <w:trPr>
          <w:trHeight w:val="2878"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20DEC638">
            <w:pPr>
              <w:widowControl/>
              <w:jc w:val="center"/>
              <w:textAlignment w:val="center"/>
              <w:rPr>
                <w:rFonts w:ascii="宋体" w:hAnsi="宋体"/>
                <w:color w:val="auto"/>
                <w:szCs w:val="21"/>
              </w:rPr>
            </w:pPr>
            <w:r>
              <w:rPr>
                <w:rFonts w:hint="eastAsia" w:ascii="宋体" w:hAnsi="宋体"/>
                <w:color w:val="auto"/>
                <w:kern w:val="0"/>
                <w:szCs w:val="21"/>
              </w:rPr>
              <w:t>16</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480872">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00F09C22">
            <w:pPr>
              <w:widowControl/>
              <w:jc w:val="left"/>
              <w:textAlignment w:val="center"/>
              <w:rPr>
                <w:rFonts w:ascii="宋体" w:hAnsi="宋体"/>
                <w:color w:val="auto"/>
                <w:kern w:val="0"/>
                <w:szCs w:val="21"/>
              </w:rPr>
            </w:pPr>
            <w:r>
              <w:rPr>
                <w:rFonts w:hint="eastAsia" w:ascii="宋体" w:hAnsi="宋体"/>
                <w:color w:val="auto"/>
                <w:kern w:val="0"/>
                <w:szCs w:val="21"/>
              </w:rPr>
              <w:t>融合通信南向接口（通过国标协议对接县域音视频资源）</w:t>
            </w:r>
          </w:p>
        </w:tc>
        <w:tc>
          <w:tcPr>
            <w:tcW w:w="5782" w:type="dxa"/>
            <w:tcBorders>
              <w:top w:val="nil"/>
              <w:left w:val="nil"/>
              <w:bottom w:val="single" w:color="000000" w:sz="8" w:space="0"/>
              <w:right w:val="single" w:color="000000" w:sz="8" w:space="0"/>
            </w:tcBorders>
            <w:shd w:val="clear" w:color="auto" w:fill="auto"/>
            <w:vAlign w:val="center"/>
          </w:tcPr>
          <w:p w14:paraId="4667EB99">
            <w:pPr>
              <w:widowControl/>
              <w:jc w:val="left"/>
              <w:textAlignment w:val="center"/>
              <w:rPr>
                <w:rFonts w:ascii="宋体" w:hAnsi="宋体"/>
                <w:color w:val="auto"/>
                <w:szCs w:val="21"/>
              </w:rPr>
            </w:pPr>
            <w:r>
              <w:rPr>
                <w:rFonts w:hint="eastAsia" w:ascii="宋体" w:hAnsi="宋体"/>
                <w:color w:val="auto"/>
                <w:kern w:val="0"/>
                <w:szCs w:val="21"/>
              </w:rPr>
              <w:t>基于国标协议对接县域内各类音视频资源，实现资源的统一汇聚与接入</w:t>
            </w:r>
          </w:p>
        </w:tc>
        <w:tc>
          <w:tcPr>
            <w:tcW w:w="687" w:type="dxa"/>
            <w:tcBorders>
              <w:top w:val="nil"/>
              <w:left w:val="nil"/>
              <w:bottom w:val="single" w:color="000000" w:sz="8" w:space="0"/>
              <w:right w:val="single" w:color="000000" w:sz="8" w:space="0"/>
            </w:tcBorders>
            <w:shd w:val="clear" w:color="auto" w:fill="auto"/>
            <w:vAlign w:val="center"/>
          </w:tcPr>
          <w:p w14:paraId="53918801">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403FA163">
            <w:pPr>
              <w:widowControl/>
              <w:jc w:val="center"/>
              <w:textAlignment w:val="center"/>
              <w:rPr>
                <w:rFonts w:ascii="宋体" w:hAnsi="宋体"/>
                <w:color w:val="auto"/>
                <w:szCs w:val="21"/>
              </w:rPr>
            </w:pPr>
            <w:r>
              <w:rPr>
                <w:rFonts w:hint="eastAsia" w:ascii="宋体" w:hAnsi="宋体"/>
                <w:color w:val="auto"/>
                <w:kern w:val="0"/>
                <w:szCs w:val="21"/>
              </w:rPr>
              <w:t>套</w:t>
            </w:r>
          </w:p>
        </w:tc>
      </w:tr>
      <w:tr w14:paraId="53235AA6">
        <w:tblPrEx>
          <w:tblCellMar>
            <w:top w:w="0" w:type="dxa"/>
            <w:left w:w="108" w:type="dxa"/>
            <w:bottom w:w="0" w:type="dxa"/>
            <w:right w:w="108" w:type="dxa"/>
          </w:tblCellMar>
        </w:tblPrEx>
        <w:trPr>
          <w:trHeight w:val="2243" w:hRule="atLeast"/>
        </w:trPr>
        <w:tc>
          <w:tcPr>
            <w:tcW w:w="417" w:type="dxa"/>
            <w:tcBorders>
              <w:top w:val="nil"/>
              <w:left w:val="single" w:color="000000" w:sz="8" w:space="0"/>
              <w:bottom w:val="single" w:color="000000" w:sz="8" w:space="0"/>
              <w:right w:val="single" w:color="000000" w:sz="8" w:space="0"/>
            </w:tcBorders>
            <w:shd w:val="clear" w:color="auto" w:fill="auto"/>
            <w:vAlign w:val="center"/>
          </w:tcPr>
          <w:p w14:paraId="14B1F274">
            <w:pPr>
              <w:widowControl/>
              <w:jc w:val="center"/>
              <w:textAlignment w:val="center"/>
              <w:rPr>
                <w:rFonts w:ascii="宋体" w:hAnsi="宋体"/>
                <w:color w:val="auto"/>
                <w:szCs w:val="21"/>
              </w:rPr>
            </w:pPr>
            <w:r>
              <w:rPr>
                <w:rFonts w:hint="eastAsia" w:ascii="宋体" w:hAnsi="宋体"/>
                <w:color w:val="auto"/>
                <w:kern w:val="0"/>
                <w:szCs w:val="21"/>
              </w:rPr>
              <w:t>17</w:t>
            </w:r>
          </w:p>
        </w:tc>
        <w:tc>
          <w:tcPr>
            <w:tcW w:w="563"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369141">
            <w:pPr>
              <w:jc w:val="center"/>
              <w:rPr>
                <w:rFonts w:ascii="宋体" w:hAnsi="宋体"/>
                <w:color w:val="auto"/>
                <w:szCs w:val="21"/>
              </w:rPr>
            </w:pPr>
          </w:p>
        </w:tc>
        <w:tc>
          <w:tcPr>
            <w:tcW w:w="724" w:type="dxa"/>
            <w:tcBorders>
              <w:top w:val="nil"/>
              <w:left w:val="nil"/>
              <w:bottom w:val="single" w:color="000000" w:sz="8" w:space="0"/>
              <w:right w:val="single" w:color="000000" w:sz="8" w:space="0"/>
            </w:tcBorders>
            <w:shd w:val="clear" w:color="auto" w:fill="auto"/>
            <w:vAlign w:val="center"/>
          </w:tcPr>
          <w:p w14:paraId="21591A69">
            <w:pPr>
              <w:widowControl/>
              <w:jc w:val="left"/>
              <w:textAlignment w:val="center"/>
              <w:rPr>
                <w:rFonts w:ascii="宋体" w:hAnsi="宋体"/>
                <w:color w:val="auto"/>
                <w:kern w:val="0"/>
                <w:szCs w:val="21"/>
              </w:rPr>
            </w:pPr>
            <w:r>
              <w:rPr>
                <w:rFonts w:hint="eastAsia" w:ascii="宋体" w:hAnsi="宋体"/>
                <w:color w:val="auto"/>
                <w:kern w:val="0"/>
                <w:szCs w:val="21"/>
              </w:rPr>
              <w:t>融合通信北向级联接口（对接地市级平台）</w:t>
            </w:r>
          </w:p>
        </w:tc>
        <w:tc>
          <w:tcPr>
            <w:tcW w:w="5782" w:type="dxa"/>
            <w:tcBorders>
              <w:top w:val="nil"/>
              <w:left w:val="nil"/>
              <w:bottom w:val="single" w:color="000000" w:sz="8" w:space="0"/>
              <w:right w:val="single" w:color="000000" w:sz="8" w:space="0"/>
            </w:tcBorders>
            <w:shd w:val="clear" w:color="auto" w:fill="auto"/>
            <w:vAlign w:val="center"/>
          </w:tcPr>
          <w:p w14:paraId="349893CE">
            <w:pPr>
              <w:widowControl/>
              <w:jc w:val="left"/>
              <w:textAlignment w:val="center"/>
              <w:rPr>
                <w:rFonts w:ascii="宋体" w:hAnsi="宋体"/>
                <w:color w:val="auto"/>
                <w:szCs w:val="21"/>
              </w:rPr>
            </w:pPr>
            <w:r>
              <w:rPr>
                <w:rFonts w:hint="eastAsia" w:ascii="宋体" w:hAnsi="宋体"/>
                <w:color w:val="auto"/>
                <w:kern w:val="0"/>
                <w:szCs w:val="21"/>
              </w:rPr>
              <w:t>实现县域融合通信系统与地市级平台的级联对接，向上级同步应急资源与指挥信息</w:t>
            </w:r>
          </w:p>
        </w:tc>
        <w:tc>
          <w:tcPr>
            <w:tcW w:w="687" w:type="dxa"/>
            <w:tcBorders>
              <w:top w:val="nil"/>
              <w:left w:val="nil"/>
              <w:bottom w:val="single" w:color="000000" w:sz="8" w:space="0"/>
              <w:right w:val="single" w:color="000000" w:sz="8" w:space="0"/>
            </w:tcBorders>
            <w:shd w:val="clear" w:color="auto" w:fill="auto"/>
            <w:vAlign w:val="center"/>
          </w:tcPr>
          <w:p w14:paraId="7199B3E9">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13C2A105">
            <w:pPr>
              <w:widowControl/>
              <w:jc w:val="center"/>
              <w:textAlignment w:val="center"/>
              <w:rPr>
                <w:rFonts w:ascii="宋体" w:hAnsi="宋体"/>
                <w:color w:val="auto"/>
                <w:szCs w:val="21"/>
              </w:rPr>
            </w:pPr>
            <w:r>
              <w:rPr>
                <w:rFonts w:hint="eastAsia" w:ascii="宋体" w:hAnsi="宋体"/>
                <w:color w:val="auto"/>
                <w:kern w:val="0"/>
                <w:szCs w:val="21"/>
              </w:rPr>
              <w:t>套</w:t>
            </w:r>
          </w:p>
        </w:tc>
      </w:tr>
      <w:tr w14:paraId="2AF14D2B">
        <w:tblPrEx>
          <w:tblCellMar>
            <w:top w:w="0" w:type="dxa"/>
            <w:left w:w="108" w:type="dxa"/>
            <w:bottom w:w="0" w:type="dxa"/>
            <w:right w:w="108" w:type="dxa"/>
          </w:tblCellMar>
        </w:tblPrEx>
        <w:trPr>
          <w:trHeight w:val="8593" w:hRule="atLeast"/>
        </w:trPr>
        <w:tc>
          <w:tcPr>
            <w:tcW w:w="417" w:type="dxa"/>
            <w:tcBorders>
              <w:top w:val="nil"/>
              <w:left w:val="single" w:color="000000" w:sz="8" w:space="0"/>
              <w:bottom w:val="single" w:color="auto" w:sz="4" w:space="0"/>
              <w:right w:val="single" w:color="000000" w:sz="8" w:space="0"/>
            </w:tcBorders>
            <w:shd w:val="clear" w:color="auto" w:fill="auto"/>
            <w:vAlign w:val="center"/>
          </w:tcPr>
          <w:p w14:paraId="562A1F9F">
            <w:pPr>
              <w:widowControl/>
              <w:jc w:val="center"/>
              <w:textAlignment w:val="center"/>
              <w:rPr>
                <w:rFonts w:ascii="宋体" w:hAnsi="宋体"/>
                <w:color w:val="auto"/>
                <w:szCs w:val="21"/>
              </w:rPr>
            </w:pPr>
            <w:r>
              <w:rPr>
                <w:rFonts w:hint="eastAsia" w:ascii="宋体" w:hAnsi="宋体"/>
                <w:color w:val="auto"/>
                <w:kern w:val="0"/>
                <w:szCs w:val="21"/>
              </w:rPr>
              <w:t>18</w:t>
            </w:r>
          </w:p>
        </w:tc>
        <w:tc>
          <w:tcPr>
            <w:tcW w:w="563" w:type="dxa"/>
            <w:gridSpan w:val="2"/>
            <w:tcBorders>
              <w:top w:val="nil"/>
              <w:left w:val="nil"/>
              <w:bottom w:val="single" w:color="auto" w:sz="4" w:space="0"/>
              <w:right w:val="single" w:color="000000" w:sz="8" w:space="0"/>
            </w:tcBorders>
            <w:shd w:val="clear" w:color="auto" w:fill="auto"/>
            <w:vAlign w:val="center"/>
          </w:tcPr>
          <w:p w14:paraId="14ABF134">
            <w:pPr>
              <w:widowControl/>
              <w:jc w:val="left"/>
              <w:textAlignment w:val="center"/>
              <w:rPr>
                <w:rFonts w:ascii="宋体" w:hAnsi="宋体"/>
                <w:color w:val="auto"/>
                <w:szCs w:val="21"/>
              </w:rPr>
            </w:pPr>
            <w:r>
              <w:rPr>
                <w:rFonts w:hint="eastAsia" w:ascii="宋体" w:hAnsi="宋体"/>
                <w:color w:val="auto"/>
                <w:kern w:val="0"/>
                <w:szCs w:val="21"/>
              </w:rPr>
              <w:t>无人机机场</w:t>
            </w:r>
          </w:p>
        </w:tc>
        <w:tc>
          <w:tcPr>
            <w:tcW w:w="724" w:type="dxa"/>
            <w:tcBorders>
              <w:top w:val="nil"/>
              <w:left w:val="nil"/>
              <w:bottom w:val="single" w:color="auto" w:sz="4" w:space="0"/>
              <w:right w:val="single" w:color="000000" w:sz="8" w:space="0"/>
            </w:tcBorders>
            <w:shd w:val="clear" w:color="auto" w:fill="auto"/>
            <w:vAlign w:val="center"/>
          </w:tcPr>
          <w:p w14:paraId="7B1E8D67">
            <w:pPr>
              <w:widowControl/>
              <w:jc w:val="left"/>
              <w:textAlignment w:val="center"/>
              <w:rPr>
                <w:rFonts w:ascii="宋体" w:hAnsi="宋体"/>
                <w:color w:val="auto"/>
                <w:szCs w:val="21"/>
              </w:rPr>
            </w:pPr>
            <w:r>
              <w:rPr>
                <w:rFonts w:hint="eastAsia" w:ascii="宋体" w:hAnsi="宋体"/>
                <w:color w:val="auto"/>
                <w:szCs w:val="21"/>
              </w:rPr>
              <w:t>★</w:t>
            </w:r>
            <w:r>
              <w:rPr>
                <w:rFonts w:hint="eastAsia" w:ascii="宋体" w:hAnsi="宋体"/>
                <w:color w:val="auto"/>
                <w:kern w:val="0"/>
                <w:szCs w:val="21"/>
              </w:rPr>
              <w:t>无人机机场</w:t>
            </w:r>
            <w:r>
              <w:rPr>
                <w:rFonts w:hint="eastAsia" w:ascii="宋体" w:hAnsi="宋体"/>
                <w:b/>
                <w:bCs/>
                <w:color w:val="auto"/>
                <w:kern w:val="0"/>
                <w:szCs w:val="21"/>
              </w:rPr>
              <w:t>（核心产品）</w:t>
            </w:r>
          </w:p>
        </w:tc>
        <w:tc>
          <w:tcPr>
            <w:tcW w:w="5782" w:type="dxa"/>
            <w:tcBorders>
              <w:top w:val="nil"/>
              <w:left w:val="nil"/>
              <w:bottom w:val="single" w:color="auto" w:sz="4" w:space="0"/>
              <w:right w:val="single" w:color="000000" w:sz="8" w:space="0"/>
            </w:tcBorders>
            <w:shd w:val="clear" w:color="auto" w:fill="auto"/>
            <w:vAlign w:val="center"/>
          </w:tcPr>
          <w:p w14:paraId="7D7B5D63">
            <w:pPr>
              <w:widowControl/>
              <w:jc w:val="left"/>
              <w:textAlignment w:val="center"/>
              <w:rPr>
                <w:rFonts w:ascii="宋体" w:hAnsi="宋体"/>
                <w:color w:val="auto"/>
                <w:szCs w:val="21"/>
              </w:rPr>
            </w:pPr>
            <w:r>
              <w:rPr>
                <w:rFonts w:hint="eastAsia" w:ascii="宋体" w:hAnsi="宋体"/>
                <w:color w:val="auto"/>
                <w:szCs w:val="21"/>
              </w:rPr>
              <w:t>轻量化部署：体积较轻，可支持部署在各种环境，无需基建施工</w:t>
            </w:r>
          </w:p>
          <w:p w14:paraId="39ACD439">
            <w:pPr>
              <w:widowControl/>
              <w:jc w:val="left"/>
              <w:textAlignment w:val="center"/>
              <w:rPr>
                <w:rFonts w:ascii="宋体" w:hAnsi="宋体"/>
                <w:color w:val="auto"/>
                <w:szCs w:val="21"/>
              </w:rPr>
            </w:pPr>
            <w:r>
              <w:rPr>
                <w:rFonts w:hint="eastAsia" w:ascii="宋体" w:hAnsi="宋体"/>
                <w:color w:val="auto"/>
                <w:szCs w:val="21"/>
              </w:rPr>
              <w:t>温控系统：通过保持设备内部恒温恒湿条件，保证无人机、电池及其他设备最佳运行状态，延长使用寿命。</w:t>
            </w:r>
          </w:p>
          <w:p w14:paraId="2F35BC06">
            <w:pPr>
              <w:widowControl/>
              <w:jc w:val="left"/>
              <w:textAlignment w:val="center"/>
              <w:rPr>
                <w:rFonts w:ascii="宋体" w:hAnsi="宋体"/>
                <w:color w:val="auto"/>
                <w:szCs w:val="21"/>
              </w:rPr>
            </w:pPr>
            <w:r>
              <w:rPr>
                <w:rFonts w:hint="eastAsia" w:ascii="宋体" w:hAnsi="宋体"/>
                <w:color w:val="auto"/>
                <w:szCs w:val="21"/>
              </w:rPr>
              <w:t>自动充电：无人机执行任务完毕后自动返回基站内部充电，无需人工换电。</w:t>
            </w:r>
          </w:p>
          <w:p w14:paraId="3E733D5C">
            <w:pPr>
              <w:widowControl/>
              <w:jc w:val="left"/>
              <w:textAlignment w:val="center"/>
              <w:rPr>
                <w:rFonts w:ascii="宋体" w:hAnsi="宋体"/>
                <w:color w:val="auto"/>
                <w:szCs w:val="21"/>
              </w:rPr>
            </w:pPr>
            <w:r>
              <w:rPr>
                <w:rFonts w:hint="eastAsia" w:ascii="宋体" w:hAnsi="宋体"/>
                <w:color w:val="auto"/>
                <w:szCs w:val="21"/>
              </w:rPr>
              <w:t>立体监测：具备巢外监控摄像头；气象、温度、湿度等多种传感器；无人机实时画面回传，组成立体监测系统，全方位监测机库、无人机运行状态。</w:t>
            </w:r>
          </w:p>
          <w:p w14:paraId="15CF5926">
            <w:pPr>
              <w:widowControl/>
              <w:jc w:val="left"/>
              <w:textAlignment w:val="center"/>
              <w:rPr>
                <w:rFonts w:ascii="宋体" w:hAnsi="宋体"/>
                <w:color w:val="auto"/>
                <w:szCs w:val="21"/>
              </w:rPr>
            </w:pPr>
            <w:r>
              <w:rPr>
                <w:rFonts w:hint="eastAsia" w:ascii="宋体" w:hAnsi="宋体"/>
                <w:color w:val="auto"/>
                <w:szCs w:val="21"/>
              </w:rPr>
              <w:t>高冗余度：具备RTK定位与视觉识别系统融合降落技术，降落更精准（需配备RTK无人机）；内置控制系统多项运行检测，不满足作业条件时禁止指令执行，防止发生危险。</w:t>
            </w:r>
          </w:p>
          <w:p w14:paraId="14A19826">
            <w:pPr>
              <w:widowControl/>
              <w:jc w:val="left"/>
              <w:textAlignment w:val="center"/>
              <w:rPr>
                <w:rFonts w:ascii="宋体" w:hAnsi="宋体"/>
                <w:color w:val="auto"/>
                <w:szCs w:val="21"/>
              </w:rPr>
            </w:pPr>
            <w:r>
              <w:rPr>
                <w:rFonts w:hint="eastAsia" w:ascii="宋体" w:hAnsi="宋体"/>
                <w:color w:val="auto"/>
                <w:szCs w:val="21"/>
              </w:rPr>
              <w:t>自由规划：具备正射、倾斜、线状、精细、环形等10余种航线规划模式，也支持自定义航点规划模式、三维航线规划导入模式，可自由规划航线。</w:t>
            </w:r>
          </w:p>
          <w:p w14:paraId="7308A4BC">
            <w:pPr>
              <w:widowControl/>
              <w:jc w:val="left"/>
              <w:textAlignment w:val="center"/>
              <w:rPr>
                <w:rFonts w:ascii="宋体" w:hAnsi="宋体"/>
                <w:color w:val="auto"/>
                <w:szCs w:val="21"/>
              </w:rPr>
            </w:pPr>
            <w:r>
              <w:rPr>
                <w:rFonts w:hint="eastAsia" w:ascii="宋体" w:hAnsi="宋体"/>
                <w:color w:val="auto"/>
                <w:szCs w:val="21"/>
              </w:rPr>
              <w:t>远程控制：支持远程指令下达，控制无人机智能机库中的机械结构，也可以在任务执行过程中手动远程操作无人机</w:t>
            </w:r>
          </w:p>
          <w:p w14:paraId="55A1F6E9">
            <w:pPr>
              <w:widowControl/>
              <w:jc w:val="left"/>
              <w:textAlignment w:val="center"/>
              <w:rPr>
                <w:rFonts w:ascii="宋体" w:hAnsi="宋体"/>
                <w:color w:val="auto"/>
                <w:szCs w:val="21"/>
              </w:rPr>
            </w:pPr>
            <w:r>
              <w:rPr>
                <w:rFonts w:hint="eastAsia" w:ascii="宋体" w:hAnsi="宋体"/>
                <w:color w:val="auto"/>
                <w:szCs w:val="21"/>
              </w:rPr>
              <w:t>在无风环境下的飞行最长时长≥35分钟</w:t>
            </w:r>
          </w:p>
          <w:p w14:paraId="0F7EAD72">
            <w:pPr>
              <w:widowControl/>
              <w:jc w:val="left"/>
              <w:textAlignment w:val="center"/>
              <w:rPr>
                <w:rFonts w:ascii="宋体" w:hAnsi="宋体"/>
                <w:color w:val="auto"/>
                <w:szCs w:val="21"/>
              </w:rPr>
            </w:pPr>
            <w:r>
              <w:rPr>
                <w:rFonts w:hint="eastAsia" w:ascii="宋体" w:hAnsi="宋体"/>
                <w:color w:val="auto"/>
                <w:szCs w:val="21"/>
              </w:rPr>
              <w:t>双光镜头，热成像相机分辨率达 640x512。可见光相机可实现1-16倍变焦</w:t>
            </w:r>
          </w:p>
          <w:p w14:paraId="7821F1FE">
            <w:pPr>
              <w:widowControl/>
              <w:jc w:val="left"/>
              <w:textAlignment w:val="center"/>
              <w:rPr>
                <w:rFonts w:ascii="宋体" w:hAnsi="宋体"/>
                <w:color w:val="auto"/>
                <w:szCs w:val="21"/>
              </w:rPr>
            </w:pPr>
            <w:r>
              <w:rPr>
                <w:rFonts w:hint="eastAsia" w:ascii="宋体" w:hAnsi="宋体"/>
                <w:color w:val="auto"/>
                <w:szCs w:val="21"/>
              </w:rPr>
              <w:t>含一体式六参数气象站（温度、湿度、气压、风速、风向、雨量），巢外监控摄像头、补光灯</w:t>
            </w:r>
          </w:p>
          <w:p w14:paraId="262EACCC">
            <w:pPr>
              <w:widowControl/>
              <w:jc w:val="left"/>
              <w:textAlignment w:val="center"/>
              <w:rPr>
                <w:rFonts w:ascii="宋体" w:hAnsi="宋体"/>
                <w:color w:val="auto"/>
                <w:szCs w:val="21"/>
              </w:rPr>
            </w:pPr>
            <w:r>
              <w:rPr>
                <w:rFonts w:hint="eastAsia" w:ascii="宋体" w:hAnsi="宋体"/>
                <w:color w:val="auto"/>
                <w:szCs w:val="21"/>
              </w:rPr>
              <w:t>可支持实时喊话功能</w:t>
            </w:r>
          </w:p>
          <w:p w14:paraId="1B5BC8E7">
            <w:pPr>
              <w:widowControl/>
              <w:jc w:val="left"/>
              <w:textAlignment w:val="center"/>
              <w:rPr>
                <w:rFonts w:ascii="宋体" w:hAnsi="宋体"/>
                <w:color w:val="auto"/>
                <w:szCs w:val="21"/>
              </w:rPr>
            </w:pPr>
            <w:r>
              <w:rPr>
                <w:rFonts w:hint="eastAsia" w:ascii="宋体" w:hAnsi="宋体"/>
                <w:color w:val="auto"/>
                <w:szCs w:val="21"/>
              </w:rPr>
              <w:t>指挥调度：可视化指挥调度，提供卫星图，电子图、正射影像图、倾斜三维模型等多样化底图接入，在线或者离线地图</w:t>
            </w:r>
          </w:p>
          <w:p w14:paraId="7CFC694F">
            <w:pPr>
              <w:widowControl/>
              <w:jc w:val="left"/>
              <w:textAlignment w:val="center"/>
              <w:rPr>
                <w:rFonts w:ascii="宋体" w:hAnsi="宋体"/>
                <w:color w:val="auto"/>
                <w:szCs w:val="21"/>
              </w:rPr>
            </w:pPr>
            <w:r>
              <w:rPr>
                <w:rFonts w:hint="eastAsia" w:ascii="宋体" w:hAnsi="宋体"/>
                <w:color w:val="auto"/>
                <w:szCs w:val="21"/>
              </w:rPr>
              <w:t>数据管理与展示：支持对机巡和人巡的巡检成果进行统一规范化管理</w:t>
            </w:r>
          </w:p>
          <w:p w14:paraId="14448F64">
            <w:pPr>
              <w:widowControl/>
              <w:jc w:val="left"/>
              <w:textAlignment w:val="center"/>
              <w:rPr>
                <w:rFonts w:ascii="宋体" w:hAnsi="宋体"/>
                <w:color w:val="auto"/>
                <w:szCs w:val="21"/>
              </w:rPr>
            </w:pPr>
            <w:r>
              <w:rPr>
                <w:rFonts w:hint="eastAsia" w:ascii="宋体" w:hAnsi="宋体"/>
                <w:color w:val="auto"/>
                <w:szCs w:val="21"/>
              </w:rPr>
              <w:t>智能机库管理：提供对无人机飞行器、智能机库设备、安防监控设备及移动操作终端的信息查询与配置。</w:t>
            </w:r>
          </w:p>
          <w:p w14:paraId="66606C92">
            <w:pPr>
              <w:rPr>
                <w:rFonts w:ascii="宋体" w:hAnsi="宋体"/>
                <w:color w:val="auto"/>
                <w:szCs w:val="21"/>
              </w:rPr>
            </w:pPr>
            <w:r>
              <w:rPr>
                <w:rFonts w:hint="eastAsia" w:ascii="宋体" w:hAnsi="宋体"/>
                <w:color w:val="auto"/>
                <w:szCs w:val="21"/>
              </w:rPr>
              <w:t>系统设置功能：账号管理、图层管理、任务管理、问题类型、地图参数、日志管理、系统更新管理</w:t>
            </w:r>
          </w:p>
        </w:tc>
        <w:tc>
          <w:tcPr>
            <w:tcW w:w="687" w:type="dxa"/>
            <w:tcBorders>
              <w:top w:val="nil"/>
              <w:left w:val="nil"/>
              <w:bottom w:val="single" w:color="auto" w:sz="4" w:space="0"/>
              <w:right w:val="single" w:color="000000" w:sz="8" w:space="0"/>
            </w:tcBorders>
            <w:shd w:val="clear" w:color="auto" w:fill="auto"/>
            <w:vAlign w:val="center"/>
          </w:tcPr>
          <w:p w14:paraId="6E18EE96">
            <w:pPr>
              <w:widowControl/>
              <w:jc w:val="center"/>
              <w:textAlignment w:val="center"/>
              <w:rPr>
                <w:rFonts w:ascii="宋体" w:hAnsi="宋体"/>
                <w:color w:val="auto"/>
                <w:szCs w:val="21"/>
              </w:rPr>
            </w:pPr>
            <w:r>
              <w:rPr>
                <w:rFonts w:hint="eastAsia" w:ascii="宋体" w:hAnsi="宋体"/>
                <w:color w:val="auto"/>
                <w:kern w:val="0"/>
                <w:szCs w:val="21"/>
              </w:rPr>
              <w:t>4</w:t>
            </w:r>
          </w:p>
        </w:tc>
        <w:tc>
          <w:tcPr>
            <w:tcW w:w="627" w:type="dxa"/>
            <w:vMerge w:val="restart"/>
            <w:tcBorders>
              <w:top w:val="nil"/>
              <w:left w:val="nil"/>
              <w:right w:val="single" w:color="000000" w:sz="8" w:space="0"/>
            </w:tcBorders>
            <w:shd w:val="clear" w:color="auto" w:fill="auto"/>
            <w:vAlign w:val="center"/>
          </w:tcPr>
          <w:p w14:paraId="7B637BD2">
            <w:pPr>
              <w:widowControl/>
              <w:jc w:val="center"/>
              <w:textAlignment w:val="center"/>
              <w:rPr>
                <w:rFonts w:ascii="宋体" w:hAnsi="宋体"/>
                <w:color w:val="auto"/>
                <w:szCs w:val="21"/>
              </w:rPr>
            </w:pPr>
            <w:r>
              <w:rPr>
                <w:rFonts w:hint="eastAsia" w:ascii="宋体" w:hAnsi="宋体"/>
                <w:color w:val="auto"/>
                <w:kern w:val="0"/>
                <w:szCs w:val="21"/>
              </w:rPr>
              <w:t>套</w:t>
            </w:r>
          </w:p>
        </w:tc>
      </w:tr>
      <w:tr w14:paraId="3A90E9A4">
        <w:tblPrEx>
          <w:tblCellMar>
            <w:top w:w="0" w:type="dxa"/>
            <w:left w:w="108" w:type="dxa"/>
            <w:bottom w:w="0" w:type="dxa"/>
            <w:right w:w="108" w:type="dxa"/>
          </w:tblCellMar>
        </w:tblPrEx>
        <w:trPr>
          <w:trHeight w:val="7313" w:hRule="atLeast"/>
        </w:trPr>
        <w:tc>
          <w:tcPr>
            <w:tcW w:w="417" w:type="dxa"/>
            <w:tcBorders>
              <w:top w:val="single" w:color="auto" w:sz="4" w:space="0"/>
              <w:left w:val="single" w:color="000000" w:sz="8" w:space="0"/>
              <w:bottom w:val="single" w:color="auto" w:sz="4" w:space="0"/>
              <w:right w:val="single" w:color="000000" w:sz="8" w:space="0"/>
            </w:tcBorders>
            <w:shd w:val="clear" w:color="auto" w:fill="auto"/>
            <w:vAlign w:val="center"/>
          </w:tcPr>
          <w:p w14:paraId="4991D24C">
            <w:pPr>
              <w:widowControl/>
              <w:jc w:val="center"/>
              <w:textAlignment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17</w:t>
            </w:r>
          </w:p>
        </w:tc>
        <w:tc>
          <w:tcPr>
            <w:tcW w:w="563" w:type="dxa"/>
            <w:gridSpan w:val="2"/>
            <w:tcBorders>
              <w:top w:val="single" w:color="auto" w:sz="4" w:space="0"/>
              <w:left w:val="nil"/>
              <w:bottom w:val="single" w:color="auto" w:sz="4" w:space="0"/>
              <w:right w:val="single" w:color="000000" w:sz="8" w:space="0"/>
            </w:tcBorders>
            <w:shd w:val="clear" w:color="auto" w:fill="auto"/>
            <w:vAlign w:val="center"/>
          </w:tcPr>
          <w:p w14:paraId="335FC126">
            <w:pPr>
              <w:widowControl/>
              <w:jc w:val="left"/>
              <w:textAlignment w:val="center"/>
              <w:rPr>
                <w:rFonts w:hint="eastAsia" w:ascii="宋体" w:hAnsi="宋体"/>
                <w:color w:val="auto"/>
                <w:kern w:val="0"/>
                <w:szCs w:val="21"/>
              </w:rPr>
            </w:pPr>
          </w:p>
        </w:tc>
        <w:tc>
          <w:tcPr>
            <w:tcW w:w="724" w:type="dxa"/>
            <w:tcBorders>
              <w:top w:val="single" w:color="auto" w:sz="4" w:space="0"/>
              <w:left w:val="nil"/>
              <w:bottom w:val="single" w:color="auto" w:sz="4" w:space="0"/>
              <w:right w:val="single" w:color="000000" w:sz="8" w:space="0"/>
            </w:tcBorders>
            <w:shd w:val="clear" w:color="auto" w:fill="auto"/>
            <w:vAlign w:val="center"/>
          </w:tcPr>
          <w:p w14:paraId="1C74229F">
            <w:pPr>
              <w:widowControl/>
              <w:jc w:val="left"/>
              <w:textAlignment w:val="center"/>
              <w:rPr>
                <w:rFonts w:hint="eastAsia" w:ascii="宋体" w:hAnsi="宋体"/>
                <w:color w:val="auto"/>
                <w:szCs w:val="21"/>
              </w:rPr>
            </w:pPr>
            <w:r>
              <w:rPr>
                <w:rFonts w:hint="eastAsia" w:ascii="宋体" w:hAnsi="宋体"/>
                <w:color w:val="auto"/>
                <w:szCs w:val="21"/>
              </w:rPr>
              <w:t>集成费</w:t>
            </w:r>
          </w:p>
        </w:tc>
        <w:tc>
          <w:tcPr>
            <w:tcW w:w="5782" w:type="dxa"/>
            <w:tcBorders>
              <w:top w:val="single" w:color="auto" w:sz="4" w:space="0"/>
              <w:left w:val="nil"/>
              <w:bottom w:val="single" w:color="auto" w:sz="4" w:space="0"/>
              <w:right w:val="single" w:color="000000" w:sz="8" w:space="0"/>
            </w:tcBorders>
            <w:shd w:val="clear" w:color="auto" w:fill="auto"/>
            <w:vAlign w:val="center"/>
          </w:tcPr>
          <w:p w14:paraId="1A59953C">
            <w:pPr>
              <w:pStyle w:val="2"/>
              <w:numPr>
                <w:ilvl w:val="1"/>
                <w:numId w:val="0"/>
              </w:numPr>
              <w:rPr>
                <w:rFonts w:hint="eastAsia" w:ascii="宋体" w:hAnsi="宋体" w:eastAsia="宋体" w:cs="宋体"/>
                <w:b w:val="0"/>
                <w:color w:val="auto"/>
                <w:kern w:val="2"/>
                <w:sz w:val="21"/>
                <w:szCs w:val="21"/>
                <w:lang w:val="en-US" w:eastAsia="zh-CN" w:bidi="ar-SA"/>
              </w:rPr>
            </w:pPr>
            <w:r>
              <w:rPr>
                <w:rFonts w:hint="eastAsia" w:ascii="宋体" w:hAnsi="宋体" w:cs="宋体"/>
                <w:b w:val="0"/>
                <w:color w:val="auto"/>
                <w:kern w:val="2"/>
                <w:sz w:val="21"/>
                <w:szCs w:val="21"/>
                <w:lang w:val="en-US" w:eastAsia="zh-CN" w:bidi="ar-SA"/>
              </w:rPr>
              <w:t>1</w:t>
            </w:r>
            <w:r>
              <w:rPr>
                <w:rFonts w:hint="eastAsia" w:ascii="宋体" w:hAnsi="宋体" w:eastAsia="宋体" w:cs="宋体"/>
                <w:b w:val="0"/>
                <w:color w:val="auto"/>
                <w:kern w:val="2"/>
                <w:sz w:val="21"/>
                <w:szCs w:val="21"/>
                <w:lang w:val="en-US" w:eastAsia="zh-CN" w:bidi="ar-SA"/>
              </w:rPr>
              <w:t>概述</w:t>
            </w:r>
          </w:p>
          <w:p w14:paraId="541D737F">
            <w:pPr>
              <w:ind w:firstLine="480"/>
              <w:rPr>
                <w:rFonts w:hint="eastAsia" w:ascii="宋体" w:hAnsi="宋体" w:eastAsia="宋体" w:cs="宋体"/>
                <w:b w:val="0"/>
                <w:color w:val="auto"/>
                <w:kern w:val="2"/>
                <w:sz w:val="21"/>
                <w:szCs w:val="21"/>
                <w:lang w:val="en-US" w:eastAsia="zh-CN" w:bidi="ar-SA"/>
              </w:rPr>
            </w:pPr>
            <w:r>
              <w:rPr>
                <w:rFonts w:hint="eastAsia" w:ascii="宋体" w:hAnsi="宋体" w:eastAsia="宋体" w:cs="宋体"/>
                <w:b w:val="0"/>
                <w:color w:val="auto"/>
                <w:kern w:val="2"/>
                <w:sz w:val="21"/>
                <w:szCs w:val="21"/>
                <w:lang w:val="en-US" w:eastAsia="zh-CN" w:bidi="ar-SA"/>
              </w:rPr>
              <w:t>本项目服务范围涵盖清单所列全部硬件设备的现场安装集成、网络布线、供电接入、系统软件部署、多系统联调测试及试运行保障，确保各子系统达到设计功能并实现互联互通，满足应急指挥调度与灾害监测预警业务需求。</w:t>
            </w:r>
          </w:p>
          <w:p w14:paraId="1EADA8F5">
            <w:pPr>
              <w:pStyle w:val="2"/>
              <w:numPr>
                <w:ilvl w:val="1"/>
                <w:numId w:val="0"/>
              </w:numPr>
              <w:rPr>
                <w:rFonts w:hint="eastAsia" w:ascii="宋体" w:hAnsi="宋体" w:eastAsia="宋体" w:cs="宋体"/>
                <w:b w:val="0"/>
                <w:color w:val="auto"/>
                <w:kern w:val="2"/>
                <w:sz w:val="21"/>
                <w:szCs w:val="21"/>
                <w:lang w:val="en-US" w:eastAsia="zh-CN" w:bidi="ar-SA"/>
              </w:rPr>
            </w:pPr>
            <w:r>
              <w:rPr>
                <w:rFonts w:hint="eastAsia" w:ascii="宋体" w:hAnsi="宋体" w:cs="宋体"/>
                <w:b w:val="0"/>
                <w:color w:val="auto"/>
                <w:kern w:val="2"/>
                <w:sz w:val="21"/>
                <w:szCs w:val="21"/>
                <w:lang w:val="en-US" w:eastAsia="zh-CN" w:bidi="ar-SA"/>
              </w:rPr>
              <w:t>2.</w:t>
            </w:r>
            <w:r>
              <w:rPr>
                <w:rFonts w:hint="eastAsia" w:ascii="宋体" w:hAnsi="宋体" w:eastAsia="宋体" w:cs="宋体"/>
                <w:b w:val="0"/>
                <w:color w:val="auto"/>
                <w:kern w:val="2"/>
                <w:sz w:val="21"/>
                <w:szCs w:val="21"/>
                <w:lang w:val="en-US" w:eastAsia="zh-CN" w:bidi="ar-SA"/>
              </w:rPr>
              <w:t>硬件集成工作</w:t>
            </w:r>
          </w:p>
          <w:p w14:paraId="63E7244E">
            <w:pPr>
              <w:ind w:firstLine="480"/>
              <w:rPr>
                <w:rFonts w:hint="eastAsia" w:ascii="宋体" w:hAnsi="宋体" w:eastAsia="宋体" w:cs="宋体"/>
                <w:b w:val="0"/>
                <w:color w:val="auto"/>
                <w:kern w:val="2"/>
                <w:sz w:val="21"/>
                <w:szCs w:val="21"/>
                <w:lang w:val="en-US" w:eastAsia="zh-CN" w:bidi="ar-SA"/>
              </w:rPr>
            </w:pPr>
            <w:r>
              <w:rPr>
                <w:rFonts w:hint="eastAsia" w:ascii="宋体" w:hAnsi="宋体" w:eastAsia="宋体" w:cs="宋体"/>
                <w:b w:val="0"/>
                <w:color w:val="auto"/>
                <w:kern w:val="2"/>
                <w:sz w:val="21"/>
                <w:szCs w:val="21"/>
                <w:lang w:val="en-US" w:eastAsia="zh-CN" w:bidi="ar-SA"/>
              </w:rPr>
              <w:t>完成多点控制单元（MCU）接入授权、防火墙、纵向一体化应急指挥调度终端、单兵便携指挥箱（三屏）、单兵5G便携站（含10台网络对讲机）、单兵便携指挥箱、县域融合通信系统、无人机机巢等设备的现场勘察、选点安装、网络调试、设备连接、系统配置、功能联调等工作。</w:t>
            </w:r>
          </w:p>
          <w:p w14:paraId="2A7F0929">
            <w:pPr>
              <w:ind w:firstLine="480"/>
              <w:rPr>
                <w:rFonts w:hint="eastAsia" w:ascii="宋体" w:hAnsi="宋体" w:eastAsia="宋体" w:cs="宋体"/>
                <w:b w:val="0"/>
                <w:color w:val="auto"/>
                <w:kern w:val="2"/>
                <w:sz w:val="21"/>
                <w:szCs w:val="21"/>
                <w:lang w:val="en-US" w:eastAsia="zh-CN" w:bidi="ar-SA"/>
              </w:rPr>
            </w:pPr>
            <w:r>
              <w:rPr>
                <w:rFonts w:hint="eastAsia" w:ascii="宋体" w:hAnsi="宋体" w:eastAsia="宋体" w:cs="宋体"/>
                <w:b w:val="0"/>
                <w:color w:val="auto"/>
                <w:kern w:val="2"/>
                <w:sz w:val="21"/>
                <w:szCs w:val="21"/>
                <w:lang w:val="en-US" w:eastAsia="zh-CN" w:bidi="ar-SA"/>
              </w:rPr>
              <w:t>完成森林火火险综合监测站、森林火灾高点监控摄像头、河流沿岸视频监控点位、河流沿岸水文站点等硬件设备的铁塔/立杆安装、电源敷设接入、防雷接地处理、网络接入、设备配置、功能调试等工作。</w:t>
            </w:r>
          </w:p>
          <w:p w14:paraId="1D3620B9">
            <w:pPr>
              <w:pStyle w:val="2"/>
              <w:numPr>
                <w:ilvl w:val="1"/>
                <w:numId w:val="0"/>
              </w:numPr>
              <w:rPr>
                <w:rFonts w:hint="eastAsia" w:ascii="宋体" w:hAnsi="宋体" w:eastAsia="宋体" w:cs="宋体"/>
                <w:b w:val="0"/>
                <w:color w:val="auto"/>
                <w:kern w:val="2"/>
                <w:sz w:val="21"/>
                <w:szCs w:val="21"/>
                <w:lang w:val="en-US" w:eastAsia="zh-CN" w:bidi="ar-SA"/>
              </w:rPr>
            </w:pPr>
            <w:r>
              <w:rPr>
                <w:rFonts w:hint="eastAsia" w:ascii="宋体" w:hAnsi="宋体" w:cs="宋体"/>
                <w:b w:val="0"/>
                <w:color w:val="auto"/>
                <w:kern w:val="2"/>
                <w:sz w:val="21"/>
                <w:szCs w:val="21"/>
                <w:lang w:val="en-US" w:eastAsia="zh-CN" w:bidi="ar-SA"/>
              </w:rPr>
              <w:t>3.</w:t>
            </w:r>
            <w:r>
              <w:rPr>
                <w:rFonts w:hint="eastAsia" w:ascii="宋体" w:hAnsi="宋体" w:eastAsia="宋体" w:cs="宋体"/>
                <w:b w:val="0"/>
                <w:color w:val="auto"/>
                <w:kern w:val="2"/>
                <w:sz w:val="21"/>
                <w:szCs w:val="21"/>
                <w:lang w:val="en-US" w:eastAsia="zh-CN" w:bidi="ar-SA"/>
              </w:rPr>
              <w:t>软件系统集成</w:t>
            </w:r>
          </w:p>
          <w:p w14:paraId="38858C4F">
            <w:pPr>
              <w:ind w:firstLine="480"/>
              <w:rPr>
                <w:rFonts w:hint="eastAsia" w:ascii="宋体" w:hAnsi="宋体" w:eastAsia="宋体" w:cs="宋体"/>
                <w:b w:val="0"/>
                <w:color w:val="auto"/>
                <w:kern w:val="2"/>
                <w:sz w:val="21"/>
                <w:szCs w:val="21"/>
                <w:lang w:val="en-US" w:eastAsia="zh-CN" w:bidi="ar-SA"/>
              </w:rPr>
            </w:pPr>
            <w:r>
              <w:rPr>
                <w:rFonts w:hint="eastAsia" w:ascii="宋体" w:hAnsi="宋体" w:eastAsia="宋体" w:cs="宋体"/>
                <w:b w:val="0"/>
                <w:color w:val="auto"/>
                <w:kern w:val="2"/>
                <w:sz w:val="21"/>
                <w:szCs w:val="21"/>
                <w:lang w:val="en-US" w:eastAsia="zh-CN" w:bidi="ar-SA"/>
              </w:rPr>
              <w:t>完成综合监测预警系统、县域灾害综合会商研判系统的环境搭建、部署安装、数据库部署配置、GIS地图配置等工作；完成各类监测预警数据的接入，完成与外部系统的对接，完成各应用功能模块的功能调试和测试。</w:t>
            </w:r>
          </w:p>
          <w:p w14:paraId="60C745E6">
            <w:pPr>
              <w:pStyle w:val="2"/>
              <w:numPr>
                <w:ilvl w:val="1"/>
                <w:numId w:val="0"/>
              </w:numPr>
              <w:rPr>
                <w:rFonts w:hint="eastAsia" w:ascii="宋体" w:hAnsi="宋体" w:eastAsia="宋体" w:cs="宋体"/>
                <w:b w:val="0"/>
                <w:color w:val="auto"/>
                <w:kern w:val="2"/>
                <w:sz w:val="21"/>
                <w:szCs w:val="21"/>
                <w:lang w:val="en-US" w:eastAsia="zh-CN" w:bidi="ar-SA"/>
              </w:rPr>
            </w:pPr>
            <w:r>
              <w:rPr>
                <w:rFonts w:hint="eastAsia" w:ascii="宋体" w:hAnsi="宋体" w:cs="宋体"/>
                <w:b w:val="0"/>
                <w:color w:val="auto"/>
                <w:kern w:val="2"/>
                <w:sz w:val="21"/>
                <w:szCs w:val="21"/>
                <w:lang w:val="en-US" w:eastAsia="zh-CN" w:bidi="ar-SA"/>
              </w:rPr>
              <w:t>4.</w:t>
            </w:r>
            <w:r>
              <w:rPr>
                <w:rFonts w:hint="eastAsia" w:ascii="宋体" w:hAnsi="宋体" w:eastAsia="宋体" w:cs="宋体"/>
                <w:b w:val="0"/>
                <w:color w:val="auto"/>
                <w:kern w:val="2"/>
                <w:sz w:val="21"/>
                <w:szCs w:val="21"/>
                <w:lang w:val="en-US" w:eastAsia="zh-CN" w:bidi="ar-SA"/>
              </w:rPr>
              <w:t>系统整体联调</w:t>
            </w:r>
          </w:p>
          <w:p w14:paraId="02F38748">
            <w:pPr>
              <w:ind w:firstLine="480"/>
              <w:rPr>
                <w:rFonts w:hint="eastAsia" w:ascii="宋体" w:hAnsi="宋体" w:eastAsia="宋体" w:cs="宋体"/>
                <w:b w:val="0"/>
                <w:color w:val="auto"/>
                <w:kern w:val="2"/>
                <w:sz w:val="21"/>
                <w:szCs w:val="21"/>
                <w:lang w:val="en-US" w:eastAsia="zh-CN" w:bidi="ar-SA"/>
              </w:rPr>
            </w:pPr>
            <w:r>
              <w:rPr>
                <w:rFonts w:hint="eastAsia" w:ascii="宋体" w:hAnsi="宋体" w:eastAsia="宋体" w:cs="宋体"/>
                <w:b w:val="0"/>
                <w:color w:val="auto"/>
                <w:kern w:val="2"/>
                <w:sz w:val="21"/>
                <w:szCs w:val="21"/>
                <w:lang w:val="en-US" w:eastAsia="zh-CN" w:bidi="ar-SA"/>
              </w:rPr>
              <w:t>各子系统内部调试完成后，进行全系统联合测试，验证指挥调度、监测预警、会商研判、应急资源调度等跨模块业务流程的贯通。</w:t>
            </w:r>
          </w:p>
          <w:p w14:paraId="0EC277A9">
            <w:pPr>
              <w:ind w:firstLine="480"/>
              <w:rPr>
                <w:color w:val="auto"/>
              </w:rPr>
            </w:pPr>
            <w:r>
              <w:rPr>
                <w:rFonts w:hint="eastAsia" w:ascii="宋体" w:hAnsi="宋体" w:eastAsia="宋体" w:cs="宋体"/>
                <w:b w:val="0"/>
                <w:color w:val="auto"/>
                <w:kern w:val="2"/>
                <w:sz w:val="21"/>
                <w:szCs w:val="21"/>
                <w:lang w:val="en-US" w:eastAsia="zh-CN" w:bidi="ar-SA"/>
              </w:rPr>
              <w:t>进行满负荷或模拟压力运行测试，</w:t>
            </w:r>
            <w:r>
              <w:rPr>
                <w:color w:val="auto"/>
              </w:rPr>
              <w:t>监控系统资源占用、响应时间、并发处理能力，记录并解决所有异常。</w:t>
            </w:r>
          </w:p>
          <w:p w14:paraId="58286E46">
            <w:pPr>
              <w:widowControl/>
              <w:jc w:val="left"/>
              <w:textAlignment w:val="center"/>
              <w:rPr>
                <w:rFonts w:hint="eastAsia" w:ascii="宋体" w:hAnsi="宋体"/>
                <w:color w:val="auto"/>
                <w:szCs w:val="21"/>
              </w:rPr>
            </w:pPr>
          </w:p>
        </w:tc>
        <w:tc>
          <w:tcPr>
            <w:tcW w:w="687" w:type="dxa"/>
            <w:tcBorders>
              <w:top w:val="single" w:color="auto" w:sz="4" w:space="0"/>
              <w:left w:val="nil"/>
              <w:bottom w:val="single" w:color="auto" w:sz="4" w:space="0"/>
              <w:right w:val="single" w:color="000000" w:sz="8" w:space="0"/>
            </w:tcBorders>
            <w:shd w:val="clear" w:color="auto" w:fill="auto"/>
            <w:vAlign w:val="center"/>
          </w:tcPr>
          <w:p w14:paraId="4070FCB0">
            <w:pPr>
              <w:widowControl/>
              <w:jc w:val="center"/>
              <w:textAlignment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1套</w:t>
            </w:r>
          </w:p>
        </w:tc>
        <w:tc>
          <w:tcPr>
            <w:tcW w:w="627" w:type="dxa"/>
            <w:vMerge w:val="continue"/>
            <w:tcBorders>
              <w:left w:val="nil"/>
              <w:bottom w:val="single" w:color="auto" w:sz="4" w:space="0"/>
              <w:right w:val="single" w:color="000000" w:sz="8" w:space="0"/>
            </w:tcBorders>
            <w:shd w:val="clear" w:color="auto" w:fill="auto"/>
            <w:vAlign w:val="center"/>
          </w:tcPr>
          <w:p w14:paraId="32262708">
            <w:pPr>
              <w:widowControl/>
              <w:jc w:val="center"/>
              <w:textAlignment w:val="center"/>
              <w:rPr>
                <w:rFonts w:hint="eastAsia" w:ascii="宋体" w:hAnsi="宋体"/>
                <w:color w:val="auto"/>
                <w:kern w:val="0"/>
                <w:szCs w:val="21"/>
              </w:rPr>
            </w:pPr>
          </w:p>
        </w:tc>
      </w:tr>
      <w:tr w14:paraId="4FB601A2">
        <w:tblPrEx>
          <w:tblCellMar>
            <w:top w:w="0" w:type="dxa"/>
            <w:left w:w="108" w:type="dxa"/>
            <w:bottom w:w="0" w:type="dxa"/>
            <w:right w:w="108" w:type="dxa"/>
          </w:tblCellMar>
        </w:tblPrEx>
        <w:trPr>
          <w:trHeight w:val="337" w:hRule="atLeast"/>
        </w:trPr>
        <w:tc>
          <w:tcPr>
            <w:tcW w:w="7486"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14:paraId="0E0D5BEA">
            <w:pPr>
              <w:widowControl/>
              <w:textAlignment w:val="center"/>
              <w:rPr>
                <w:rFonts w:ascii="宋体" w:hAnsi="宋体"/>
                <w:b/>
                <w:bCs/>
                <w:color w:val="auto"/>
                <w:szCs w:val="21"/>
              </w:rPr>
            </w:pPr>
            <w:r>
              <w:rPr>
                <w:rFonts w:hint="eastAsia" w:ascii="宋体" w:hAnsi="宋体"/>
                <w:b/>
                <w:bCs/>
                <w:color w:val="auto"/>
                <w:kern w:val="0"/>
                <w:szCs w:val="21"/>
              </w:rPr>
              <w:t>二、强化前端灾害监测预警能力</w:t>
            </w:r>
          </w:p>
        </w:tc>
        <w:tc>
          <w:tcPr>
            <w:tcW w:w="687" w:type="dxa"/>
            <w:tcBorders>
              <w:top w:val="nil"/>
              <w:left w:val="nil"/>
              <w:bottom w:val="single" w:color="000000" w:sz="8" w:space="0"/>
              <w:right w:val="single" w:color="000000" w:sz="8" w:space="0"/>
            </w:tcBorders>
            <w:shd w:val="clear" w:color="auto" w:fill="auto"/>
            <w:vAlign w:val="center"/>
          </w:tcPr>
          <w:p w14:paraId="4F0561E3">
            <w:pPr>
              <w:widowControl/>
              <w:textAlignment w:val="center"/>
              <w:rPr>
                <w:rFonts w:ascii="宋体" w:hAnsi="宋体"/>
                <w:b/>
                <w:bCs/>
                <w:color w:val="auto"/>
                <w:szCs w:val="21"/>
              </w:rPr>
            </w:pPr>
            <w:r>
              <w:rPr>
                <w:rFonts w:hint="eastAsia" w:ascii="宋体" w:hAnsi="宋体"/>
                <w:b/>
                <w:bCs/>
                <w:color w:val="auto"/>
                <w:kern w:val="0"/>
                <w:szCs w:val="21"/>
              </w:rPr>
              <w:t>数量</w:t>
            </w:r>
          </w:p>
        </w:tc>
        <w:tc>
          <w:tcPr>
            <w:tcW w:w="627" w:type="dxa"/>
            <w:tcBorders>
              <w:top w:val="nil"/>
              <w:left w:val="nil"/>
              <w:bottom w:val="single" w:color="000000" w:sz="8" w:space="0"/>
              <w:right w:val="single" w:color="000000" w:sz="8" w:space="0"/>
            </w:tcBorders>
            <w:shd w:val="clear" w:color="auto" w:fill="auto"/>
            <w:vAlign w:val="center"/>
          </w:tcPr>
          <w:p w14:paraId="145F6626">
            <w:pPr>
              <w:widowControl/>
              <w:textAlignment w:val="center"/>
              <w:rPr>
                <w:rFonts w:ascii="宋体" w:hAnsi="宋体"/>
                <w:b/>
                <w:bCs/>
                <w:color w:val="auto"/>
                <w:szCs w:val="21"/>
              </w:rPr>
            </w:pPr>
            <w:r>
              <w:rPr>
                <w:rFonts w:hint="eastAsia" w:ascii="宋体" w:hAnsi="宋体"/>
                <w:b/>
                <w:bCs/>
                <w:color w:val="auto"/>
                <w:kern w:val="0"/>
                <w:szCs w:val="21"/>
              </w:rPr>
              <w:t>单位</w:t>
            </w:r>
          </w:p>
        </w:tc>
      </w:tr>
      <w:tr w14:paraId="6F80A7EC">
        <w:tblPrEx>
          <w:tblCellMar>
            <w:top w:w="0" w:type="dxa"/>
            <w:left w:w="108" w:type="dxa"/>
            <w:bottom w:w="0" w:type="dxa"/>
            <w:right w:w="108" w:type="dxa"/>
          </w:tblCellMar>
        </w:tblPrEx>
        <w:trPr>
          <w:trHeight w:val="5418" w:hRule="atLeast"/>
        </w:trPr>
        <w:tc>
          <w:tcPr>
            <w:tcW w:w="438" w:type="dxa"/>
            <w:gridSpan w:val="2"/>
            <w:tcBorders>
              <w:top w:val="nil"/>
              <w:left w:val="single" w:color="000000" w:sz="8" w:space="0"/>
              <w:bottom w:val="single" w:color="000000" w:sz="8" w:space="0"/>
              <w:right w:val="single" w:color="000000" w:sz="8" w:space="0"/>
            </w:tcBorders>
            <w:shd w:val="clear" w:color="auto" w:fill="auto"/>
            <w:noWrap/>
            <w:vAlign w:val="center"/>
          </w:tcPr>
          <w:p w14:paraId="57DC4CCB">
            <w:pPr>
              <w:widowControl/>
              <w:jc w:val="center"/>
              <w:textAlignment w:val="center"/>
              <w:rPr>
                <w:rFonts w:ascii="宋体" w:hAnsi="宋体"/>
                <w:color w:val="auto"/>
                <w:szCs w:val="21"/>
              </w:rPr>
            </w:pPr>
            <w:r>
              <w:rPr>
                <w:rFonts w:hint="eastAsia" w:ascii="宋体" w:hAnsi="宋体"/>
                <w:color w:val="auto"/>
                <w:kern w:val="0"/>
                <w:szCs w:val="21"/>
              </w:rPr>
              <w:t>1</w:t>
            </w:r>
          </w:p>
        </w:tc>
        <w:tc>
          <w:tcPr>
            <w:tcW w:w="542" w:type="dxa"/>
            <w:tcBorders>
              <w:top w:val="nil"/>
              <w:left w:val="nil"/>
              <w:bottom w:val="single" w:color="000000" w:sz="8" w:space="0"/>
              <w:right w:val="single" w:color="000000" w:sz="8" w:space="0"/>
            </w:tcBorders>
            <w:shd w:val="clear" w:color="auto" w:fill="auto"/>
            <w:vAlign w:val="center"/>
          </w:tcPr>
          <w:p w14:paraId="72788370">
            <w:pPr>
              <w:widowControl/>
              <w:jc w:val="center"/>
              <w:textAlignment w:val="center"/>
              <w:rPr>
                <w:rFonts w:ascii="宋体" w:hAnsi="宋体"/>
                <w:color w:val="auto"/>
                <w:szCs w:val="21"/>
              </w:rPr>
            </w:pPr>
            <w:r>
              <w:rPr>
                <w:rFonts w:hint="eastAsia" w:ascii="宋体" w:hAnsi="宋体"/>
                <w:color w:val="auto"/>
                <w:kern w:val="0"/>
                <w:szCs w:val="21"/>
              </w:rPr>
              <w:t>综合监测预警系统</w:t>
            </w:r>
          </w:p>
        </w:tc>
        <w:tc>
          <w:tcPr>
            <w:tcW w:w="724" w:type="dxa"/>
            <w:tcBorders>
              <w:top w:val="nil"/>
              <w:left w:val="nil"/>
              <w:bottom w:val="single" w:color="000000" w:sz="8" w:space="0"/>
              <w:right w:val="single" w:color="000000" w:sz="8" w:space="0"/>
            </w:tcBorders>
            <w:shd w:val="clear" w:color="auto" w:fill="auto"/>
            <w:vAlign w:val="center"/>
          </w:tcPr>
          <w:p w14:paraId="3F279782">
            <w:pPr>
              <w:widowControl/>
              <w:jc w:val="center"/>
              <w:textAlignment w:val="center"/>
              <w:rPr>
                <w:rFonts w:ascii="宋体" w:hAnsi="宋体"/>
                <w:color w:val="auto"/>
                <w:szCs w:val="21"/>
              </w:rPr>
            </w:pPr>
            <w:r>
              <w:rPr>
                <w:rFonts w:hint="eastAsia" w:ascii="宋体" w:hAnsi="宋体"/>
                <w:color w:val="auto"/>
                <w:kern w:val="0"/>
                <w:szCs w:val="21"/>
              </w:rPr>
              <w:t>综合监测预警系统</w:t>
            </w:r>
          </w:p>
        </w:tc>
        <w:tc>
          <w:tcPr>
            <w:tcW w:w="5782" w:type="dxa"/>
            <w:tcBorders>
              <w:top w:val="nil"/>
              <w:left w:val="nil"/>
              <w:bottom w:val="single" w:color="000000" w:sz="8" w:space="0"/>
              <w:right w:val="single" w:color="000000" w:sz="8" w:space="0"/>
            </w:tcBorders>
            <w:shd w:val="clear" w:color="auto" w:fill="auto"/>
            <w:vAlign w:val="center"/>
          </w:tcPr>
          <w:p w14:paraId="60F317D9">
            <w:pPr>
              <w:widowControl/>
              <w:jc w:val="left"/>
              <w:textAlignment w:val="center"/>
              <w:rPr>
                <w:rFonts w:ascii="宋体" w:hAnsi="宋体"/>
                <w:color w:val="auto"/>
                <w:kern w:val="0"/>
                <w:szCs w:val="21"/>
              </w:rPr>
            </w:pPr>
            <w:r>
              <w:rPr>
                <w:rFonts w:hint="eastAsia" w:ascii="宋体" w:hAnsi="宋体"/>
                <w:color w:val="auto"/>
                <w:kern w:val="0"/>
                <w:szCs w:val="21"/>
              </w:rPr>
              <w:t>一、森林防火专题</w:t>
            </w:r>
          </w:p>
          <w:p w14:paraId="695E278F">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1、火情定位通过视频定位技术实现火点在地图上的定位展示，同时提供标定工具，通过现场标定可提高定位精度。具备通过设备返回的PTZ、DEM数据等参数，结合视频空间定位技术实现火情在地图上进行坐标定位。</w:t>
            </w:r>
          </w:p>
          <w:p w14:paraId="7D808CDB">
            <w:pPr>
              <w:widowControl/>
              <w:jc w:val="left"/>
              <w:textAlignment w:val="center"/>
              <w:rPr>
                <w:rFonts w:ascii="宋体" w:hAnsi="宋体"/>
                <w:color w:val="auto"/>
                <w:kern w:val="0"/>
                <w:szCs w:val="21"/>
              </w:rPr>
            </w:pPr>
            <w:r>
              <w:rPr>
                <w:rFonts w:hint="eastAsia" w:ascii="宋体" w:hAnsi="宋体"/>
                <w:color w:val="auto"/>
                <w:kern w:val="0"/>
                <w:szCs w:val="21"/>
              </w:rPr>
              <w:t>2、火情监控：具备接入热成像、林业巡护、人工触发的火情预警信息，具备预警信息声音提醒，支持查看告警设备的实时视频，支持录像回放以及火情抓拍图片查看。</w:t>
            </w:r>
          </w:p>
          <w:p w14:paraId="0C8C16AD">
            <w:pPr>
              <w:widowControl/>
              <w:jc w:val="left"/>
              <w:textAlignment w:val="center"/>
              <w:rPr>
                <w:rFonts w:ascii="宋体" w:hAnsi="宋体"/>
                <w:color w:val="auto"/>
                <w:kern w:val="0"/>
                <w:szCs w:val="21"/>
              </w:rPr>
            </w:pPr>
            <w:r>
              <w:rPr>
                <w:rFonts w:hint="eastAsia" w:ascii="宋体" w:hAnsi="宋体"/>
                <w:color w:val="auto"/>
                <w:kern w:val="0"/>
                <w:szCs w:val="21"/>
              </w:rPr>
              <w:t>3、火情研判：具备结合现场视频及照片对火情进行研判为非火情、确认火情、重复报警，具备对火情处置结果进行审核。</w:t>
            </w:r>
          </w:p>
          <w:p w14:paraId="67971F17">
            <w:pPr>
              <w:widowControl/>
              <w:jc w:val="left"/>
              <w:textAlignment w:val="center"/>
              <w:rPr>
                <w:rFonts w:ascii="宋体" w:hAnsi="宋体"/>
                <w:color w:val="auto"/>
                <w:kern w:val="0"/>
                <w:szCs w:val="21"/>
              </w:rPr>
            </w:pPr>
            <w:r>
              <w:rPr>
                <w:rFonts w:hint="eastAsia" w:ascii="宋体" w:hAnsi="宋体"/>
                <w:color w:val="auto"/>
                <w:kern w:val="0"/>
                <w:szCs w:val="21"/>
              </w:rPr>
              <w:t>4、火情推送：具备将研判后的火情推送到对应网格员手机短信（供应商免费提供）或者APP。</w:t>
            </w:r>
          </w:p>
          <w:p w14:paraId="6A3CAE5D">
            <w:pPr>
              <w:widowControl/>
              <w:jc w:val="left"/>
              <w:textAlignment w:val="center"/>
              <w:rPr>
                <w:rFonts w:ascii="宋体" w:hAnsi="宋体"/>
                <w:color w:val="auto"/>
                <w:kern w:val="0"/>
                <w:szCs w:val="21"/>
              </w:rPr>
            </w:pPr>
            <w:r>
              <w:rPr>
                <w:rFonts w:hint="eastAsia" w:ascii="宋体" w:hAnsi="宋体"/>
                <w:color w:val="auto"/>
                <w:kern w:val="0"/>
                <w:szCs w:val="21"/>
              </w:rPr>
              <w:t>5、火情档案：具备查看历史火情档案信息，包括基本信息、处理记录、辅助决策信息、灾损填报信息；具备按照所属区域、报警类型、火情等级、事件范围、火情名称进行条件筛选；具备地图展示历史火情热点图。</w:t>
            </w:r>
          </w:p>
          <w:p w14:paraId="33902C53">
            <w:pPr>
              <w:widowControl/>
              <w:jc w:val="left"/>
              <w:textAlignment w:val="center"/>
              <w:rPr>
                <w:rFonts w:ascii="宋体" w:hAnsi="宋体"/>
                <w:color w:val="auto"/>
                <w:kern w:val="0"/>
                <w:szCs w:val="21"/>
              </w:rPr>
            </w:pPr>
            <w:r>
              <w:rPr>
                <w:rFonts w:hint="eastAsia" w:ascii="宋体" w:hAnsi="宋体"/>
                <w:color w:val="auto"/>
                <w:kern w:val="0"/>
                <w:szCs w:val="21"/>
              </w:rPr>
              <w:t>6、综合监管：基于GIS一张图，实现防火整体监测情况的展示，包括综合监测：辖区内设备统计信息、设备区域分布信息、火情趋势分析、今日火情统计、区域火情分布、火情处置效率。</w:t>
            </w:r>
          </w:p>
          <w:p w14:paraId="218E01CD">
            <w:pPr>
              <w:widowControl/>
              <w:jc w:val="left"/>
              <w:textAlignment w:val="center"/>
              <w:rPr>
                <w:rFonts w:ascii="宋体" w:hAnsi="宋体"/>
                <w:color w:val="auto"/>
                <w:kern w:val="0"/>
                <w:szCs w:val="21"/>
              </w:rPr>
            </w:pPr>
            <w:r>
              <w:rPr>
                <w:rFonts w:hint="eastAsia" w:ascii="宋体" w:hAnsi="宋体"/>
                <w:color w:val="auto"/>
                <w:kern w:val="0"/>
                <w:szCs w:val="21"/>
              </w:rPr>
              <w:t>7、视频联动：通过在地图上选择任意点位（或输入坐标点位），查询出周边的摄像头，点击播放视频，摄像头的自动转动到选择的点位进行视频画面播放。灭火资源展示：支撑在一张图上展示区域类的灭火资源。</w:t>
            </w:r>
          </w:p>
          <w:p w14:paraId="40535F13">
            <w:pPr>
              <w:widowControl/>
              <w:jc w:val="left"/>
              <w:textAlignment w:val="center"/>
              <w:rPr>
                <w:rFonts w:ascii="宋体" w:hAnsi="宋体"/>
                <w:color w:val="auto"/>
                <w:kern w:val="0"/>
                <w:szCs w:val="21"/>
              </w:rPr>
            </w:pPr>
            <w:r>
              <w:rPr>
                <w:rFonts w:hint="eastAsia" w:ascii="宋体" w:hAnsi="宋体"/>
                <w:color w:val="auto"/>
                <w:kern w:val="0"/>
                <w:szCs w:val="21"/>
              </w:rPr>
              <w:t>8、资源分析：具备对火情周边的资源进行分析，通过地图撒点及看板的形式展示火情周边资源信息。包括：护林员、瞭望塔、扑火队、水源地、林业局、林场、机降点、气象站、防火检查站、护林员、无人机等数据。</w:t>
            </w:r>
          </w:p>
          <w:p w14:paraId="0C682329">
            <w:pPr>
              <w:widowControl/>
              <w:jc w:val="left"/>
              <w:textAlignment w:val="center"/>
              <w:rPr>
                <w:rFonts w:ascii="宋体" w:hAnsi="宋体"/>
                <w:color w:val="auto"/>
                <w:kern w:val="0"/>
                <w:szCs w:val="21"/>
              </w:rPr>
            </w:pPr>
            <w:r>
              <w:rPr>
                <w:rFonts w:hint="eastAsia" w:ascii="宋体" w:hAnsi="宋体"/>
                <w:color w:val="auto"/>
                <w:kern w:val="0"/>
                <w:szCs w:val="21"/>
              </w:rPr>
              <w:t>9、火险因子监测：具备森林火险因子综合监测站设备接入，实时采集火险因子监测数据，包括地表凋落物表层含水率、地表凋落物内层含水率、土壤含水率、地表温度、地表湿度、瞬时风速、瞬时风向、大气温度、相对湿度、大气气压、日累计降水量、光照强度等指标，同时可接入实时监测视频。</w:t>
            </w:r>
          </w:p>
          <w:p w14:paraId="695C8C44">
            <w:pPr>
              <w:widowControl/>
              <w:jc w:val="left"/>
              <w:textAlignment w:val="center"/>
              <w:rPr>
                <w:rFonts w:ascii="宋体" w:hAnsi="宋体"/>
                <w:color w:val="auto"/>
                <w:kern w:val="0"/>
                <w:szCs w:val="21"/>
              </w:rPr>
            </w:pPr>
            <w:r>
              <w:rPr>
                <w:rFonts w:hint="eastAsia" w:ascii="宋体" w:hAnsi="宋体"/>
                <w:color w:val="auto"/>
                <w:kern w:val="0"/>
                <w:szCs w:val="21"/>
              </w:rPr>
              <w:t>10、火险等级告警：分析接入的森林火险因子监测数据，基于降水量、风速、温度、湿度、地表凋落物含水率等森林火险因子监测数据，结合火险等级评估模型生成森林草原火险等级告警，将森林草原火险等级划分为一到五级，对应风险程度从低到高，并在出现火险时在地图上弹窗告警</w:t>
            </w:r>
          </w:p>
          <w:p w14:paraId="23D33A35">
            <w:pPr>
              <w:widowControl/>
              <w:jc w:val="left"/>
              <w:textAlignment w:val="center"/>
              <w:rPr>
                <w:rFonts w:ascii="宋体" w:hAnsi="宋体"/>
                <w:color w:val="auto"/>
                <w:kern w:val="0"/>
                <w:szCs w:val="21"/>
              </w:rPr>
            </w:pPr>
            <w:r>
              <w:rPr>
                <w:rFonts w:hint="eastAsia" w:ascii="宋体" w:hAnsi="宋体"/>
                <w:color w:val="auto"/>
                <w:kern w:val="0"/>
                <w:szCs w:val="21"/>
              </w:rPr>
              <w:t>11、火险等级评估模型：基于森林火险因子监测站上报的气象、土壤传感器数据，形成基于降雨量为主导因子的火险因子等级计算模型</w:t>
            </w:r>
          </w:p>
          <w:p w14:paraId="41ED5A6F">
            <w:pPr>
              <w:widowControl/>
              <w:jc w:val="left"/>
              <w:textAlignment w:val="center"/>
              <w:rPr>
                <w:rFonts w:ascii="宋体" w:hAnsi="宋体"/>
                <w:color w:val="auto"/>
                <w:kern w:val="0"/>
                <w:szCs w:val="21"/>
              </w:rPr>
            </w:pPr>
            <w:r>
              <w:rPr>
                <w:rFonts w:hint="eastAsia" w:ascii="宋体" w:hAnsi="宋体"/>
                <w:color w:val="auto"/>
                <w:kern w:val="0"/>
                <w:szCs w:val="21"/>
              </w:rPr>
              <w:t>12、火险评估报告：具备每天自动根据站点和行政区的火险因子监测数据，结合火险等级评估结果、可燃物含水率预测结果，生成火险等级报告和可燃物含水率分析报告。</w:t>
            </w:r>
          </w:p>
          <w:p w14:paraId="2FF9D93E">
            <w:pPr>
              <w:widowControl/>
              <w:jc w:val="left"/>
              <w:textAlignment w:val="center"/>
              <w:rPr>
                <w:rFonts w:ascii="宋体" w:hAnsi="宋体"/>
                <w:color w:val="auto"/>
                <w:kern w:val="0"/>
                <w:szCs w:val="21"/>
              </w:rPr>
            </w:pPr>
            <w:r>
              <w:rPr>
                <w:rFonts w:hint="eastAsia" w:ascii="宋体" w:hAnsi="宋体"/>
                <w:color w:val="auto"/>
                <w:kern w:val="0"/>
                <w:szCs w:val="21"/>
              </w:rPr>
              <w:t>13、火险监测总览：提供森林火险因子监测站地图定位、实时数据、历史趋势变化统计、区域火险报警统计、今日火险报警数据的查看，接入高清天地图作为底图，结合火险因子等级计算模型及可燃物含水率预测模型的应用，从点到面进行网格化火险等级预测，在地图上实现最高12.5米级火险等级展示</w:t>
            </w:r>
          </w:p>
          <w:p w14:paraId="418FDC6D">
            <w:pPr>
              <w:widowControl/>
              <w:jc w:val="left"/>
              <w:textAlignment w:val="center"/>
              <w:rPr>
                <w:rFonts w:ascii="宋体" w:hAnsi="宋体"/>
                <w:color w:val="auto"/>
                <w:kern w:val="0"/>
                <w:szCs w:val="21"/>
              </w:rPr>
            </w:pPr>
            <w:r>
              <w:rPr>
                <w:rFonts w:hint="eastAsia" w:ascii="宋体" w:hAnsi="宋体"/>
                <w:color w:val="auto"/>
                <w:kern w:val="0"/>
                <w:szCs w:val="21"/>
              </w:rPr>
              <w:t>二、防洪防涝专题</w:t>
            </w:r>
          </w:p>
          <w:p w14:paraId="5F45A387">
            <w:pPr>
              <w:widowControl/>
              <w:jc w:val="left"/>
              <w:textAlignment w:val="center"/>
              <w:rPr>
                <w:rFonts w:ascii="宋体" w:hAnsi="宋体"/>
                <w:color w:val="auto"/>
                <w:kern w:val="0"/>
                <w:szCs w:val="21"/>
              </w:rPr>
            </w:pPr>
            <w:r>
              <w:rPr>
                <w:rFonts w:hint="eastAsia" w:ascii="宋体" w:hAnsi="宋体"/>
                <w:color w:val="auto"/>
                <w:kern w:val="0"/>
                <w:szCs w:val="21"/>
              </w:rPr>
              <w:t>1、水位监测：直接接入水位监测设备的数据，具备查看关联监控点的实时预览画面。提供水位超阈值告警功能。支持设置水位告警的阈值，超过阈值后进行报警，并关联视频和水位报警信息。具备按日、周、月、年和自定义五个时间维度展示一定时间范围内的水位数据变化趋势图，提供流量历史数据变化趋势展示功能</w:t>
            </w:r>
          </w:p>
          <w:p w14:paraId="06602964">
            <w:pPr>
              <w:widowControl/>
              <w:jc w:val="left"/>
              <w:textAlignment w:val="center"/>
              <w:rPr>
                <w:rFonts w:ascii="宋体" w:hAnsi="宋体"/>
                <w:color w:val="auto"/>
                <w:kern w:val="0"/>
                <w:szCs w:val="21"/>
              </w:rPr>
            </w:pPr>
            <w:r>
              <w:rPr>
                <w:rFonts w:hint="eastAsia" w:ascii="宋体" w:hAnsi="宋体"/>
                <w:color w:val="auto"/>
                <w:kern w:val="0"/>
                <w:szCs w:val="21"/>
              </w:rPr>
              <w:t>2、降雨监测：直接接入雨量监测设备的数据，具备查看关联监控点的实时预览画面。提供雨量超阈值告警功能。具备设置雨量告警的阈值，超过阈值后进行报警，并关联视频和雨量报警信息。具备按日、周、月、年和自定义五个时间维度展示一定时间范围内的雨量数据变化趋势图，具备报警数据查询和展示。</w:t>
            </w:r>
          </w:p>
          <w:p w14:paraId="36E5F7CB">
            <w:pPr>
              <w:widowControl/>
              <w:jc w:val="left"/>
              <w:textAlignment w:val="center"/>
              <w:rPr>
                <w:rFonts w:ascii="宋体" w:hAnsi="宋体"/>
                <w:color w:val="auto"/>
                <w:kern w:val="0"/>
                <w:szCs w:val="21"/>
              </w:rPr>
            </w:pPr>
            <w:r>
              <w:rPr>
                <w:rFonts w:hint="eastAsia" w:ascii="宋体" w:hAnsi="宋体"/>
                <w:color w:val="auto"/>
                <w:kern w:val="0"/>
                <w:szCs w:val="21"/>
              </w:rPr>
              <w:t>3、流速流量监测：直接接入流速流量监测设备的数据。具备快速切换流速流量监测设备，具备查看关联监控点的实时预览画面。提供流量超阈值告警功能。具备设置流量告警的阈值，超过阈值后进行报警，并关联视频和流量报警信息。具备按日、周、月、年和自定义五个时间维度展示一定时间范围内的流量数据变化趋势图，具备报警数据查询和展示。</w:t>
            </w:r>
          </w:p>
          <w:p w14:paraId="6E7A14BB">
            <w:pPr>
              <w:widowControl/>
              <w:jc w:val="left"/>
              <w:textAlignment w:val="center"/>
              <w:rPr>
                <w:rFonts w:ascii="宋体" w:hAnsi="宋体"/>
                <w:color w:val="auto"/>
                <w:szCs w:val="21"/>
              </w:rPr>
            </w:pPr>
            <w:r>
              <w:rPr>
                <w:rFonts w:hint="eastAsia" w:ascii="宋体" w:hAnsi="宋体"/>
                <w:color w:val="auto"/>
                <w:kern w:val="0"/>
                <w:szCs w:val="21"/>
              </w:rPr>
              <w:t>4、洪涝灾害监测一张图：基于山洪灾害易发区的实时降雨监测、实时水位监测数据、降雨预报数据、水位预报数据、降雨预警指标、洪水水位预警指标、山洪预警广播站点分布等信息，构建山洪灾害监测预警应用，具备在地图上查看行政区划边界、不同山洪灾害关注对象类型的图标，具备查看其详情和关联视频。支持地图上展示水位、雨量、等监测数据和报警数据。具备通过行政区划、流域、水利对象进行多维检索，检索地图上的图标以及预警数据；具备接收超量降雨、超阈值山洪水位等山洪预警数据，可查看数据详情和视频图像。</w:t>
            </w:r>
          </w:p>
        </w:tc>
        <w:tc>
          <w:tcPr>
            <w:tcW w:w="687" w:type="dxa"/>
            <w:tcBorders>
              <w:top w:val="nil"/>
              <w:left w:val="nil"/>
              <w:bottom w:val="single" w:color="000000" w:sz="8" w:space="0"/>
              <w:right w:val="single" w:color="000000" w:sz="8" w:space="0"/>
            </w:tcBorders>
            <w:shd w:val="clear" w:color="auto" w:fill="auto"/>
            <w:vAlign w:val="center"/>
          </w:tcPr>
          <w:p w14:paraId="74FFC24D">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6E4886E6">
            <w:pPr>
              <w:widowControl/>
              <w:jc w:val="center"/>
              <w:textAlignment w:val="center"/>
              <w:rPr>
                <w:rFonts w:ascii="宋体" w:hAnsi="宋体"/>
                <w:color w:val="auto"/>
                <w:szCs w:val="21"/>
              </w:rPr>
            </w:pPr>
            <w:r>
              <w:rPr>
                <w:rFonts w:hint="eastAsia" w:ascii="宋体" w:hAnsi="宋体"/>
                <w:color w:val="auto"/>
                <w:kern w:val="0"/>
                <w:szCs w:val="21"/>
              </w:rPr>
              <w:t>套</w:t>
            </w:r>
          </w:p>
        </w:tc>
      </w:tr>
      <w:tr w14:paraId="7AEAD530">
        <w:tblPrEx>
          <w:tblCellMar>
            <w:top w:w="0" w:type="dxa"/>
            <w:left w:w="108" w:type="dxa"/>
            <w:bottom w:w="0" w:type="dxa"/>
            <w:right w:w="108" w:type="dxa"/>
          </w:tblCellMar>
        </w:tblPrEx>
        <w:trPr>
          <w:trHeight w:val="10181" w:hRule="atLeast"/>
        </w:trPr>
        <w:tc>
          <w:tcPr>
            <w:tcW w:w="438" w:type="dxa"/>
            <w:gridSpan w:val="2"/>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CE3E32">
            <w:pPr>
              <w:widowControl/>
              <w:jc w:val="center"/>
              <w:textAlignment w:val="center"/>
              <w:rPr>
                <w:rFonts w:ascii="宋体" w:hAnsi="宋体"/>
                <w:color w:val="auto"/>
                <w:szCs w:val="21"/>
              </w:rPr>
            </w:pPr>
            <w:r>
              <w:rPr>
                <w:rFonts w:hint="eastAsia" w:ascii="宋体" w:hAnsi="宋体"/>
                <w:color w:val="auto"/>
                <w:kern w:val="0"/>
                <w:szCs w:val="21"/>
              </w:rPr>
              <w:t>2</w:t>
            </w:r>
          </w:p>
        </w:tc>
        <w:tc>
          <w:tcPr>
            <w:tcW w:w="54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BEC104A">
            <w:pPr>
              <w:widowControl/>
              <w:jc w:val="center"/>
              <w:textAlignment w:val="center"/>
              <w:rPr>
                <w:rFonts w:ascii="宋体" w:hAnsi="宋体"/>
                <w:color w:val="auto"/>
                <w:kern w:val="0"/>
                <w:szCs w:val="21"/>
              </w:rPr>
            </w:pPr>
          </w:p>
          <w:p w14:paraId="33F86C50">
            <w:pPr>
              <w:widowControl/>
              <w:jc w:val="center"/>
              <w:textAlignment w:val="center"/>
              <w:rPr>
                <w:rFonts w:ascii="宋体" w:hAnsi="宋体"/>
                <w:color w:val="auto"/>
                <w:kern w:val="0"/>
                <w:szCs w:val="21"/>
              </w:rPr>
            </w:pPr>
          </w:p>
          <w:p w14:paraId="441BF426">
            <w:pPr>
              <w:widowControl/>
              <w:jc w:val="center"/>
              <w:textAlignment w:val="center"/>
              <w:rPr>
                <w:rFonts w:ascii="宋体" w:hAnsi="宋体"/>
                <w:color w:val="auto"/>
                <w:kern w:val="0"/>
                <w:szCs w:val="21"/>
              </w:rPr>
            </w:pPr>
          </w:p>
          <w:p w14:paraId="62E7ED71">
            <w:pPr>
              <w:widowControl/>
              <w:jc w:val="center"/>
              <w:textAlignment w:val="center"/>
              <w:rPr>
                <w:rFonts w:ascii="宋体" w:hAnsi="宋体"/>
                <w:color w:val="auto"/>
                <w:kern w:val="0"/>
                <w:szCs w:val="21"/>
              </w:rPr>
            </w:pPr>
          </w:p>
          <w:p w14:paraId="35124094">
            <w:pPr>
              <w:widowControl/>
              <w:jc w:val="center"/>
              <w:textAlignment w:val="center"/>
              <w:rPr>
                <w:rFonts w:ascii="宋体" w:hAnsi="宋体"/>
                <w:color w:val="auto"/>
                <w:kern w:val="0"/>
                <w:szCs w:val="21"/>
              </w:rPr>
            </w:pPr>
          </w:p>
          <w:p w14:paraId="352653E2">
            <w:pPr>
              <w:widowControl/>
              <w:jc w:val="center"/>
              <w:textAlignment w:val="center"/>
              <w:rPr>
                <w:rFonts w:ascii="宋体" w:hAnsi="宋体"/>
                <w:color w:val="auto"/>
                <w:szCs w:val="21"/>
              </w:rPr>
            </w:pPr>
            <w:r>
              <w:rPr>
                <w:rFonts w:hint="eastAsia" w:ascii="宋体" w:hAnsi="宋体"/>
                <w:color w:val="auto"/>
                <w:kern w:val="0"/>
                <w:szCs w:val="21"/>
              </w:rPr>
              <w:t>森林火险隐患点</w:t>
            </w:r>
          </w:p>
        </w:tc>
        <w:tc>
          <w:tcPr>
            <w:tcW w:w="72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ADB549">
            <w:pPr>
              <w:widowControl/>
              <w:jc w:val="center"/>
              <w:textAlignment w:val="center"/>
              <w:rPr>
                <w:rFonts w:ascii="宋体" w:hAnsi="宋体"/>
                <w:color w:val="auto"/>
                <w:kern w:val="0"/>
                <w:szCs w:val="21"/>
              </w:rPr>
            </w:pPr>
          </w:p>
          <w:p w14:paraId="356E357F">
            <w:pPr>
              <w:widowControl/>
              <w:jc w:val="center"/>
              <w:textAlignment w:val="center"/>
              <w:rPr>
                <w:rFonts w:ascii="宋体" w:hAnsi="宋体"/>
                <w:color w:val="auto"/>
                <w:kern w:val="0"/>
                <w:szCs w:val="21"/>
              </w:rPr>
            </w:pPr>
          </w:p>
          <w:p w14:paraId="2CC1AD25">
            <w:pPr>
              <w:widowControl/>
              <w:jc w:val="center"/>
              <w:textAlignment w:val="center"/>
              <w:rPr>
                <w:rFonts w:ascii="宋体" w:hAnsi="宋体"/>
                <w:color w:val="auto"/>
                <w:kern w:val="0"/>
                <w:szCs w:val="21"/>
              </w:rPr>
            </w:pPr>
          </w:p>
          <w:p w14:paraId="254AB3E1">
            <w:pPr>
              <w:widowControl/>
              <w:jc w:val="center"/>
              <w:textAlignment w:val="center"/>
              <w:rPr>
                <w:rFonts w:ascii="宋体" w:hAnsi="宋体"/>
                <w:color w:val="auto"/>
                <w:kern w:val="0"/>
                <w:szCs w:val="21"/>
              </w:rPr>
            </w:pPr>
          </w:p>
          <w:p w14:paraId="567B5DC2">
            <w:pPr>
              <w:widowControl/>
              <w:jc w:val="center"/>
              <w:textAlignment w:val="center"/>
              <w:rPr>
                <w:rFonts w:ascii="宋体" w:hAnsi="宋体"/>
                <w:color w:val="auto"/>
                <w:kern w:val="0"/>
                <w:szCs w:val="21"/>
              </w:rPr>
            </w:pPr>
          </w:p>
          <w:p w14:paraId="637CF9F8">
            <w:pPr>
              <w:widowControl/>
              <w:jc w:val="center"/>
              <w:textAlignment w:val="center"/>
              <w:rPr>
                <w:rFonts w:ascii="宋体" w:hAnsi="宋体"/>
                <w:color w:val="auto"/>
                <w:szCs w:val="21"/>
              </w:rPr>
            </w:pPr>
            <w:r>
              <w:rPr>
                <w:rFonts w:hint="eastAsia" w:ascii="宋体" w:hAnsi="宋体"/>
                <w:color w:val="auto"/>
                <w:szCs w:val="21"/>
              </w:rPr>
              <w:t>★</w:t>
            </w:r>
            <w:r>
              <w:rPr>
                <w:rFonts w:hint="eastAsia" w:ascii="宋体" w:hAnsi="宋体"/>
                <w:color w:val="auto"/>
                <w:kern w:val="0"/>
                <w:szCs w:val="21"/>
              </w:rPr>
              <w:t>森林火火险综合监测站</w:t>
            </w:r>
            <w:r>
              <w:rPr>
                <w:rFonts w:hint="eastAsia" w:ascii="宋体" w:hAnsi="宋体"/>
                <w:b/>
                <w:bCs/>
                <w:color w:val="auto"/>
                <w:kern w:val="0"/>
                <w:szCs w:val="21"/>
              </w:rPr>
              <w:t>（核心产品）</w:t>
            </w:r>
          </w:p>
        </w:tc>
        <w:tc>
          <w:tcPr>
            <w:tcW w:w="5782" w:type="dxa"/>
            <w:tcBorders>
              <w:top w:val="nil"/>
              <w:left w:val="nil"/>
              <w:bottom w:val="single" w:color="000000" w:sz="8" w:space="0"/>
              <w:right w:val="single" w:color="000000" w:sz="8" w:space="0"/>
            </w:tcBorders>
            <w:shd w:val="clear" w:color="auto" w:fill="auto"/>
            <w:vAlign w:val="center"/>
          </w:tcPr>
          <w:p w14:paraId="3BB0D242">
            <w:pPr>
              <w:widowControl/>
              <w:jc w:val="left"/>
              <w:textAlignment w:val="center"/>
              <w:rPr>
                <w:rFonts w:ascii="宋体" w:hAnsi="宋体"/>
                <w:color w:val="auto"/>
                <w:kern w:val="0"/>
                <w:szCs w:val="21"/>
              </w:rPr>
            </w:pPr>
            <w:r>
              <w:rPr>
                <w:rFonts w:hint="eastAsia" w:ascii="宋体" w:hAnsi="宋体"/>
                <w:color w:val="auto"/>
                <w:kern w:val="0"/>
                <w:szCs w:val="21"/>
              </w:rPr>
              <w:t>1.监测指标</w:t>
            </w:r>
          </w:p>
          <w:p w14:paraId="650C3C40">
            <w:pPr>
              <w:widowControl/>
              <w:jc w:val="left"/>
              <w:textAlignment w:val="center"/>
              <w:rPr>
                <w:rFonts w:ascii="宋体" w:hAnsi="宋体"/>
                <w:color w:val="auto"/>
                <w:kern w:val="0"/>
                <w:szCs w:val="21"/>
              </w:rPr>
            </w:pPr>
            <w:r>
              <w:rPr>
                <w:rFonts w:hint="eastAsia" w:ascii="宋体" w:hAnsi="宋体"/>
                <w:color w:val="auto"/>
                <w:kern w:val="0"/>
                <w:szCs w:val="21"/>
              </w:rPr>
              <w:t>（1）可燃物含水率传感器监测指标</w:t>
            </w:r>
          </w:p>
          <w:p w14:paraId="43FF0A17">
            <w:pPr>
              <w:widowControl/>
              <w:jc w:val="left"/>
              <w:textAlignment w:val="center"/>
              <w:rPr>
                <w:rFonts w:ascii="宋体" w:hAnsi="宋体"/>
                <w:color w:val="auto"/>
                <w:kern w:val="0"/>
                <w:szCs w:val="21"/>
              </w:rPr>
            </w:pPr>
            <w:r>
              <w:rPr>
                <w:rFonts w:hint="eastAsia" w:ascii="宋体" w:hAnsi="宋体"/>
                <w:color w:val="auto"/>
                <w:kern w:val="0"/>
                <w:szCs w:val="21"/>
              </w:rPr>
              <w:t>传感器具备同时测量地表凋落物含水率（综合表层、内层）、土壤含水率、地表温湿度、地表物候状态等火险因子，探针不外露。</w:t>
            </w:r>
          </w:p>
          <w:p w14:paraId="2A295B86">
            <w:pPr>
              <w:widowControl/>
              <w:jc w:val="left"/>
              <w:textAlignment w:val="center"/>
              <w:rPr>
                <w:rFonts w:ascii="宋体" w:hAnsi="宋体"/>
                <w:color w:val="auto"/>
                <w:kern w:val="0"/>
                <w:szCs w:val="21"/>
              </w:rPr>
            </w:pPr>
            <w:r>
              <w:rPr>
                <w:rFonts w:hint="eastAsia" w:ascii="宋体" w:hAnsi="宋体"/>
                <w:color w:val="auto"/>
                <w:kern w:val="0"/>
                <w:szCs w:val="21"/>
              </w:rPr>
              <w:t>具备直接测量能力，采用太阳能供电，适合恶劣山林环境。</w:t>
            </w:r>
          </w:p>
          <w:p w14:paraId="60C4E235">
            <w:pPr>
              <w:widowControl/>
              <w:jc w:val="left"/>
              <w:textAlignment w:val="center"/>
              <w:rPr>
                <w:rFonts w:ascii="宋体" w:hAnsi="宋体"/>
                <w:color w:val="auto"/>
                <w:kern w:val="0"/>
                <w:szCs w:val="21"/>
              </w:rPr>
            </w:pPr>
            <w:r>
              <w:rPr>
                <w:rFonts w:hint="eastAsia" w:ascii="宋体" w:hAnsi="宋体"/>
                <w:color w:val="auto"/>
                <w:kern w:val="0"/>
                <w:szCs w:val="21"/>
              </w:rPr>
              <w:t>1）地表凋落物含水率</w:t>
            </w:r>
          </w:p>
          <w:p w14:paraId="645F2B51">
            <w:pPr>
              <w:widowControl/>
              <w:jc w:val="left"/>
              <w:textAlignment w:val="center"/>
              <w:rPr>
                <w:rFonts w:ascii="宋体" w:hAnsi="宋体"/>
                <w:color w:val="auto"/>
                <w:kern w:val="0"/>
                <w:szCs w:val="21"/>
              </w:rPr>
            </w:pPr>
            <w:r>
              <w:rPr>
                <w:rFonts w:hint="eastAsia" w:ascii="宋体" w:hAnsi="宋体"/>
                <w:color w:val="auto"/>
                <w:kern w:val="0"/>
                <w:szCs w:val="21"/>
              </w:rPr>
              <w:t>测量对象：地表针叶/阔叶/针阔混/细枯枝（表层、内层）；</w:t>
            </w:r>
          </w:p>
          <w:p w14:paraId="04A09512">
            <w:pPr>
              <w:widowControl/>
              <w:jc w:val="left"/>
              <w:textAlignment w:val="center"/>
              <w:rPr>
                <w:rFonts w:ascii="宋体" w:hAnsi="宋体"/>
                <w:color w:val="auto"/>
                <w:kern w:val="0"/>
                <w:szCs w:val="21"/>
              </w:rPr>
            </w:pPr>
            <w:r>
              <w:rPr>
                <w:rFonts w:hint="eastAsia" w:ascii="宋体" w:hAnsi="宋体"/>
                <w:color w:val="auto"/>
                <w:kern w:val="0"/>
                <w:szCs w:val="21"/>
              </w:rPr>
              <w:t>产品监测凋落物厚度范围：2cm～10cm，设置为与实地森林凋落物环境相同；</w:t>
            </w:r>
          </w:p>
          <w:p w14:paraId="65AEBDDE">
            <w:pPr>
              <w:widowControl/>
              <w:jc w:val="left"/>
              <w:textAlignment w:val="center"/>
              <w:rPr>
                <w:rFonts w:ascii="宋体" w:hAnsi="宋体"/>
                <w:color w:val="auto"/>
                <w:kern w:val="0"/>
                <w:szCs w:val="21"/>
              </w:rPr>
            </w:pPr>
            <w:r>
              <w:rPr>
                <w:rFonts w:hint="eastAsia" w:ascii="宋体" w:hAnsi="宋体"/>
                <w:color w:val="auto"/>
                <w:kern w:val="0"/>
                <w:szCs w:val="21"/>
              </w:rPr>
              <w:t>具备凋落物含水率等关键因子的云端远程标定与云端校准；具备远程设备自检分析、指令下发、参数设置及管理；</w:t>
            </w:r>
          </w:p>
          <w:p w14:paraId="3C3D4655">
            <w:pPr>
              <w:widowControl/>
              <w:jc w:val="left"/>
              <w:textAlignment w:val="center"/>
              <w:rPr>
                <w:rFonts w:ascii="宋体" w:hAnsi="宋体"/>
                <w:color w:val="auto"/>
                <w:kern w:val="0"/>
                <w:szCs w:val="21"/>
              </w:rPr>
            </w:pPr>
            <w:r>
              <w:rPr>
                <w:rFonts w:hint="eastAsia" w:ascii="宋体" w:hAnsi="宋体"/>
                <w:color w:val="auto"/>
                <w:kern w:val="0"/>
                <w:szCs w:val="21"/>
              </w:rPr>
              <w:t>具备根据凋落物样本缓变自动校准；</w:t>
            </w:r>
          </w:p>
          <w:p w14:paraId="1849FF28">
            <w:pPr>
              <w:widowControl/>
              <w:jc w:val="left"/>
              <w:textAlignment w:val="center"/>
              <w:rPr>
                <w:rFonts w:ascii="宋体" w:hAnsi="宋体"/>
                <w:color w:val="auto"/>
                <w:kern w:val="0"/>
                <w:szCs w:val="21"/>
              </w:rPr>
            </w:pPr>
            <w:r>
              <w:rPr>
                <w:rFonts w:hint="eastAsia" w:ascii="宋体" w:hAnsi="宋体"/>
                <w:color w:val="auto"/>
                <w:kern w:val="0"/>
                <w:szCs w:val="21"/>
              </w:rPr>
              <w:t>具备物候状态联动突变校准；</w:t>
            </w:r>
          </w:p>
          <w:p w14:paraId="642E8802">
            <w:pPr>
              <w:widowControl/>
              <w:jc w:val="left"/>
              <w:textAlignment w:val="center"/>
              <w:rPr>
                <w:rFonts w:ascii="宋体" w:hAnsi="宋体"/>
                <w:color w:val="auto"/>
                <w:kern w:val="0"/>
                <w:szCs w:val="21"/>
              </w:rPr>
            </w:pPr>
            <w:r>
              <w:rPr>
                <w:rFonts w:hint="eastAsia" w:ascii="宋体" w:hAnsi="宋体"/>
                <w:color w:val="auto"/>
                <w:kern w:val="0"/>
                <w:szCs w:val="21"/>
              </w:rPr>
              <w:t>具备防锈防腐蚀能力，耐高低温与高辐射；</w:t>
            </w:r>
          </w:p>
          <w:p w14:paraId="6FF85587">
            <w:pPr>
              <w:widowControl/>
              <w:jc w:val="left"/>
              <w:textAlignment w:val="center"/>
              <w:rPr>
                <w:rFonts w:ascii="宋体" w:hAnsi="宋体"/>
                <w:color w:val="auto"/>
                <w:kern w:val="0"/>
                <w:szCs w:val="21"/>
              </w:rPr>
            </w:pPr>
            <w:r>
              <w:rPr>
                <w:rFonts w:hint="eastAsia" w:ascii="宋体" w:hAnsi="宋体"/>
                <w:color w:val="auto"/>
                <w:kern w:val="0"/>
                <w:szCs w:val="21"/>
              </w:rPr>
              <w:t>表层探测模式：多光谱表层直接测量；</w:t>
            </w:r>
          </w:p>
          <w:p w14:paraId="7FC108A3">
            <w:pPr>
              <w:widowControl/>
              <w:jc w:val="left"/>
              <w:textAlignment w:val="center"/>
              <w:rPr>
                <w:rFonts w:ascii="宋体" w:hAnsi="宋体"/>
                <w:color w:val="auto"/>
                <w:kern w:val="0"/>
                <w:szCs w:val="21"/>
              </w:rPr>
            </w:pPr>
            <w:r>
              <w:rPr>
                <w:rFonts w:hint="eastAsia" w:ascii="宋体" w:hAnsi="宋体"/>
                <w:color w:val="auto"/>
                <w:kern w:val="0"/>
                <w:szCs w:val="21"/>
              </w:rPr>
              <w:t>内层探测模式：微波内层直接测量；</w:t>
            </w:r>
          </w:p>
          <w:p w14:paraId="4BAB49E6">
            <w:pPr>
              <w:widowControl/>
              <w:jc w:val="left"/>
              <w:textAlignment w:val="center"/>
              <w:rPr>
                <w:rFonts w:ascii="宋体" w:hAnsi="宋体"/>
                <w:color w:val="auto"/>
                <w:kern w:val="0"/>
                <w:szCs w:val="21"/>
              </w:rPr>
            </w:pPr>
            <w:r>
              <w:rPr>
                <w:rFonts w:hint="eastAsia" w:ascii="宋体" w:hAnsi="宋体"/>
                <w:color w:val="auto"/>
                <w:kern w:val="0"/>
                <w:szCs w:val="21"/>
              </w:rPr>
              <w:t>频段：100Mhz～200Mhz；</w:t>
            </w:r>
          </w:p>
          <w:p w14:paraId="13E0F1AE">
            <w:pPr>
              <w:widowControl/>
              <w:jc w:val="left"/>
              <w:textAlignment w:val="center"/>
              <w:rPr>
                <w:rFonts w:ascii="宋体" w:hAnsi="宋体"/>
                <w:color w:val="auto"/>
                <w:kern w:val="0"/>
                <w:szCs w:val="21"/>
              </w:rPr>
            </w:pPr>
            <w:r>
              <w:rPr>
                <w:rFonts w:hint="eastAsia" w:ascii="宋体" w:hAnsi="宋体"/>
                <w:color w:val="auto"/>
                <w:kern w:val="0"/>
                <w:szCs w:val="21"/>
              </w:rPr>
              <w:t>测量范围：0～100%；</w:t>
            </w:r>
          </w:p>
          <w:p w14:paraId="02E1FB34">
            <w:pPr>
              <w:widowControl/>
              <w:jc w:val="left"/>
              <w:textAlignment w:val="center"/>
              <w:rPr>
                <w:rFonts w:ascii="宋体" w:hAnsi="宋体"/>
                <w:color w:val="auto"/>
                <w:kern w:val="0"/>
                <w:szCs w:val="21"/>
              </w:rPr>
            </w:pPr>
            <w:r>
              <w:rPr>
                <w:rFonts w:hint="eastAsia" w:ascii="宋体" w:hAnsi="宋体"/>
                <w:color w:val="auto"/>
                <w:kern w:val="0"/>
                <w:szCs w:val="21"/>
              </w:rPr>
              <w:t>质量含水率测量精度：±5%（质量含水率≤35%时）；±10%（35%＜质量含水率≤100%）；</w:t>
            </w:r>
          </w:p>
          <w:p w14:paraId="07C4C8F6">
            <w:pPr>
              <w:widowControl/>
              <w:jc w:val="left"/>
              <w:textAlignment w:val="center"/>
              <w:rPr>
                <w:rFonts w:ascii="宋体" w:hAnsi="宋体"/>
                <w:color w:val="auto"/>
                <w:kern w:val="0"/>
                <w:szCs w:val="21"/>
              </w:rPr>
            </w:pPr>
            <w:r>
              <w:rPr>
                <w:rFonts w:hint="eastAsia" w:ascii="宋体" w:hAnsi="宋体"/>
                <w:color w:val="auto"/>
                <w:kern w:val="0"/>
                <w:szCs w:val="21"/>
              </w:rPr>
              <w:t>分辨率：0.1%；</w:t>
            </w:r>
          </w:p>
          <w:p w14:paraId="1B57FD47">
            <w:pPr>
              <w:widowControl/>
              <w:jc w:val="left"/>
              <w:textAlignment w:val="center"/>
              <w:rPr>
                <w:rFonts w:ascii="宋体" w:hAnsi="宋体"/>
                <w:color w:val="auto"/>
                <w:kern w:val="0"/>
                <w:szCs w:val="21"/>
              </w:rPr>
            </w:pPr>
            <w:r>
              <w:rPr>
                <w:rFonts w:hint="eastAsia" w:ascii="宋体" w:hAnsi="宋体"/>
                <w:color w:val="auto"/>
                <w:kern w:val="0"/>
                <w:szCs w:val="21"/>
              </w:rPr>
              <w:t>2）地表可燃物物候状态</w:t>
            </w:r>
          </w:p>
          <w:p w14:paraId="0262D111">
            <w:pPr>
              <w:widowControl/>
              <w:jc w:val="left"/>
              <w:textAlignment w:val="center"/>
              <w:rPr>
                <w:rFonts w:ascii="宋体" w:hAnsi="宋体"/>
                <w:color w:val="auto"/>
                <w:kern w:val="0"/>
                <w:szCs w:val="21"/>
              </w:rPr>
            </w:pPr>
            <w:r>
              <w:rPr>
                <w:rFonts w:hint="eastAsia" w:ascii="宋体" w:hAnsi="宋体"/>
                <w:color w:val="auto"/>
                <w:kern w:val="0"/>
                <w:szCs w:val="21"/>
              </w:rPr>
              <w:t>探测范围：地表凋落物样本区；</w:t>
            </w:r>
          </w:p>
          <w:p w14:paraId="1C4EBB1C">
            <w:pPr>
              <w:widowControl/>
              <w:jc w:val="left"/>
              <w:textAlignment w:val="center"/>
              <w:rPr>
                <w:rFonts w:ascii="宋体" w:hAnsi="宋体"/>
                <w:color w:val="auto"/>
                <w:kern w:val="0"/>
                <w:szCs w:val="21"/>
              </w:rPr>
            </w:pPr>
            <w:r>
              <w:rPr>
                <w:rFonts w:hint="eastAsia" w:ascii="宋体" w:hAnsi="宋体"/>
                <w:color w:val="auto"/>
                <w:kern w:val="0"/>
                <w:szCs w:val="21"/>
              </w:rPr>
              <w:t>探测模式；多光谱模式；</w:t>
            </w:r>
          </w:p>
          <w:p w14:paraId="30627D06">
            <w:pPr>
              <w:widowControl/>
              <w:jc w:val="left"/>
              <w:textAlignment w:val="center"/>
              <w:rPr>
                <w:rFonts w:ascii="宋体" w:hAnsi="宋体"/>
                <w:color w:val="auto"/>
                <w:kern w:val="0"/>
                <w:szCs w:val="21"/>
              </w:rPr>
            </w:pPr>
            <w:r>
              <w:rPr>
                <w:rFonts w:hint="eastAsia" w:ascii="宋体" w:hAnsi="宋体"/>
                <w:color w:val="auto"/>
                <w:kern w:val="0"/>
                <w:szCs w:val="21"/>
              </w:rPr>
              <w:t>物候分析能力：自动识别返青、积雪，判断草雪覆盖情况；</w:t>
            </w:r>
          </w:p>
          <w:p w14:paraId="0F66BF94">
            <w:pPr>
              <w:widowControl/>
              <w:jc w:val="left"/>
              <w:textAlignment w:val="center"/>
              <w:rPr>
                <w:rFonts w:ascii="宋体" w:hAnsi="宋体"/>
                <w:color w:val="auto"/>
                <w:kern w:val="0"/>
                <w:szCs w:val="21"/>
              </w:rPr>
            </w:pPr>
            <w:r>
              <w:rPr>
                <w:rFonts w:hint="eastAsia" w:ascii="宋体" w:hAnsi="宋体"/>
                <w:color w:val="auto"/>
                <w:kern w:val="0"/>
                <w:szCs w:val="21"/>
              </w:rPr>
              <w:t>样本分析能力：识别样本异常；</w:t>
            </w:r>
          </w:p>
          <w:p w14:paraId="3FEA915F">
            <w:pPr>
              <w:widowControl/>
              <w:jc w:val="left"/>
              <w:textAlignment w:val="center"/>
              <w:rPr>
                <w:rFonts w:ascii="宋体" w:hAnsi="宋体"/>
                <w:color w:val="auto"/>
                <w:kern w:val="0"/>
                <w:szCs w:val="21"/>
              </w:rPr>
            </w:pPr>
            <w:r>
              <w:rPr>
                <w:rFonts w:hint="eastAsia" w:ascii="宋体" w:hAnsi="宋体"/>
                <w:color w:val="auto"/>
                <w:kern w:val="0"/>
                <w:szCs w:val="21"/>
              </w:rPr>
              <w:t>上报模式：定时/手动指令下发；</w:t>
            </w:r>
          </w:p>
          <w:p w14:paraId="4BFF93B9">
            <w:pPr>
              <w:widowControl/>
              <w:jc w:val="left"/>
              <w:textAlignment w:val="center"/>
              <w:rPr>
                <w:rFonts w:ascii="宋体" w:hAnsi="宋体"/>
                <w:color w:val="auto"/>
                <w:kern w:val="0"/>
                <w:szCs w:val="21"/>
              </w:rPr>
            </w:pPr>
            <w:r>
              <w:rPr>
                <w:rFonts w:hint="eastAsia" w:ascii="宋体" w:hAnsi="宋体"/>
                <w:color w:val="auto"/>
                <w:kern w:val="0"/>
                <w:szCs w:val="21"/>
              </w:rPr>
              <w:t>3）土壤容积含水率</w:t>
            </w:r>
          </w:p>
          <w:p w14:paraId="4379F13F">
            <w:pPr>
              <w:widowControl/>
              <w:jc w:val="left"/>
              <w:textAlignment w:val="center"/>
              <w:rPr>
                <w:rFonts w:ascii="宋体" w:hAnsi="宋体"/>
                <w:color w:val="auto"/>
                <w:kern w:val="0"/>
                <w:szCs w:val="21"/>
              </w:rPr>
            </w:pPr>
            <w:r>
              <w:rPr>
                <w:rFonts w:hint="eastAsia" w:ascii="宋体" w:hAnsi="宋体"/>
                <w:color w:val="auto"/>
                <w:kern w:val="0"/>
                <w:szCs w:val="21"/>
              </w:rPr>
              <w:t>测量范围：0-50%Vol；</w:t>
            </w:r>
          </w:p>
          <w:p w14:paraId="55A0EAE4">
            <w:pPr>
              <w:widowControl/>
              <w:jc w:val="left"/>
              <w:textAlignment w:val="center"/>
              <w:rPr>
                <w:rFonts w:ascii="宋体" w:hAnsi="宋体"/>
                <w:color w:val="auto"/>
                <w:kern w:val="0"/>
                <w:szCs w:val="21"/>
              </w:rPr>
            </w:pPr>
            <w:r>
              <w:rPr>
                <w:rFonts w:hint="eastAsia" w:ascii="宋体" w:hAnsi="宋体"/>
                <w:color w:val="auto"/>
                <w:kern w:val="0"/>
                <w:szCs w:val="21"/>
              </w:rPr>
              <w:t>测量深度：10cm；</w:t>
            </w:r>
          </w:p>
          <w:p w14:paraId="6434A0C4">
            <w:pPr>
              <w:widowControl/>
              <w:jc w:val="left"/>
              <w:textAlignment w:val="center"/>
              <w:rPr>
                <w:rFonts w:ascii="宋体" w:hAnsi="宋体"/>
                <w:color w:val="auto"/>
                <w:kern w:val="0"/>
                <w:szCs w:val="21"/>
              </w:rPr>
            </w:pPr>
            <w:r>
              <w:rPr>
                <w:rFonts w:hint="eastAsia" w:ascii="宋体" w:hAnsi="宋体"/>
                <w:color w:val="auto"/>
                <w:kern w:val="0"/>
                <w:szCs w:val="21"/>
              </w:rPr>
              <w:t>测量精度：±3%。</w:t>
            </w:r>
          </w:p>
          <w:p w14:paraId="7957AA40">
            <w:pPr>
              <w:widowControl/>
              <w:jc w:val="left"/>
              <w:textAlignment w:val="center"/>
              <w:rPr>
                <w:rFonts w:ascii="宋体" w:hAnsi="宋体"/>
                <w:color w:val="auto"/>
                <w:kern w:val="0"/>
                <w:szCs w:val="21"/>
              </w:rPr>
            </w:pPr>
            <w:r>
              <w:rPr>
                <w:rFonts w:hint="eastAsia" w:ascii="宋体" w:hAnsi="宋体"/>
                <w:color w:val="auto"/>
                <w:kern w:val="0"/>
                <w:szCs w:val="21"/>
              </w:rPr>
              <w:t>4）地表空气温度</w:t>
            </w:r>
          </w:p>
          <w:p w14:paraId="58AF5AB0">
            <w:pPr>
              <w:widowControl/>
              <w:jc w:val="left"/>
              <w:textAlignment w:val="center"/>
              <w:rPr>
                <w:rFonts w:ascii="宋体" w:hAnsi="宋体"/>
                <w:color w:val="auto"/>
                <w:kern w:val="0"/>
                <w:szCs w:val="21"/>
              </w:rPr>
            </w:pPr>
            <w:r>
              <w:rPr>
                <w:rFonts w:hint="eastAsia" w:ascii="宋体" w:hAnsi="宋体"/>
                <w:color w:val="auto"/>
                <w:kern w:val="0"/>
                <w:szCs w:val="21"/>
              </w:rPr>
              <w:t>分辨率：0.01℃；</w:t>
            </w:r>
          </w:p>
          <w:p w14:paraId="170B27EC">
            <w:pPr>
              <w:widowControl/>
              <w:jc w:val="left"/>
              <w:textAlignment w:val="center"/>
              <w:rPr>
                <w:rFonts w:ascii="宋体" w:hAnsi="宋体"/>
                <w:color w:val="auto"/>
                <w:kern w:val="0"/>
                <w:szCs w:val="21"/>
              </w:rPr>
            </w:pPr>
            <w:r>
              <w:rPr>
                <w:rFonts w:hint="eastAsia" w:ascii="宋体" w:hAnsi="宋体"/>
                <w:color w:val="auto"/>
                <w:kern w:val="0"/>
                <w:szCs w:val="21"/>
              </w:rPr>
              <w:t>精度误差：±0.2℃；</w:t>
            </w:r>
          </w:p>
          <w:p w14:paraId="3097544F">
            <w:pPr>
              <w:widowControl/>
              <w:jc w:val="left"/>
              <w:textAlignment w:val="center"/>
              <w:rPr>
                <w:rFonts w:ascii="宋体" w:hAnsi="宋体"/>
                <w:color w:val="auto"/>
                <w:kern w:val="0"/>
                <w:szCs w:val="21"/>
              </w:rPr>
            </w:pPr>
            <w:r>
              <w:rPr>
                <w:rFonts w:hint="eastAsia" w:ascii="宋体" w:hAnsi="宋体"/>
                <w:color w:val="auto"/>
                <w:kern w:val="0"/>
                <w:szCs w:val="21"/>
              </w:rPr>
              <w:t>5）地表空气湿度</w:t>
            </w:r>
          </w:p>
          <w:p w14:paraId="635C5491">
            <w:pPr>
              <w:widowControl/>
              <w:jc w:val="left"/>
              <w:textAlignment w:val="center"/>
              <w:rPr>
                <w:rFonts w:ascii="宋体" w:hAnsi="宋体"/>
                <w:color w:val="auto"/>
                <w:kern w:val="0"/>
                <w:szCs w:val="21"/>
              </w:rPr>
            </w:pPr>
            <w:r>
              <w:rPr>
                <w:rFonts w:hint="eastAsia" w:ascii="宋体" w:hAnsi="宋体"/>
                <w:color w:val="auto"/>
                <w:kern w:val="0"/>
                <w:szCs w:val="21"/>
              </w:rPr>
              <w:t>分辨率：0.03%RH；</w:t>
            </w:r>
          </w:p>
          <w:p w14:paraId="64034D56">
            <w:pPr>
              <w:widowControl/>
              <w:jc w:val="left"/>
              <w:textAlignment w:val="center"/>
              <w:rPr>
                <w:rFonts w:ascii="宋体" w:hAnsi="宋体"/>
                <w:color w:val="auto"/>
                <w:kern w:val="0"/>
                <w:szCs w:val="21"/>
              </w:rPr>
            </w:pPr>
            <w:r>
              <w:rPr>
                <w:rFonts w:hint="eastAsia" w:ascii="宋体" w:hAnsi="宋体"/>
                <w:color w:val="auto"/>
                <w:kern w:val="0"/>
                <w:szCs w:val="21"/>
              </w:rPr>
              <w:t>精度误差：±1.2%RH；</w:t>
            </w:r>
          </w:p>
          <w:p w14:paraId="12FFEE9A">
            <w:pPr>
              <w:widowControl/>
              <w:jc w:val="left"/>
              <w:textAlignment w:val="center"/>
              <w:rPr>
                <w:rFonts w:ascii="宋体" w:hAnsi="宋体"/>
                <w:color w:val="auto"/>
                <w:kern w:val="0"/>
                <w:szCs w:val="21"/>
              </w:rPr>
            </w:pPr>
            <w:r>
              <w:rPr>
                <w:rFonts w:hint="eastAsia" w:ascii="宋体" w:hAnsi="宋体"/>
                <w:color w:val="auto"/>
                <w:kern w:val="0"/>
                <w:szCs w:val="21"/>
              </w:rPr>
              <w:t>工作范围：0～100%RH；</w:t>
            </w:r>
          </w:p>
          <w:p w14:paraId="124245F1">
            <w:pPr>
              <w:widowControl/>
              <w:jc w:val="left"/>
              <w:textAlignment w:val="center"/>
              <w:rPr>
                <w:rFonts w:ascii="宋体" w:hAnsi="宋体"/>
                <w:color w:val="auto"/>
                <w:kern w:val="0"/>
                <w:szCs w:val="21"/>
              </w:rPr>
            </w:pPr>
            <w:r>
              <w:rPr>
                <w:rFonts w:hint="eastAsia" w:ascii="宋体" w:hAnsi="宋体"/>
                <w:color w:val="auto"/>
                <w:kern w:val="0"/>
                <w:szCs w:val="21"/>
              </w:rPr>
              <w:t>产品监测方式：地表凋落物（表层、内层）综合监测直接测量，不使用代替物间接推演，测量过程不干扰凋落物样本状态。</w:t>
            </w:r>
          </w:p>
          <w:p w14:paraId="3BE4DDEC">
            <w:pPr>
              <w:widowControl/>
              <w:jc w:val="left"/>
              <w:textAlignment w:val="center"/>
              <w:rPr>
                <w:rFonts w:ascii="宋体" w:hAnsi="宋体"/>
                <w:color w:val="auto"/>
                <w:kern w:val="0"/>
                <w:szCs w:val="21"/>
              </w:rPr>
            </w:pPr>
            <w:r>
              <w:rPr>
                <w:rFonts w:hint="eastAsia" w:ascii="宋体" w:hAnsi="宋体"/>
                <w:color w:val="auto"/>
                <w:kern w:val="0"/>
                <w:szCs w:val="21"/>
              </w:rPr>
              <w:t>（2）多要素气象传感器监测指标</w:t>
            </w:r>
          </w:p>
          <w:p w14:paraId="3B87145F">
            <w:pPr>
              <w:widowControl/>
              <w:jc w:val="left"/>
              <w:textAlignment w:val="center"/>
              <w:rPr>
                <w:rFonts w:ascii="宋体" w:hAnsi="宋体"/>
                <w:color w:val="auto"/>
                <w:kern w:val="0"/>
                <w:szCs w:val="21"/>
              </w:rPr>
            </w:pPr>
            <w:r>
              <w:rPr>
                <w:rFonts w:hint="eastAsia" w:ascii="宋体" w:hAnsi="宋体"/>
                <w:color w:val="auto"/>
                <w:kern w:val="0"/>
                <w:szCs w:val="21"/>
              </w:rPr>
              <w:t>传感器可适应林下环境，减少机械结构，采用一体化高度集成模式，测量可燃物所处环境的气象条件，包括空气温度、空气湿度、光照度、风速、风向、降雨量、大气压因子。</w:t>
            </w:r>
          </w:p>
          <w:p w14:paraId="24F42648">
            <w:pPr>
              <w:widowControl/>
              <w:jc w:val="left"/>
              <w:textAlignment w:val="center"/>
              <w:rPr>
                <w:rFonts w:ascii="宋体" w:hAnsi="宋体"/>
                <w:color w:val="auto"/>
                <w:kern w:val="0"/>
                <w:szCs w:val="21"/>
              </w:rPr>
            </w:pPr>
            <w:r>
              <w:rPr>
                <w:rFonts w:hint="eastAsia" w:ascii="宋体" w:hAnsi="宋体"/>
                <w:color w:val="auto"/>
                <w:kern w:val="0"/>
                <w:szCs w:val="21"/>
              </w:rPr>
              <w:t>1）空气温度</w:t>
            </w:r>
          </w:p>
          <w:p w14:paraId="2E8A8AE6">
            <w:pPr>
              <w:widowControl/>
              <w:jc w:val="left"/>
              <w:textAlignment w:val="center"/>
              <w:rPr>
                <w:rFonts w:ascii="宋体" w:hAnsi="宋体"/>
                <w:color w:val="auto"/>
                <w:kern w:val="0"/>
                <w:szCs w:val="21"/>
              </w:rPr>
            </w:pPr>
            <w:r>
              <w:rPr>
                <w:rFonts w:hint="eastAsia" w:ascii="宋体" w:hAnsi="宋体"/>
                <w:color w:val="auto"/>
                <w:kern w:val="0"/>
                <w:szCs w:val="21"/>
              </w:rPr>
              <w:t>分辨率：0.1℃；</w:t>
            </w:r>
          </w:p>
          <w:p w14:paraId="0FB76ACA">
            <w:pPr>
              <w:widowControl/>
              <w:jc w:val="left"/>
              <w:textAlignment w:val="center"/>
              <w:rPr>
                <w:rFonts w:ascii="宋体" w:hAnsi="宋体"/>
                <w:color w:val="auto"/>
                <w:kern w:val="0"/>
                <w:szCs w:val="21"/>
              </w:rPr>
            </w:pPr>
            <w:r>
              <w:rPr>
                <w:rFonts w:hint="eastAsia" w:ascii="宋体" w:hAnsi="宋体"/>
                <w:color w:val="auto"/>
                <w:kern w:val="0"/>
                <w:szCs w:val="21"/>
              </w:rPr>
              <w:t>空气温度值误差范围：±0.22℃；</w:t>
            </w:r>
          </w:p>
          <w:p w14:paraId="7A5AEA72">
            <w:pPr>
              <w:widowControl/>
              <w:jc w:val="left"/>
              <w:textAlignment w:val="center"/>
              <w:rPr>
                <w:rFonts w:ascii="宋体" w:hAnsi="宋体"/>
                <w:color w:val="auto"/>
                <w:kern w:val="0"/>
                <w:szCs w:val="21"/>
              </w:rPr>
            </w:pPr>
            <w:r>
              <w:rPr>
                <w:rFonts w:hint="eastAsia" w:ascii="宋体" w:hAnsi="宋体"/>
                <w:color w:val="auto"/>
                <w:kern w:val="0"/>
                <w:szCs w:val="21"/>
              </w:rPr>
              <w:t>2）空气湿度</w:t>
            </w:r>
          </w:p>
          <w:p w14:paraId="2D9600E4">
            <w:pPr>
              <w:widowControl/>
              <w:jc w:val="left"/>
              <w:textAlignment w:val="center"/>
              <w:rPr>
                <w:rFonts w:ascii="宋体" w:hAnsi="宋体"/>
                <w:color w:val="auto"/>
                <w:kern w:val="0"/>
                <w:szCs w:val="21"/>
              </w:rPr>
            </w:pPr>
            <w:r>
              <w:rPr>
                <w:rFonts w:hint="eastAsia" w:ascii="宋体" w:hAnsi="宋体"/>
                <w:color w:val="auto"/>
                <w:kern w:val="0"/>
                <w:szCs w:val="21"/>
              </w:rPr>
              <w:t>测量范围：0-100%RH；</w:t>
            </w:r>
          </w:p>
          <w:p w14:paraId="4C3E8292">
            <w:pPr>
              <w:widowControl/>
              <w:jc w:val="left"/>
              <w:textAlignment w:val="center"/>
              <w:rPr>
                <w:rFonts w:ascii="宋体" w:hAnsi="宋体"/>
                <w:color w:val="auto"/>
                <w:kern w:val="0"/>
                <w:szCs w:val="21"/>
              </w:rPr>
            </w:pPr>
            <w:r>
              <w:rPr>
                <w:rFonts w:hint="eastAsia" w:ascii="宋体" w:hAnsi="宋体"/>
                <w:color w:val="auto"/>
                <w:kern w:val="0"/>
                <w:szCs w:val="21"/>
              </w:rPr>
              <w:t>分辨率：0.1%RH；</w:t>
            </w:r>
          </w:p>
          <w:p w14:paraId="53CA6C91">
            <w:pPr>
              <w:widowControl/>
              <w:jc w:val="left"/>
              <w:textAlignment w:val="center"/>
              <w:rPr>
                <w:rFonts w:ascii="宋体" w:hAnsi="宋体"/>
                <w:color w:val="auto"/>
                <w:kern w:val="0"/>
                <w:szCs w:val="21"/>
              </w:rPr>
            </w:pPr>
            <w:r>
              <w:rPr>
                <w:rFonts w:hint="eastAsia" w:ascii="宋体" w:hAnsi="宋体"/>
                <w:color w:val="auto"/>
                <w:kern w:val="0"/>
                <w:szCs w:val="21"/>
              </w:rPr>
              <w:t>空气湿度值误差范围：±2%RH；</w:t>
            </w:r>
          </w:p>
          <w:p w14:paraId="6BBE0F8E">
            <w:pPr>
              <w:widowControl/>
              <w:jc w:val="left"/>
              <w:textAlignment w:val="center"/>
              <w:rPr>
                <w:rFonts w:ascii="宋体" w:hAnsi="宋体"/>
                <w:color w:val="auto"/>
                <w:kern w:val="0"/>
                <w:szCs w:val="21"/>
              </w:rPr>
            </w:pPr>
            <w:r>
              <w:rPr>
                <w:rFonts w:hint="eastAsia" w:ascii="宋体" w:hAnsi="宋体"/>
                <w:color w:val="auto"/>
                <w:kern w:val="0"/>
                <w:szCs w:val="21"/>
              </w:rPr>
              <w:t>3）大气压</w:t>
            </w:r>
          </w:p>
          <w:p w14:paraId="09873BCA">
            <w:pPr>
              <w:widowControl/>
              <w:jc w:val="left"/>
              <w:textAlignment w:val="center"/>
              <w:rPr>
                <w:rFonts w:ascii="宋体" w:hAnsi="宋体"/>
                <w:color w:val="auto"/>
                <w:kern w:val="0"/>
                <w:szCs w:val="21"/>
              </w:rPr>
            </w:pPr>
            <w:r>
              <w:rPr>
                <w:rFonts w:hint="eastAsia" w:ascii="宋体" w:hAnsi="宋体"/>
                <w:color w:val="auto"/>
                <w:kern w:val="0"/>
                <w:szCs w:val="21"/>
              </w:rPr>
              <w:t>测量范围：300-1100hpa；</w:t>
            </w:r>
          </w:p>
          <w:p w14:paraId="301D6814">
            <w:pPr>
              <w:widowControl/>
              <w:jc w:val="left"/>
              <w:textAlignment w:val="center"/>
              <w:rPr>
                <w:rFonts w:ascii="宋体" w:hAnsi="宋体"/>
                <w:color w:val="auto"/>
                <w:kern w:val="0"/>
                <w:szCs w:val="21"/>
              </w:rPr>
            </w:pPr>
            <w:r>
              <w:rPr>
                <w:rFonts w:hint="eastAsia" w:ascii="宋体" w:hAnsi="宋体"/>
                <w:color w:val="auto"/>
                <w:kern w:val="0"/>
                <w:szCs w:val="21"/>
              </w:rPr>
              <w:t>分辨率：0.1hpa；</w:t>
            </w:r>
          </w:p>
          <w:p w14:paraId="0628CB2A">
            <w:pPr>
              <w:widowControl/>
              <w:jc w:val="left"/>
              <w:textAlignment w:val="center"/>
              <w:rPr>
                <w:rFonts w:ascii="宋体" w:hAnsi="宋体"/>
                <w:color w:val="auto"/>
                <w:kern w:val="0"/>
                <w:szCs w:val="21"/>
              </w:rPr>
            </w:pPr>
            <w:r>
              <w:rPr>
                <w:rFonts w:hint="eastAsia" w:ascii="宋体" w:hAnsi="宋体"/>
                <w:color w:val="auto"/>
                <w:kern w:val="0"/>
                <w:szCs w:val="21"/>
              </w:rPr>
              <w:t xml:space="preserve">大气压值误差范围：±0.3hPa；  </w:t>
            </w:r>
          </w:p>
          <w:p w14:paraId="706474B7">
            <w:pPr>
              <w:widowControl/>
              <w:jc w:val="left"/>
              <w:textAlignment w:val="center"/>
              <w:rPr>
                <w:rFonts w:ascii="宋体" w:hAnsi="宋体"/>
                <w:color w:val="auto"/>
                <w:kern w:val="0"/>
                <w:szCs w:val="21"/>
              </w:rPr>
            </w:pPr>
            <w:r>
              <w:rPr>
                <w:rFonts w:hint="eastAsia" w:ascii="宋体" w:hAnsi="宋体"/>
                <w:color w:val="auto"/>
                <w:kern w:val="0"/>
                <w:szCs w:val="21"/>
              </w:rPr>
              <w:t>4）风速</w:t>
            </w:r>
          </w:p>
          <w:p w14:paraId="5706D701">
            <w:pPr>
              <w:widowControl/>
              <w:jc w:val="left"/>
              <w:textAlignment w:val="center"/>
              <w:rPr>
                <w:rFonts w:ascii="宋体" w:hAnsi="宋体"/>
                <w:color w:val="auto"/>
                <w:kern w:val="0"/>
                <w:szCs w:val="21"/>
              </w:rPr>
            </w:pPr>
            <w:r>
              <w:rPr>
                <w:rFonts w:hint="eastAsia" w:ascii="宋体" w:hAnsi="宋体"/>
                <w:color w:val="auto"/>
                <w:kern w:val="0"/>
                <w:szCs w:val="21"/>
              </w:rPr>
              <w:t>测量模式：超声波；</w:t>
            </w:r>
          </w:p>
          <w:p w14:paraId="4BA9EF0A">
            <w:pPr>
              <w:widowControl/>
              <w:jc w:val="left"/>
              <w:textAlignment w:val="center"/>
              <w:rPr>
                <w:rFonts w:ascii="宋体" w:hAnsi="宋体"/>
                <w:color w:val="auto"/>
                <w:kern w:val="0"/>
                <w:szCs w:val="21"/>
              </w:rPr>
            </w:pPr>
            <w:r>
              <w:rPr>
                <w:rFonts w:hint="eastAsia" w:ascii="宋体" w:hAnsi="宋体"/>
                <w:color w:val="auto"/>
                <w:kern w:val="0"/>
                <w:szCs w:val="21"/>
              </w:rPr>
              <w:t>测量范围：0-60m/s；</w:t>
            </w:r>
          </w:p>
          <w:p w14:paraId="603EA16C">
            <w:pPr>
              <w:widowControl/>
              <w:jc w:val="left"/>
              <w:textAlignment w:val="center"/>
              <w:rPr>
                <w:rFonts w:ascii="宋体" w:hAnsi="宋体"/>
                <w:color w:val="auto"/>
                <w:kern w:val="0"/>
                <w:szCs w:val="21"/>
              </w:rPr>
            </w:pPr>
            <w:r>
              <w:rPr>
                <w:rFonts w:hint="eastAsia" w:ascii="宋体" w:hAnsi="宋体"/>
                <w:color w:val="auto"/>
                <w:kern w:val="0"/>
                <w:szCs w:val="21"/>
              </w:rPr>
              <w:t>分辨率：0.01m/s；</w:t>
            </w:r>
          </w:p>
          <w:p w14:paraId="3E6C7A93">
            <w:pPr>
              <w:widowControl/>
              <w:jc w:val="left"/>
              <w:textAlignment w:val="center"/>
              <w:rPr>
                <w:rFonts w:ascii="宋体" w:hAnsi="宋体"/>
                <w:color w:val="auto"/>
                <w:kern w:val="0"/>
                <w:szCs w:val="21"/>
              </w:rPr>
            </w:pPr>
            <w:r>
              <w:rPr>
                <w:rFonts w:hint="eastAsia" w:ascii="宋体" w:hAnsi="宋体"/>
                <w:color w:val="auto"/>
                <w:kern w:val="0"/>
                <w:szCs w:val="21"/>
              </w:rPr>
              <w:t>风速值误差范围：3%；</w:t>
            </w:r>
          </w:p>
          <w:p w14:paraId="0EE525EF">
            <w:pPr>
              <w:widowControl/>
              <w:jc w:val="left"/>
              <w:textAlignment w:val="center"/>
              <w:rPr>
                <w:rFonts w:ascii="宋体" w:hAnsi="宋体"/>
                <w:color w:val="auto"/>
                <w:kern w:val="0"/>
                <w:szCs w:val="21"/>
              </w:rPr>
            </w:pPr>
            <w:r>
              <w:rPr>
                <w:rFonts w:hint="eastAsia" w:ascii="宋体" w:hAnsi="宋体"/>
                <w:color w:val="auto"/>
                <w:kern w:val="0"/>
                <w:szCs w:val="21"/>
              </w:rPr>
              <w:t>5）风向</w:t>
            </w:r>
          </w:p>
          <w:p w14:paraId="3B09AF5E">
            <w:pPr>
              <w:widowControl/>
              <w:jc w:val="left"/>
              <w:textAlignment w:val="center"/>
              <w:rPr>
                <w:rFonts w:ascii="宋体" w:hAnsi="宋体"/>
                <w:color w:val="auto"/>
                <w:kern w:val="0"/>
                <w:szCs w:val="21"/>
              </w:rPr>
            </w:pPr>
            <w:r>
              <w:rPr>
                <w:rFonts w:hint="eastAsia" w:ascii="宋体" w:hAnsi="宋体"/>
                <w:color w:val="auto"/>
                <w:kern w:val="0"/>
                <w:szCs w:val="21"/>
              </w:rPr>
              <w:t>测量模式：超声波；</w:t>
            </w:r>
          </w:p>
          <w:p w14:paraId="63C73FBB">
            <w:pPr>
              <w:widowControl/>
              <w:jc w:val="left"/>
              <w:textAlignment w:val="center"/>
              <w:rPr>
                <w:rFonts w:ascii="宋体" w:hAnsi="宋体"/>
                <w:color w:val="auto"/>
                <w:kern w:val="0"/>
                <w:szCs w:val="21"/>
              </w:rPr>
            </w:pPr>
            <w:r>
              <w:rPr>
                <w:rFonts w:hint="eastAsia" w:ascii="宋体" w:hAnsi="宋体"/>
                <w:color w:val="auto"/>
                <w:kern w:val="0"/>
                <w:szCs w:val="21"/>
              </w:rPr>
              <w:t>测量范围：0-360°；</w:t>
            </w:r>
          </w:p>
          <w:p w14:paraId="04ABDB4F">
            <w:pPr>
              <w:widowControl/>
              <w:jc w:val="left"/>
              <w:textAlignment w:val="center"/>
              <w:rPr>
                <w:rFonts w:ascii="宋体" w:hAnsi="宋体"/>
                <w:color w:val="auto"/>
                <w:kern w:val="0"/>
                <w:szCs w:val="21"/>
              </w:rPr>
            </w:pPr>
            <w:r>
              <w:rPr>
                <w:rFonts w:hint="eastAsia" w:ascii="宋体" w:hAnsi="宋体"/>
                <w:color w:val="auto"/>
                <w:kern w:val="0"/>
                <w:szCs w:val="21"/>
              </w:rPr>
              <w:t>分辨率：0.1°；</w:t>
            </w:r>
          </w:p>
          <w:p w14:paraId="731C0B16">
            <w:pPr>
              <w:widowControl/>
              <w:jc w:val="left"/>
              <w:textAlignment w:val="center"/>
              <w:rPr>
                <w:rFonts w:ascii="宋体" w:hAnsi="宋体"/>
                <w:color w:val="auto"/>
                <w:kern w:val="0"/>
                <w:szCs w:val="21"/>
              </w:rPr>
            </w:pPr>
            <w:r>
              <w:rPr>
                <w:rFonts w:hint="eastAsia" w:ascii="宋体" w:hAnsi="宋体"/>
                <w:color w:val="auto"/>
                <w:kern w:val="0"/>
                <w:szCs w:val="21"/>
              </w:rPr>
              <w:t>风向值误差范围：±2.3°（风速＜10m/s时）；</w:t>
            </w:r>
          </w:p>
          <w:p w14:paraId="5285D66D">
            <w:pPr>
              <w:widowControl/>
              <w:jc w:val="left"/>
              <w:textAlignment w:val="center"/>
              <w:rPr>
                <w:rFonts w:ascii="宋体" w:hAnsi="宋体"/>
                <w:color w:val="auto"/>
                <w:kern w:val="0"/>
                <w:szCs w:val="21"/>
              </w:rPr>
            </w:pPr>
            <w:r>
              <w:rPr>
                <w:rFonts w:hint="eastAsia" w:ascii="宋体" w:hAnsi="宋体"/>
                <w:color w:val="auto"/>
                <w:kern w:val="0"/>
                <w:szCs w:val="21"/>
              </w:rPr>
              <w:t>6）降雨量</w:t>
            </w:r>
          </w:p>
          <w:p w14:paraId="178A066E">
            <w:pPr>
              <w:widowControl/>
              <w:jc w:val="left"/>
              <w:textAlignment w:val="center"/>
              <w:rPr>
                <w:rFonts w:ascii="宋体" w:hAnsi="宋体"/>
                <w:color w:val="auto"/>
                <w:kern w:val="0"/>
                <w:szCs w:val="21"/>
              </w:rPr>
            </w:pPr>
            <w:r>
              <w:rPr>
                <w:rFonts w:hint="eastAsia" w:ascii="宋体" w:hAnsi="宋体"/>
                <w:color w:val="auto"/>
                <w:kern w:val="0"/>
                <w:szCs w:val="21"/>
              </w:rPr>
              <w:t>测量范围：0-200mm/h；</w:t>
            </w:r>
          </w:p>
          <w:p w14:paraId="54739182">
            <w:pPr>
              <w:widowControl/>
              <w:jc w:val="left"/>
              <w:textAlignment w:val="center"/>
              <w:rPr>
                <w:rFonts w:ascii="宋体" w:hAnsi="宋体"/>
                <w:color w:val="auto"/>
                <w:kern w:val="0"/>
                <w:szCs w:val="21"/>
              </w:rPr>
            </w:pPr>
            <w:r>
              <w:rPr>
                <w:rFonts w:hint="eastAsia" w:ascii="宋体" w:hAnsi="宋体"/>
                <w:color w:val="auto"/>
                <w:kern w:val="0"/>
                <w:szCs w:val="21"/>
              </w:rPr>
              <w:t>测量模式：震动；</w:t>
            </w:r>
          </w:p>
          <w:p w14:paraId="1052AF71">
            <w:pPr>
              <w:widowControl/>
              <w:jc w:val="left"/>
              <w:textAlignment w:val="center"/>
              <w:rPr>
                <w:rFonts w:ascii="宋体" w:hAnsi="宋体"/>
                <w:color w:val="auto"/>
                <w:kern w:val="0"/>
                <w:szCs w:val="21"/>
              </w:rPr>
            </w:pPr>
            <w:r>
              <w:rPr>
                <w:rFonts w:hint="eastAsia" w:ascii="宋体" w:hAnsi="宋体"/>
                <w:color w:val="auto"/>
                <w:kern w:val="0"/>
                <w:szCs w:val="21"/>
              </w:rPr>
              <w:t>分辨率：0.2mm；</w:t>
            </w:r>
          </w:p>
          <w:p w14:paraId="5077029B">
            <w:pPr>
              <w:widowControl/>
              <w:jc w:val="left"/>
              <w:textAlignment w:val="center"/>
              <w:rPr>
                <w:rFonts w:ascii="宋体" w:hAnsi="宋体"/>
                <w:color w:val="auto"/>
                <w:kern w:val="0"/>
                <w:szCs w:val="21"/>
              </w:rPr>
            </w:pPr>
            <w:r>
              <w:rPr>
                <w:rFonts w:hint="eastAsia" w:ascii="宋体" w:hAnsi="宋体"/>
                <w:color w:val="auto"/>
                <w:kern w:val="0"/>
                <w:szCs w:val="21"/>
              </w:rPr>
              <w:t>降雨量值误差范围：±4%；</w:t>
            </w:r>
          </w:p>
          <w:p w14:paraId="28268D5C">
            <w:pPr>
              <w:widowControl/>
              <w:jc w:val="left"/>
              <w:textAlignment w:val="center"/>
              <w:rPr>
                <w:rFonts w:ascii="宋体" w:hAnsi="宋体"/>
                <w:color w:val="auto"/>
                <w:kern w:val="0"/>
                <w:szCs w:val="21"/>
              </w:rPr>
            </w:pPr>
            <w:r>
              <w:rPr>
                <w:rFonts w:hint="eastAsia" w:ascii="宋体" w:hAnsi="宋体"/>
                <w:color w:val="auto"/>
                <w:kern w:val="0"/>
                <w:szCs w:val="21"/>
              </w:rPr>
              <w:t>7）光照度</w:t>
            </w:r>
          </w:p>
          <w:p w14:paraId="3584582E">
            <w:pPr>
              <w:widowControl/>
              <w:jc w:val="left"/>
              <w:textAlignment w:val="center"/>
              <w:rPr>
                <w:rFonts w:ascii="宋体" w:hAnsi="宋体"/>
                <w:color w:val="auto"/>
                <w:kern w:val="0"/>
                <w:szCs w:val="21"/>
              </w:rPr>
            </w:pPr>
            <w:r>
              <w:rPr>
                <w:rFonts w:hint="eastAsia" w:ascii="宋体" w:hAnsi="宋体"/>
                <w:color w:val="auto"/>
                <w:kern w:val="0"/>
                <w:szCs w:val="21"/>
              </w:rPr>
              <w:t>测量范围：0-200KLUX；</w:t>
            </w:r>
          </w:p>
          <w:p w14:paraId="1F0653EE">
            <w:pPr>
              <w:widowControl/>
              <w:jc w:val="left"/>
              <w:textAlignment w:val="center"/>
              <w:rPr>
                <w:rFonts w:ascii="宋体" w:hAnsi="宋体"/>
                <w:color w:val="auto"/>
                <w:kern w:val="0"/>
                <w:szCs w:val="21"/>
              </w:rPr>
            </w:pPr>
            <w:r>
              <w:rPr>
                <w:rFonts w:hint="eastAsia" w:ascii="宋体" w:hAnsi="宋体"/>
                <w:color w:val="auto"/>
                <w:kern w:val="0"/>
                <w:szCs w:val="21"/>
              </w:rPr>
              <w:t>分辨率：10LUX；</w:t>
            </w:r>
          </w:p>
          <w:p w14:paraId="0620FA25">
            <w:pPr>
              <w:widowControl/>
              <w:jc w:val="left"/>
              <w:textAlignment w:val="center"/>
              <w:rPr>
                <w:rFonts w:ascii="宋体" w:hAnsi="宋体"/>
                <w:color w:val="auto"/>
                <w:kern w:val="0"/>
                <w:szCs w:val="21"/>
              </w:rPr>
            </w:pPr>
            <w:r>
              <w:rPr>
                <w:rFonts w:hint="eastAsia" w:ascii="宋体" w:hAnsi="宋体"/>
                <w:color w:val="auto"/>
                <w:kern w:val="0"/>
                <w:szCs w:val="21"/>
              </w:rPr>
              <w:t>光照度值误差范围：3%；</w:t>
            </w:r>
          </w:p>
          <w:p w14:paraId="486A9097">
            <w:pPr>
              <w:widowControl/>
              <w:jc w:val="left"/>
              <w:textAlignment w:val="center"/>
              <w:rPr>
                <w:rFonts w:ascii="宋体" w:hAnsi="宋体"/>
                <w:color w:val="auto"/>
                <w:kern w:val="0"/>
                <w:szCs w:val="21"/>
              </w:rPr>
            </w:pPr>
            <w:r>
              <w:rPr>
                <w:rFonts w:hint="eastAsia" w:ascii="宋体" w:hAnsi="宋体"/>
                <w:color w:val="auto"/>
                <w:kern w:val="0"/>
                <w:szCs w:val="21"/>
              </w:rPr>
              <w:t>监测方式：对监测因子的直接测量。</w:t>
            </w:r>
          </w:p>
          <w:p w14:paraId="28C58D6E">
            <w:pPr>
              <w:widowControl/>
              <w:jc w:val="left"/>
              <w:textAlignment w:val="center"/>
              <w:rPr>
                <w:rFonts w:ascii="宋体" w:hAnsi="宋体"/>
                <w:color w:val="auto"/>
                <w:kern w:val="0"/>
                <w:szCs w:val="21"/>
              </w:rPr>
            </w:pPr>
            <w:r>
              <w:rPr>
                <w:rFonts w:hint="eastAsia" w:ascii="宋体" w:hAnsi="宋体"/>
                <w:color w:val="auto"/>
                <w:kern w:val="0"/>
                <w:szCs w:val="21"/>
              </w:rPr>
              <w:t>2、通信指标</w:t>
            </w:r>
          </w:p>
          <w:p w14:paraId="6DE5B1E7">
            <w:pPr>
              <w:widowControl/>
              <w:jc w:val="left"/>
              <w:textAlignment w:val="center"/>
              <w:rPr>
                <w:rFonts w:ascii="宋体" w:hAnsi="宋体"/>
                <w:color w:val="auto"/>
                <w:kern w:val="0"/>
                <w:szCs w:val="21"/>
              </w:rPr>
            </w:pPr>
            <w:r>
              <w:rPr>
                <w:rFonts w:hint="eastAsia" w:ascii="宋体" w:hAnsi="宋体"/>
                <w:color w:val="auto"/>
                <w:kern w:val="0"/>
                <w:szCs w:val="21"/>
              </w:rPr>
              <w:t>（1）支持GPRS/3G/4G 公网与北斗 3 号短报文数据传输；</w:t>
            </w:r>
          </w:p>
          <w:p w14:paraId="2C640368">
            <w:pPr>
              <w:widowControl/>
              <w:jc w:val="left"/>
              <w:textAlignment w:val="center"/>
              <w:rPr>
                <w:rFonts w:ascii="宋体" w:hAnsi="宋体"/>
                <w:color w:val="auto"/>
                <w:kern w:val="0"/>
                <w:szCs w:val="21"/>
              </w:rPr>
            </w:pPr>
            <w:r>
              <w:rPr>
                <w:rFonts w:hint="eastAsia" w:ascii="宋体" w:hAnsi="宋体"/>
                <w:color w:val="auto"/>
                <w:kern w:val="0"/>
                <w:szCs w:val="21"/>
              </w:rPr>
              <w:t>（2）北斗边缘计算盒具备单图计算分析能力。</w:t>
            </w:r>
          </w:p>
          <w:p w14:paraId="72818251">
            <w:pPr>
              <w:widowControl/>
              <w:jc w:val="left"/>
              <w:textAlignment w:val="center"/>
              <w:rPr>
                <w:rFonts w:ascii="宋体" w:hAnsi="宋体"/>
                <w:color w:val="auto"/>
                <w:kern w:val="0"/>
                <w:szCs w:val="21"/>
              </w:rPr>
            </w:pPr>
            <w:r>
              <w:rPr>
                <w:rFonts w:hint="eastAsia" w:ascii="宋体" w:hAnsi="宋体"/>
                <w:color w:val="auto"/>
                <w:kern w:val="0"/>
                <w:szCs w:val="21"/>
              </w:rPr>
              <w:t>3、可靠性</w:t>
            </w:r>
          </w:p>
          <w:p w14:paraId="279F9EF4">
            <w:pPr>
              <w:widowControl/>
              <w:jc w:val="left"/>
              <w:textAlignment w:val="center"/>
              <w:rPr>
                <w:rFonts w:ascii="宋体" w:hAnsi="宋体"/>
                <w:color w:val="auto"/>
                <w:kern w:val="0"/>
                <w:szCs w:val="21"/>
              </w:rPr>
            </w:pPr>
            <w:r>
              <w:rPr>
                <w:rFonts w:hint="eastAsia" w:ascii="宋体" w:hAnsi="宋体"/>
                <w:color w:val="auto"/>
                <w:kern w:val="0"/>
                <w:szCs w:val="21"/>
              </w:rPr>
              <w:t>（1）具备防锈、防雷功能，IP67防护能力；</w:t>
            </w:r>
          </w:p>
          <w:p w14:paraId="05F99E23">
            <w:pPr>
              <w:widowControl/>
              <w:jc w:val="left"/>
              <w:textAlignment w:val="center"/>
              <w:rPr>
                <w:rFonts w:ascii="宋体" w:hAnsi="宋体"/>
                <w:color w:val="auto"/>
                <w:kern w:val="0"/>
                <w:szCs w:val="21"/>
              </w:rPr>
            </w:pPr>
            <w:r>
              <w:rPr>
                <w:rFonts w:hint="eastAsia" w:ascii="宋体" w:hAnsi="宋体"/>
                <w:color w:val="auto"/>
                <w:kern w:val="0"/>
                <w:szCs w:val="21"/>
              </w:rPr>
              <w:t>（2）具备高低温（-40℃-80℃）、湿度（10%–100%RH）、高海拔（≥3500m）、高辐射环境条件下的可靠运行能力；</w:t>
            </w:r>
          </w:p>
          <w:p w14:paraId="7D47611C">
            <w:pPr>
              <w:widowControl/>
              <w:jc w:val="left"/>
              <w:textAlignment w:val="center"/>
              <w:rPr>
                <w:rFonts w:ascii="宋体" w:hAnsi="宋体"/>
                <w:color w:val="auto"/>
                <w:kern w:val="0"/>
                <w:szCs w:val="21"/>
              </w:rPr>
            </w:pPr>
            <w:r>
              <w:rPr>
                <w:rFonts w:hint="eastAsia" w:ascii="宋体" w:hAnsi="宋体"/>
                <w:color w:val="auto"/>
                <w:kern w:val="0"/>
                <w:szCs w:val="21"/>
              </w:rPr>
              <w:t>（3）设备野外平均无故障时间30000小时;</w:t>
            </w:r>
          </w:p>
          <w:p w14:paraId="749AB821">
            <w:pPr>
              <w:widowControl/>
              <w:jc w:val="left"/>
              <w:textAlignment w:val="center"/>
              <w:rPr>
                <w:rFonts w:ascii="宋体" w:hAnsi="宋体"/>
                <w:color w:val="auto"/>
                <w:kern w:val="0"/>
                <w:szCs w:val="21"/>
              </w:rPr>
            </w:pPr>
            <w:r>
              <w:rPr>
                <w:rFonts w:hint="eastAsia" w:ascii="宋体" w:hAnsi="宋体"/>
                <w:color w:val="auto"/>
                <w:kern w:val="0"/>
                <w:szCs w:val="21"/>
              </w:rPr>
              <w:t>（4）支持太阳能可靠供电；</w:t>
            </w:r>
          </w:p>
          <w:p w14:paraId="17128B0C">
            <w:pPr>
              <w:widowControl/>
              <w:jc w:val="left"/>
              <w:textAlignment w:val="center"/>
              <w:rPr>
                <w:rFonts w:ascii="宋体" w:hAnsi="宋体"/>
                <w:color w:val="auto"/>
                <w:kern w:val="0"/>
                <w:szCs w:val="21"/>
              </w:rPr>
            </w:pPr>
            <w:r>
              <w:rPr>
                <w:rFonts w:hint="eastAsia" w:ascii="宋体" w:hAnsi="宋体"/>
                <w:color w:val="auto"/>
                <w:kern w:val="0"/>
                <w:szCs w:val="21"/>
              </w:rPr>
              <w:t>（5）具备低电压保护功能；</w:t>
            </w:r>
          </w:p>
          <w:p w14:paraId="74D3B693">
            <w:pPr>
              <w:widowControl/>
              <w:jc w:val="left"/>
              <w:textAlignment w:val="center"/>
              <w:rPr>
                <w:rFonts w:ascii="宋体" w:hAnsi="宋体"/>
                <w:color w:val="auto"/>
                <w:kern w:val="0"/>
                <w:szCs w:val="21"/>
              </w:rPr>
            </w:pPr>
            <w:r>
              <w:rPr>
                <w:rFonts w:hint="eastAsia" w:ascii="宋体" w:hAnsi="宋体"/>
                <w:color w:val="auto"/>
                <w:kern w:val="0"/>
                <w:szCs w:val="21"/>
              </w:rPr>
              <w:t>（6）具备防盗告警：倾斜分辨率：1°；报警类型：支持倾斜、挖掘、破坏、移动状态告警监测。</w:t>
            </w:r>
          </w:p>
          <w:p w14:paraId="07E1DBD1">
            <w:pPr>
              <w:widowControl/>
              <w:jc w:val="left"/>
              <w:textAlignment w:val="center"/>
              <w:rPr>
                <w:rFonts w:ascii="宋体" w:hAnsi="宋体"/>
                <w:color w:val="auto"/>
                <w:kern w:val="0"/>
                <w:szCs w:val="21"/>
              </w:rPr>
            </w:pPr>
            <w:r>
              <w:rPr>
                <w:rFonts w:hint="eastAsia" w:ascii="宋体" w:hAnsi="宋体"/>
                <w:color w:val="auto"/>
                <w:kern w:val="0"/>
                <w:szCs w:val="21"/>
              </w:rPr>
              <w:t>（7）远程定位：具备北斗定位。</w:t>
            </w:r>
          </w:p>
          <w:p w14:paraId="4FDC79C3">
            <w:pPr>
              <w:widowControl/>
              <w:jc w:val="left"/>
              <w:textAlignment w:val="center"/>
              <w:rPr>
                <w:rFonts w:ascii="宋体" w:hAnsi="宋体"/>
                <w:color w:val="auto"/>
                <w:kern w:val="0"/>
                <w:szCs w:val="21"/>
              </w:rPr>
            </w:pPr>
            <w:r>
              <w:rPr>
                <w:rFonts w:hint="eastAsia" w:ascii="宋体" w:hAnsi="宋体"/>
                <w:color w:val="auto"/>
                <w:kern w:val="0"/>
                <w:szCs w:val="21"/>
              </w:rPr>
              <w:t>（8）远程标定：具备对凋落物含水率等传感器设备的远程标定、校准、运行维护。</w:t>
            </w:r>
          </w:p>
          <w:p w14:paraId="0CA340AE">
            <w:pPr>
              <w:widowControl/>
              <w:jc w:val="left"/>
              <w:textAlignment w:val="center"/>
              <w:rPr>
                <w:rFonts w:ascii="宋体" w:hAnsi="宋体"/>
                <w:color w:val="auto"/>
                <w:kern w:val="0"/>
                <w:szCs w:val="21"/>
              </w:rPr>
            </w:pPr>
            <w:r>
              <w:rPr>
                <w:rFonts w:hint="eastAsia" w:ascii="宋体" w:hAnsi="宋体"/>
                <w:color w:val="auto"/>
                <w:kern w:val="0"/>
                <w:szCs w:val="21"/>
              </w:rPr>
              <w:t>（9）远程管理：具备远程设备自检分析、指令下发、参数设置及管理。</w:t>
            </w:r>
          </w:p>
          <w:p w14:paraId="63485484">
            <w:pPr>
              <w:widowControl/>
              <w:jc w:val="left"/>
              <w:textAlignment w:val="center"/>
              <w:rPr>
                <w:rFonts w:ascii="宋体" w:hAnsi="宋体"/>
                <w:color w:val="auto"/>
                <w:kern w:val="0"/>
                <w:szCs w:val="21"/>
              </w:rPr>
            </w:pPr>
            <w:r>
              <w:rPr>
                <w:rFonts w:hint="eastAsia" w:ascii="宋体" w:hAnsi="宋体"/>
                <w:color w:val="auto"/>
                <w:kern w:val="0"/>
                <w:szCs w:val="21"/>
              </w:rPr>
              <w:t>4、采集频率</w:t>
            </w:r>
          </w:p>
          <w:p w14:paraId="25E7BF89">
            <w:pPr>
              <w:widowControl/>
              <w:jc w:val="left"/>
              <w:textAlignment w:val="center"/>
              <w:rPr>
                <w:rFonts w:ascii="宋体" w:hAnsi="宋体"/>
                <w:color w:val="auto"/>
                <w:kern w:val="0"/>
                <w:szCs w:val="21"/>
              </w:rPr>
            </w:pPr>
            <w:r>
              <w:rPr>
                <w:rFonts w:hint="eastAsia" w:ascii="宋体" w:hAnsi="宋体"/>
                <w:color w:val="auto"/>
                <w:kern w:val="0"/>
                <w:szCs w:val="21"/>
              </w:rPr>
              <w:t>具备5 分钟、30 分钟、1 小时等多种采样频率，分钟级可调自动采集上报。</w:t>
            </w:r>
          </w:p>
          <w:p w14:paraId="23593FF5">
            <w:pPr>
              <w:widowControl/>
              <w:jc w:val="left"/>
              <w:textAlignment w:val="center"/>
              <w:rPr>
                <w:rFonts w:ascii="宋体" w:hAnsi="宋体"/>
                <w:color w:val="auto"/>
                <w:kern w:val="0"/>
                <w:szCs w:val="21"/>
              </w:rPr>
            </w:pPr>
            <w:r>
              <w:rPr>
                <w:rFonts w:hint="eastAsia" w:ascii="宋体" w:hAnsi="宋体"/>
                <w:color w:val="auto"/>
                <w:kern w:val="0"/>
                <w:szCs w:val="21"/>
              </w:rPr>
              <w:t xml:space="preserve">5、数据产品指标  </w:t>
            </w:r>
          </w:p>
          <w:p w14:paraId="3288C693">
            <w:pPr>
              <w:widowControl/>
              <w:jc w:val="left"/>
              <w:textAlignment w:val="center"/>
              <w:rPr>
                <w:rFonts w:ascii="宋体" w:hAnsi="宋体"/>
                <w:color w:val="auto"/>
                <w:kern w:val="0"/>
                <w:szCs w:val="21"/>
              </w:rPr>
            </w:pPr>
            <w:r>
              <w:rPr>
                <w:rFonts w:hint="eastAsia" w:ascii="宋体" w:hAnsi="宋体"/>
                <w:color w:val="auto"/>
                <w:kern w:val="0"/>
                <w:szCs w:val="21"/>
              </w:rPr>
              <w:t>（1）数据产品报告生成时间5 秒，对于特殊情况且确实需要较长时间处理的需给出进度提示；</w:t>
            </w:r>
          </w:p>
          <w:p w14:paraId="4B0708A2">
            <w:pPr>
              <w:widowControl/>
              <w:jc w:val="left"/>
              <w:textAlignment w:val="center"/>
              <w:rPr>
                <w:rFonts w:ascii="宋体" w:hAnsi="宋体"/>
                <w:color w:val="auto"/>
                <w:kern w:val="0"/>
                <w:szCs w:val="21"/>
              </w:rPr>
            </w:pPr>
            <w:r>
              <w:rPr>
                <w:rFonts w:hint="eastAsia" w:ascii="宋体" w:hAnsi="宋体"/>
                <w:color w:val="auto"/>
                <w:kern w:val="0"/>
                <w:szCs w:val="21"/>
              </w:rPr>
              <w:t>（2）支持公里级精细化网格预警，格点精度最低12.5 米。</w:t>
            </w:r>
          </w:p>
          <w:p w14:paraId="5137B406">
            <w:pPr>
              <w:widowControl/>
              <w:jc w:val="left"/>
              <w:textAlignment w:val="center"/>
              <w:rPr>
                <w:rFonts w:ascii="宋体" w:hAnsi="宋体"/>
                <w:color w:val="auto"/>
                <w:kern w:val="0"/>
                <w:szCs w:val="21"/>
              </w:rPr>
            </w:pPr>
            <w:r>
              <w:rPr>
                <w:rFonts w:hint="eastAsia" w:ascii="宋体" w:hAnsi="宋体"/>
                <w:color w:val="auto"/>
                <w:kern w:val="0"/>
                <w:szCs w:val="21"/>
              </w:rPr>
              <w:t>6、安全指标</w:t>
            </w:r>
          </w:p>
          <w:p w14:paraId="45DCF40C">
            <w:pPr>
              <w:widowControl/>
              <w:jc w:val="left"/>
              <w:textAlignment w:val="center"/>
              <w:rPr>
                <w:rFonts w:ascii="宋体" w:hAnsi="宋体"/>
                <w:color w:val="auto"/>
                <w:kern w:val="0"/>
                <w:szCs w:val="21"/>
              </w:rPr>
            </w:pPr>
            <w:r>
              <w:rPr>
                <w:rFonts w:hint="eastAsia" w:ascii="宋体" w:hAnsi="宋体"/>
                <w:color w:val="auto"/>
                <w:kern w:val="0"/>
                <w:szCs w:val="21"/>
              </w:rPr>
              <w:t>感知数据上报应加密，采用国密算法加密算法不低于128位；</w:t>
            </w:r>
          </w:p>
          <w:p w14:paraId="3365922F">
            <w:pPr>
              <w:widowControl/>
              <w:jc w:val="left"/>
              <w:textAlignment w:val="center"/>
              <w:rPr>
                <w:rFonts w:ascii="宋体" w:hAnsi="宋体"/>
                <w:color w:val="auto"/>
                <w:kern w:val="0"/>
                <w:szCs w:val="21"/>
              </w:rPr>
            </w:pPr>
            <w:r>
              <w:rPr>
                <w:rFonts w:hint="eastAsia" w:ascii="宋体" w:hAnsi="宋体"/>
                <w:color w:val="auto"/>
                <w:kern w:val="0"/>
                <w:szCs w:val="21"/>
              </w:rPr>
              <w:t>7、存储指标</w:t>
            </w:r>
          </w:p>
          <w:p w14:paraId="77C73B9A">
            <w:pPr>
              <w:widowControl/>
              <w:jc w:val="left"/>
              <w:textAlignment w:val="center"/>
              <w:rPr>
                <w:rFonts w:ascii="宋体" w:hAnsi="宋体"/>
                <w:color w:val="auto"/>
                <w:kern w:val="0"/>
                <w:szCs w:val="21"/>
              </w:rPr>
            </w:pPr>
            <w:r>
              <w:rPr>
                <w:rFonts w:hint="eastAsia" w:ascii="宋体" w:hAnsi="宋体"/>
                <w:color w:val="auto"/>
                <w:kern w:val="0"/>
                <w:szCs w:val="21"/>
              </w:rPr>
              <w:t>所有监测数据存储时长不低于两年。</w:t>
            </w:r>
          </w:p>
          <w:p w14:paraId="58D53569">
            <w:pPr>
              <w:widowControl/>
              <w:jc w:val="left"/>
              <w:textAlignment w:val="center"/>
              <w:rPr>
                <w:rFonts w:ascii="宋体" w:hAnsi="宋体"/>
                <w:color w:val="auto"/>
                <w:kern w:val="0"/>
                <w:szCs w:val="21"/>
              </w:rPr>
            </w:pPr>
            <w:r>
              <w:rPr>
                <w:rFonts w:hint="eastAsia" w:ascii="宋体" w:hAnsi="宋体"/>
                <w:color w:val="auto"/>
                <w:kern w:val="0"/>
                <w:szCs w:val="21"/>
              </w:rPr>
              <w:t>8、选址要求指标</w:t>
            </w:r>
          </w:p>
          <w:p w14:paraId="0A1D44F3">
            <w:pPr>
              <w:widowControl/>
              <w:jc w:val="left"/>
              <w:textAlignment w:val="center"/>
              <w:rPr>
                <w:rFonts w:ascii="宋体" w:hAnsi="宋体"/>
                <w:color w:val="auto"/>
                <w:kern w:val="0"/>
                <w:szCs w:val="21"/>
              </w:rPr>
            </w:pPr>
            <w:r>
              <w:rPr>
                <w:rFonts w:hint="eastAsia" w:ascii="宋体" w:hAnsi="宋体"/>
                <w:color w:val="auto"/>
                <w:kern w:val="0"/>
                <w:szCs w:val="21"/>
              </w:rPr>
              <w:t>对采购人已选站点布设进行再勘察，保证高风险点不漏报。</w:t>
            </w:r>
          </w:p>
          <w:p w14:paraId="5E5FDB54">
            <w:pPr>
              <w:widowControl/>
              <w:jc w:val="left"/>
              <w:textAlignment w:val="center"/>
              <w:rPr>
                <w:rFonts w:ascii="宋体" w:hAnsi="宋体"/>
                <w:color w:val="auto"/>
                <w:kern w:val="0"/>
                <w:szCs w:val="21"/>
              </w:rPr>
            </w:pPr>
            <w:r>
              <w:rPr>
                <w:rFonts w:hint="eastAsia" w:ascii="宋体" w:hAnsi="宋体"/>
                <w:color w:val="auto"/>
                <w:kern w:val="0"/>
                <w:szCs w:val="21"/>
              </w:rPr>
              <w:t>9、数据对接指标</w:t>
            </w:r>
          </w:p>
          <w:p w14:paraId="18BCFDFE">
            <w:pPr>
              <w:widowControl/>
              <w:jc w:val="left"/>
              <w:textAlignment w:val="center"/>
              <w:rPr>
                <w:rFonts w:ascii="宋体" w:hAnsi="宋体"/>
                <w:color w:val="auto"/>
                <w:kern w:val="0"/>
                <w:szCs w:val="21"/>
              </w:rPr>
            </w:pPr>
            <w:r>
              <w:rPr>
                <w:rFonts w:hint="eastAsia" w:ascii="宋体" w:hAnsi="宋体"/>
                <w:color w:val="auto"/>
                <w:kern w:val="0"/>
                <w:szCs w:val="21"/>
              </w:rPr>
              <w:t>支持开放接口，可传输至综合监测预警系统，支持与省级数据汇聚平台对接实现数据上传。</w:t>
            </w:r>
          </w:p>
          <w:p w14:paraId="0B2EC45F">
            <w:pPr>
              <w:widowControl/>
              <w:jc w:val="left"/>
              <w:textAlignment w:val="center"/>
              <w:rPr>
                <w:rFonts w:ascii="宋体" w:hAnsi="宋体"/>
                <w:color w:val="auto"/>
                <w:kern w:val="0"/>
                <w:szCs w:val="21"/>
              </w:rPr>
            </w:pPr>
            <w:r>
              <w:rPr>
                <w:rFonts w:hint="eastAsia" w:ascii="宋体" w:hAnsi="宋体"/>
                <w:color w:val="auto"/>
                <w:kern w:val="0"/>
                <w:szCs w:val="21"/>
              </w:rPr>
              <w:t>10、相关配件</w:t>
            </w:r>
          </w:p>
          <w:p w14:paraId="29E8819F">
            <w:pPr>
              <w:widowControl/>
              <w:jc w:val="left"/>
              <w:textAlignment w:val="center"/>
              <w:rPr>
                <w:rFonts w:ascii="宋体" w:hAnsi="宋体"/>
                <w:color w:val="auto"/>
                <w:kern w:val="0"/>
                <w:szCs w:val="21"/>
              </w:rPr>
            </w:pPr>
            <w:r>
              <w:rPr>
                <w:rFonts w:hint="eastAsia" w:ascii="宋体" w:hAnsi="宋体"/>
                <w:color w:val="auto"/>
                <w:kern w:val="0"/>
                <w:szCs w:val="21"/>
              </w:rPr>
              <w:t>（1）配套太阳能板：包含配套太阳能版；根据设备所需功率进行太阳能板配置；输出功率不低于50w；</w:t>
            </w:r>
          </w:p>
          <w:p w14:paraId="323FC6B8">
            <w:pPr>
              <w:widowControl/>
              <w:jc w:val="left"/>
              <w:textAlignment w:val="center"/>
              <w:rPr>
                <w:rFonts w:ascii="宋体" w:hAnsi="宋体"/>
                <w:color w:val="auto"/>
                <w:kern w:val="0"/>
                <w:szCs w:val="21"/>
              </w:rPr>
            </w:pPr>
            <w:r>
              <w:rPr>
                <w:rFonts w:hint="eastAsia" w:ascii="宋体" w:hAnsi="宋体"/>
                <w:color w:val="auto"/>
                <w:kern w:val="0"/>
                <w:szCs w:val="21"/>
              </w:rPr>
              <w:t>（2）管理单元：太阳能输入充电管理，防雷防护；</w:t>
            </w:r>
          </w:p>
          <w:p w14:paraId="6434CFED">
            <w:pPr>
              <w:widowControl/>
              <w:jc w:val="left"/>
              <w:textAlignment w:val="center"/>
              <w:rPr>
                <w:rFonts w:ascii="宋体" w:hAnsi="宋体"/>
                <w:color w:val="auto"/>
                <w:kern w:val="0"/>
                <w:szCs w:val="21"/>
              </w:rPr>
            </w:pPr>
            <w:r>
              <w:rPr>
                <w:rFonts w:hint="eastAsia" w:ascii="宋体" w:hAnsi="宋体"/>
                <w:color w:val="auto"/>
                <w:kern w:val="0"/>
                <w:szCs w:val="21"/>
              </w:rPr>
              <w:t>（3）配套电池：可保证连续1个月阴雨天气环境下供电，此指标下电池寿命不低于5年；</w:t>
            </w:r>
          </w:p>
          <w:p w14:paraId="4B671061">
            <w:pPr>
              <w:widowControl/>
              <w:jc w:val="left"/>
              <w:textAlignment w:val="center"/>
              <w:rPr>
                <w:rFonts w:ascii="宋体" w:hAnsi="宋体"/>
                <w:color w:val="auto"/>
                <w:kern w:val="0"/>
                <w:szCs w:val="21"/>
              </w:rPr>
            </w:pPr>
            <w:r>
              <w:rPr>
                <w:rFonts w:hint="eastAsia" w:ascii="宋体" w:hAnsi="宋体"/>
                <w:color w:val="auto"/>
                <w:kern w:val="0"/>
                <w:szCs w:val="21"/>
              </w:rPr>
              <w:t>（4）立杆及连接线：配备标准连接线、防腐防锈立杆。</w:t>
            </w:r>
          </w:p>
          <w:p w14:paraId="5797E9BF">
            <w:pPr>
              <w:widowControl/>
              <w:jc w:val="left"/>
              <w:textAlignment w:val="center"/>
              <w:rPr>
                <w:rFonts w:ascii="宋体" w:hAnsi="宋体"/>
                <w:color w:val="auto"/>
                <w:kern w:val="0"/>
                <w:szCs w:val="21"/>
              </w:rPr>
            </w:pPr>
            <w:r>
              <w:rPr>
                <w:rFonts w:hint="eastAsia" w:ascii="宋体" w:hAnsi="宋体"/>
                <w:color w:val="auto"/>
                <w:kern w:val="0"/>
                <w:szCs w:val="21"/>
              </w:rPr>
              <w:t>11、辅材要求：需包括配套安装辅材。</w:t>
            </w:r>
          </w:p>
          <w:p w14:paraId="7A67D3C2">
            <w:pPr>
              <w:widowControl/>
              <w:jc w:val="left"/>
              <w:textAlignment w:val="center"/>
              <w:rPr>
                <w:rFonts w:ascii="宋体" w:hAnsi="宋体"/>
                <w:color w:val="auto"/>
                <w:kern w:val="0"/>
                <w:szCs w:val="21"/>
              </w:rPr>
            </w:pPr>
            <w:r>
              <w:rPr>
                <w:rFonts w:hint="eastAsia" w:ascii="宋体" w:hAnsi="宋体"/>
                <w:color w:val="auto"/>
                <w:kern w:val="0"/>
                <w:szCs w:val="21"/>
              </w:rPr>
              <w:t>12、数据对接：提供开放的SDK或API接口，质保期内配合接入相关数据。</w:t>
            </w:r>
          </w:p>
        </w:tc>
        <w:tc>
          <w:tcPr>
            <w:tcW w:w="68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71FC625">
            <w:pPr>
              <w:widowControl/>
              <w:jc w:val="center"/>
              <w:textAlignment w:val="center"/>
              <w:rPr>
                <w:rFonts w:ascii="宋体" w:hAnsi="宋体"/>
                <w:color w:val="auto"/>
                <w:szCs w:val="21"/>
              </w:rPr>
            </w:pPr>
            <w:r>
              <w:rPr>
                <w:rFonts w:hint="eastAsia" w:ascii="宋体" w:hAnsi="宋体"/>
                <w:color w:val="auto"/>
                <w:kern w:val="0"/>
                <w:szCs w:val="21"/>
              </w:rPr>
              <w:t>3</w:t>
            </w:r>
          </w:p>
        </w:tc>
        <w:tc>
          <w:tcPr>
            <w:tcW w:w="62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79750E7">
            <w:pPr>
              <w:widowControl/>
              <w:jc w:val="center"/>
              <w:textAlignment w:val="center"/>
              <w:rPr>
                <w:rFonts w:ascii="宋体" w:hAnsi="宋体"/>
                <w:color w:val="auto"/>
                <w:szCs w:val="21"/>
              </w:rPr>
            </w:pPr>
            <w:r>
              <w:rPr>
                <w:rFonts w:hint="eastAsia" w:ascii="宋体" w:hAnsi="宋体"/>
                <w:color w:val="auto"/>
                <w:kern w:val="0"/>
                <w:szCs w:val="21"/>
              </w:rPr>
              <w:t>个</w:t>
            </w:r>
          </w:p>
        </w:tc>
      </w:tr>
      <w:tr w14:paraId="58E9ADCE">
        <w:tblPrEx>
          <w:tblCellMar>
            <w:top w:w="0" w:type="dxa"/>
            <w:left w:w="108" w:type="dxa"/>
            <w:bottom w:w="0" w:type="dxa"/>
            <w:right w:w="108" w:type="dxa"/>
          </w:tblCellMar>
        </w:tblPrEx>
        <w:trPr>
          <w:trHeight w:val="6053" w:hRule="atLeast"/>
        </w:trPr>
        <w:tc>
          <w:tcPr>
            <w:tcW w:w="438" w:type="dxa"/>
            <w:gridSpan w:val="2"/>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50F4FE">
            <w:pPr>
              <w:widowControl/>
              <w:jc w:val="center"/>
              <w:textAlignment w:val="center"/>
              <w:rPr>
                <w:rFonts w:ascii="宋体" w:hAnsi="宋体"/>
                <w:color w:val="auto"/>
                <w:szCs w:val="21"/>
              </w:rPr>
            </w:pPr>
            <w:r>
              <w:rPr>
                <w:rFonts w:hint="eastAsia" w:ascii="宋体" w:hAnsi="宋体"/>
                <w:color w:val="auto"/>
                <w:kern w:val="0"/>
                <w:szCs w:val="21"/>
              </w:rPr>
              <w:t>3</w:t>
            </w:r>
          </w:p>
        </w:tc>
        <w:tc>
          <w:tcPr>
            <w:tcW w:w="542"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7BA562">
            <w:pPr>
              <w:jc w:val="center"/>
              <w:rPr>
                <w:rFonts w:ascii="宋体" w:hAnsi="宋体"/>
                <w:color w:val="auto"/>
                <w:szCs w:val="21"/>
              </w:rPr>
            </w:pPr>
          </w:p>
        </w:tc>
        <w:tc>
          <w:tcPr>
            <w:tcW w:w="72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73EF8C">
            <w:pPr>
              <w:widowControl/>
              <w:jc w:val="center"/>
              <w:textAlignment w:val="center"/>
              <w:rPr>
                <w:rFonts w:ascii="宋体" w:hAnsi="宋体"/>
                <w:color w:val="auto"/>
                <w:szCs w:val="21"/>
              </w:rPr>
            </w:pPr>
            <w:r>
              <w:rPr>
                <w:rFonts w:hint="eastAsia" w:ascii="宋体" w:hAnsi="宋体"/>
                <w:color w:val="auto"/>
                <w:kern w:val="0"/>
                <w:szCs w:val="21"/>
              </w:rPr>
              <w:t>森林火灾高点监控摄像头</w:t>
            </w:r>
          </w:p>
        </w:tc>
        <w:tc>
          <w:tcPr>
            <w:tcW w:w="5782" w:type="dxa"/>
            <w:tcBorders>
              <w:top w:val="nil"/>
              <w:left w:val="nil"/>
              <w:bottom w:val="single" w:color="000000" w:sz="8" w:space="0"/>
              <w:right w:val="single" w:color="000000" w:sz="8" w:space="0"/>
            </w:tcBorders>
            <w:shd w:val="clear" w:color="auto" w:fill="auto"/>
            <w:vAlign w:val="center"/>
          </w:tcPr>
          <w:p w14:paraId="5021E3CA">
            <w:pPr>
              <w:widowControl/>
              <w:jc w:val="left"/>
              <w:textAlignment w:val="center"/>
              <w:rPr>
                <w:rFonts w:ascii="宋体" w:hAnsi="宋体"/>
                <w:color w:val="auto"/>
                <w:kern w:val="0"/>
                <w:szCs w:val="21"/>
              </w:rPr>
            </w:pPr>
            <w:r>
              <w:rPr>
                <w:rFonts w:hint="eastAsia" w:ascii="宋体" w:hAnsi="宋体"/>
                <w:color w:val="auto"/>
                <w:kern w:val="0"/>
                <w:szCs w:val="21"/>
              </w:rPr>
              <w:t>1.热成像传感器类型：氧化钒非制冷型探测器</w:t>
            </w:r>
          </w:p>
          <w:p w14:paraId="3F5C11CA">
            <w:pPr>
              <w:widowControl/>
              <w:jc w:val="left"/>
              <w:textAlignment w:val="center"/>
              <w:rPr>
                <w:rFonts w:ascii="宋体" w:hAnsi="宋体"/>
                <w:color w:val="auto"/>
                <w:kern w:val="0"/>
                <w:szCs w:val="21"/>
              </w:rPr>
            </w:pPr>
            <w:r>
              <w:rPr>
                <w:rFonts w:hint="eastAsia" w:ascii="宋体" w:hAnsi="宋体"/>
                <w:color w:val="auto"/>
                <w:kern w:val="0"/>
                <w:szCs w:val="21"/>
              </w:rPr>
              <w:t>2、热成像分辨率：≥640x</w:t>
            </w:r>
            <w:r>
              <w:rPr>
                <w:rFonts w:ascii="宋体" w:hAnsi="宋体"/>
                <w:color w:val="auto"/>
                <w:kern w:val="0"/>
                <w:szCs w:val="21"/>
              </w:rPr>
              <w:t>512</w:t>
            </w:r>
          </w:p>
          <w:p w14:paraId="2AA613BE">
            <w:pPr>
              <w:widowControl/>
              <w:jc w:val="left"/>
              <w:textAlignment w:val="center"/>
              <w:rPr>
                <w:rFonts w:ascii="宋体" w:hAnsi="宋体"/>
                <w:color w:val="auto"/>
                <w:szCs w:val="21"/>
              </w:rPr>
            </w:pPr>
            <w:r>
              <w:rPr>
                <w:rFonts w:hint="eastAsia" w:ascii="宋体" w:hAnsi="宋体" w:eastAsia="宋体" w:cs="宋体"/>
                <w:color w:val="auto"/>
                <w:sz w:val="21"/>
                <w:szCs w:val="21"/>
              </w:rPr>
              <w:t>▲</w:t>
            </w:r>
            <w:r>
              <w:rPr>
                <w:rFonts w:hint="eastAsia"/>
                <w:color w:val="auto"/>
              </w:rPr>
              <w:t>3、热成像焦距：≥100mm,</w:t>
            </w:r>
            <w:r>
              <w:rPr>
                <w:rFonts w:hint="eastAsia" w:ascii="宋体" w:hAnsi="宋体"/>
                <w:color w:val="auto"/>
                <w:kern w:val="0"/>
                <w:szCs w:val="21"/>
              </w:rPr>
              <w:t>NETD噪声等效温差≤30mk</w:t>
            </w:r>
          </w:p>
          <w:p w14:paraId="1008C543">
            <w:pPr>
              <w:widowControl/>
              <w:jc w:val="left"/>
              <w:textAlignment w:val="center"/>
              <w:rPr>
                <w:rFonts w:ascii="宋体" w:hAnsi="宋体"/>
                <w:color w:val="auto"/>
                <w:kern w:val="0"/>
                <w:szCs w:val="21"/>
              </w:rPr>
            </w:pPr>
            <w:r>
              <w:rPr>
                <w:rFonts w:ascii="宋体" w:hAnsi="宋体"/>
                <w:color w:val="auto"/>
                <w:kern w:val="0"/>
                <w:szCs w:val="21"/>
              </w:rPr>
              <w:t>4</w:t>
            </w:r>
            <w:r>
              <w:rPr>
                <w:rFonts w:hint="eastAsia" w:ascii="宋体" w:hAnsi="宋体"/>
                <w:color w:val="auto"/>
                <w:kern w:val="0"/>
                <w:szCs w:val="21"/>
              </w:rPr>
              <w:t>、NETD噪声等效温差≤</w:t>
            </w:r>
            <w:r>
              <w:rPr>
                <w:rFonts w:ascii="宋体" w:hAnsi="宋体"/>
                <w:color w:val="auto"/>
                <w:kern w:val="0"/>
                <w:szCs w:val="21"/>
              </w:rPr>
              <w:t>10</w:t>
            </w:r>
            <w:r>
              <w:rPr>
                <w:rFonts w:hint="eastAsia" w:ascii="宋体" w:hAnsi="宋体"/>
                <w:color w:val="auto"/>
                <w:kern w:val="0"/>
                <w:szCs w:val="21"/>
              </w:rPr>
              <w:t>mk</w:t>
            </w:r>
          </w:p>
          <w:p w14:paraId="18753CA9">
            <w:pPr>
              <w:widowControl/>
              <w:jc w:val="left"/>
              <w:textAlignment w:val="center"/>
              <w:rPr>
                <w:rFonts w:ascii="宋体" w:hAnsi="宋体"/>
                <w:color w:val="auto"/>
                <w:kern w:val="0"/>
                <w:szCs w:val="21"/>
              </w:rPr>
            </w:pPr>
            <w:r>
              <w:rPr>
                <w:rFonts w:ascii="宋体" w:hAnsi="宋体"/>
                <w:color w:val="auto"/>
                <w:kern w:val="0"/>
                <w:szCs w:val="21"/>
              </w:rPr>
              <w:t>5</w:t>
            </w:r>
            <w:r>
              <w:rPr>
                <w:rFonts w:hint="eastAsia" w:ascii="宋体" w:hAnsi="宋体"/>
                <w:color w:val="auto"/>
                <w:kern w:val="0"/>
                <w:szCs w:val="21"/>
              </w:rPr>
              <w:t>、火点最远报警距离（以2米*2米为准）：≥</w:t>
            </w:r>
            <w:r>
              <w:rPr>
                <w:rFonts w:ascii="宋体" w:hAnsi="宋体"/>
                <w:color w:val="auto"/>
                <w:kern w:val="0"/>
                <w:szCs w:val="21"/>
              </w:rPr>
              <w:t>5</w:t>
            </w:r>
            <w:r>
              <w:rPr>
                <w:rFonts w:hint="eastAsia" w:ascii="宋体" w:hAnsi="宋体"/>
                <w:color w:val="auto"/>
                <w:kern w:val="0"/>
                <w:szCs w:val="21"/>
              </w:rPr>
              <w:t>㎞</w:t>
            </w:r>
          </w:p>
          <w:p w14:paraId="10758D1D">
            <w:pPr>
              <w:widowControl/>
              <w:jc w:val="left"/>
              <w:textAlignment w:val="center"/>
              <w:rPr>
                <w:rFonts w:ascii="宋体" w:hAnsi="宋体"/>
                <w:color w:val="auto"/>
                <w:kern w:val="0"/>
                <w:szCs w:val="21"/>
              </w:rPr>
            </w:pPr>
            <w:r>
              <w:rPr>
                <w:rFonts w:ascii="宋体" w:hAnsi="宋体"/>
                <w:color w:val="auto"/>
                <w:kern w:val="0"/>
                <w:szCs w:val="21"/>
              </w:rPr>
              <w:t>6</w:t>
            </w:r>
            <w:r>
              <w:rPr>
                <w:rFonts w:hint="eastAsia" w:ascii="宋体" w:hAnsi="宋体"/>
                <w:color w:val="auto"/>
                <w:kern w:val="0"/>
                <w:szCs w:val="21"/>
              </w:rPr>
              <w:t>、可见光镜头：采用1/1.8英寸CMOS，≥400万像素</w:t>
            </w:r>
          </w:p>
          <w:p w14:paraId="6557AB53">
            <w:pPr>
              <w:widowControl/>
              <w:jc w:val="left"/>
              <w:textAlignment w:val="center"/>
              <w:rPr>
                <w:rFonts w:ascii="宋体" w:hAnsi="宋体"/>
                <w:color w:val="auto"/>
                <w:kern w:val="0"/>
                <w:szCs w:val="21"/>
              </w:rPr>
            </w:pPr>
            <w:r>
              <w:rPr>
                <w:rFonts w:ascii="宋体" w:hAnsi="宋体"/>
                <w:color w:val="auto"/>
                <w:kern w:val="0"/>
                <w:szCs w:val="21"/>
              </w:rPr>
              <w:t>7</w:t>
            </w:r>
            <w:r>
              <w:rPr>
                <w:rFonts w:hint="eastAsia" w:ascii="宋体" w:hAnsi="宋体"/>
                <w:color w:val="auto"/>
                <w:kern w:val="0"/>
                <w:szCs w:val="21"/>
              </w:rPr>
              <w:t>、可见光补光功能：≥2000m激光补光</w:t>
            </w:r>
          </w:p>
          <w:p w14:paraId="7A1833F6">
            <w:pPr>
              <w:widowControl/>
              <w:jc w:val="left"/>
              <w:textAlignment w:val="center"/>
              <w:rPr>
                <w:rFonts w:ascii="宋体" w:hAnsi="宋体"/>
                <w:color w:val="auto"/>
                <w:kern w:val="0"/>
                <w:szCs w:val="21"/>
              </w:rPr>
            </w:pPr>
            <w:r>
              <w:rPr>
                <w:rFonts w:ascii="宋体" w:hAnsi="宋体"/>
                <w:color w:val="auto"/>
                <w:kern w:val="0"/>
                <w:szCs w:val="21"/>
              </w:rPr>
              <w:t>8</w:t>
            </w:r>
            <w:r>
              <w:rPr>
                <w:rFonts w:hint="eastAsia" w:ascii="宋体" w:hAnsi="宋体"/>
                <w:color w:val="auto"/>
                <w:kern w:val="0"/>
                <w:szCs w:val="21"/>
              </w:rPr>
              <w:t>、烟雾最远报警距离（以5米*5米为准）：≥8000m</w:t>
            </w:r>
          </w:p>
          <w:p w14:paraId="0868DCCE">
            <w:pPr>
              <w:widowControl/>
              <w:jc w:val="left"/>
              <w:textAlignment w:val="center"/>
              <w:rPr>
                <w:rFonts w:ascii="宋体" w:hAnsi="宋体"/>
                <w:color w:val="auto"/>
                <w:kern w:val="0"/>
                <w:szCs w:val="21"/>
              </w:rPr>
            </w:pPr>
            <w:r>
              <w:rPr>
                <w:rFonts w:ascii="宋体" w:hAnsi="宋体"/>
                <w:color w:val="auto"/>
                <w:kern w:val="0"/>
                <w:szCs w:val="21"/>
              </w:rPr>
              <w:t>9</w:t>
            </w:r>
            <w:r>
              <w:rPr>
                <w:rFonts w:hint="eastAsia" w:ascii="宋体" w:hAnsi="宋体"/>
                <w:color w:val="auto"/>
                <w:kern w:val="0"/>
                <w:szCs w:val="21"/>
              </w:rPr>
              <w:t>、定位精度≤±0.1°</w:t>
            </w:r>
          </w:p>
          <w:p w14:paraId="1673EEF2">
            <w:pPr>
              <w:widowControl/>
              <w:jc w:val="left"/>
              <w:textAlignment w:val="center"/>
              <w:rPr>
                <w:rFonts w:hint="eastAsia" w:ascii="宋体" w:hAnsi="宋体"/>
                <w:color w:val="auto"/>
                <w:kern w:val="0"/>
                <w:szCs w:val="21"/>
              </w:rPr>
            </w:pPr>
            <w:r>
              <w:rPr>
                <w:rFonts w:hint="eastAsia" w:ascii="宋体" w:hAnsi="宋体"/>
                <w:color w:val="auto"/>
                <w:kern w:val="0"/>
                <w:szCs w:val="21"/>
              </w:rPr>
              <w:t>1</w:t>
            </w:r>
            <w:r>
              <w:rPr>
                <w:rFonts w:ascii="宋体" w:hAnsi="宋体"/>
                <w:color w:val="auto"/>
                <w:kern w:val="0"/>
                <w:szCs w:val="21"/>
              </w:rPr>
              <w:t>0</w:t>
            </w:r>
            <w:r>
              <w:rPr>
                <w:rFonts w:hint="eastAsia" w:ascii="宋体" w:hAnsi="宋体"/>
                <w:color w:val="auto"/>
                <w:kern w:val="0"/>
                <w:szCs w:val="21"/>
              </w:rPr>
              <w:t>、垂直方向转动角度范围不小于：</w:t>
            </w:r>
            <w:r>
              <w:rPr>
                <w:rFonts w:ascii="宋体" w:hAnsi="宋体"/>
                <w:color w:val="auto"/>
                <w:kern w:val="0"/>
                <w:szCs w:val="21"/>
              </w:rPr>
              <w:t>+90</w:t>
            </w:r>
            <w:r>
              <w:rPr>
                <w:rFonts w:hint="eastAsia" w:ascii="宋体" w:hAnsi="宋体"/>
                <w:color w:val="auto"/>
                <w:kern w:val="0"/>
                <w:szCs w:val="21"/>
              </w:rPr>
              <w:t>°</w:t>
            </w:r>
            <w:r>
              <w:rPr>
                <w:rFonts w:ascii="宋体" w:hAnsi="宋体"/>
                <w:color w:val="auto"/>
                <w:kern w:val="0"/>
                <w:szCs w:val="21"/>
              </w:rPr>
              <w:t>~-90</w:t>
            </w:r>
            <w:r>
              <w:rPr>
                <w:rFonts w:hint="eastAsia" w:ascii="宋体" w:hAnsi="宋体"/>
                <w:color w:val="auto"/>
                <w:kern w:val="0"/>
                <w:szCs w:val="21"/>
              </w:rPr>
              <w:t>°（需提供第三方检测机构出具的检测证书并加盖制造商公章佐证）</w:t>
            </w:r>
          </w:p>
          <w:p w14:paraId="07094E13">
            <w:pPr>
              <w:widowControl/>
              <w:jc w:val="left"/>
              <w:textAlignment w:val="center"/>
              <w:rPr>
                <w:rFonts w:ascii="宋体" w:hAnsi="宋体"/>
                <w:color w:val="auto"/>
                <w:kern w:val="0"/>
                <w:szCs w:val="21"/>
              </w:rPr>
            </w:pPr>
            <w:r>
              <w:rPr>
                <w:rFonts w:ascii="宋体" w:hAnsi="宋体"/>
                <w:color w:val="auto"/>
                <w:kern w:val="0"/>
                <w:szCs w:val="21"/>
              </w:rPr>
              <w:t>11</w:t>
            </w:r>
            <w:r>
              <w:rPr>
                <w:rFonts w:hint="eastAsia" w:ascii="宋体" w:hAnsi="宋体"/>
                <w:color w:val="auto"/>
                <w:kern w:val="0"/>
                <w:szCs w:val="21"/>
              </w:rPr>
              <w:t>、防护等级：</w:t>
            </w:r>
            <w:r>
              <w:rPr>
                <w:rFonts w:ascii="宋体" w:hAnsi="宋体"/>
                <w:color w:val="auto"/>
                <w:kern w:val="0"/>
                <w:szCs w:val="21"/>
              </w:rPr>
              <w:t>≥</w:t>
            </w:r>
            <w:r>
              <w:rPr>
                <w:rFonts w:hint="eastAsia" w:ascii="宋体" w:hAnsi="宋体"/>
                <w:color w:val="auto"/>
                <w:kern w:val="0"/>
                <w:szCs w:val="21"/>
              </w:rPr>
              <w:t>IP66</w:t>
            </w:r>
          </w:p>
          <w:p w14:paraId="712BF37D">
            <w:pPr>
              <w:widowControl/>
              <w:jc w:val="left"/>
              <w:textAlignment w:val="center"/>
              <w:rPr>
                <w:rFonts w:ascii="宋体" w:hAnsi="宋体"/>
                <w:color w:val="auto"/>
                <w:kern w:val="0"/>
                <w:szCs w:val="21"/>
              </w:rPr>
            </w:pPr>
            <w:r>
              <w:rPr>
                <w:rFonts w:hint="eastAsia" w:ascii="宋体" w:hAnsi="宋体"/>
                <w:color w:val="auto"/>
                <w:kern w:val="0"/>
                <w:szCs w:val="21"/>
              </w:rPr>
              <w:t>1</w:t>
            </w:r>
            <w:r>
              <w:rPr>
                <w:rFonts w:ascii="宋体" w:hAnsi="宋体"/>
                <w:color w:val="auto"/>
                <w:kern w:val="0"/>
                <w:szCs w:val="21"/>
              </w:rPr>
              <w:t>2</w:t>
            </w:r>
            <w:r>
              <w:rPr>
                <w:rFonts w:hint="eastAsia" w:ascii="宋体" w:hAnsi="宋体"/>
                <w:color w:val="auto"/>
                <w:kern w:val="0"/>
                <w:szCs w:val="21"/>
              </w:rPr>
              <w:t>、需具备空间感知模块，可实时获取经纬度、海拔高度、方位角信息（需提供第三方检测机构出具的检测证书并加盖制造商公章佐证）</w:t>
            </w:r>
          </w:p>
          <w:p w14:paraId="3DD7AEB1">
            <w:pPr>
              <w:widowControl/>
              <w:jc w:val="left"/>
              <w:textAlignment w:val="center"/>
              <w:rPr>
                <w:rFonts w:ascii="宋体" w:hAnsi="宋体"/>
                <w:color w:val="auto"/>
                <w:kern w:val="0"/>
                <w:szCs w:val="21"/>
              </w:rPr>
            </w:pPr>
            <w:r>
              <w:rPr>
                <w:rFonts w:hint="eastAsia" w:ascii="宋体" w:hAnsi="宋体"/>
                <w:color w:val="auto"/>
                <w:kern w:val="0"/>
                <w:szCs w:val="21"/>
              </w:rPr>
              <w:t>1</w:t>
            </w:r>
            <w:r>
              <w:rPr>
                <w:rFonts w:ascii="宋体" w:hAnsi="宋体"/>
                <w:color w:val="auto"/>
                <w:kern w:val="0"/>
                <w:szCs w:val="21"/>
              </w:rPr>
              <w:t>3</w:t>
            </w:r>
            <w:r>
              <w:rPr>
                <w:rFonts w:hint="eastAsia" w:ascii="宋体" w:hAnsi="宋体"/>
                <w:color w:val="auto"/>
                <w:kern w:val="0"/>
                <w:szCs w:val="21"/>
              </w:rPr>
              <w:t>、需具备冷凝水收集模块，可联动雨刷对镜头进行手动或自动喷水清洁（需提供第三方检测机构出具的检测证书并加盖制造商公章佐证）</w:t>
            </w:r>
          </w:p>
          <w:p w14:paraId="66026EE8">
            <w:pPr>
              <w:widowControl/>
              <w:jc w:val="left"/>
              <w:textAlignment w:val="center"/>
              <w:rPr>
                <w:rFonts w:ascii="宋体" w:hAnsi="宋体"/>
                <w:color w:val="auto"/>
                <w:kern w:val="0"/>
                <w:szCs w:val="21"/>
              </w:rPr>
            </w:pPr>
            <w:r>
              <w:rPr>
                <w:rFonts w:hint="eastAsia" w:ascii="宋体" w:hAnsi="宋体"/>
                <w:color w:val="auto"/>
                <w:kern w:val="0"/>
                <w:szCs w:val="21"/>
              </w:rPr>
              <w:t>1</w:t>
            </w:r>
            <w:r>
              <w:rPr>
                <w:rFonts w:ascii="宋体" w:hAnsi="宋体"/>
                <w:color w:val="auto"/>
                <w:kern w:val="0"/>
                <w:szCs w:val="21"/>
              </w:rPr>
              <w:t>4</w:t>
            </w:r>
            <w:r>
              <w:rPr>
                <w:rFonts w:hint="eastAsia" w:ascii="宋体" w:hAnsi="宋体"/>
                <w:color w:val="auto"/>
                <w:kern w:val="0"/>
                <w:szCs w:val="21"/>
              </w:rPr>
              <w:t>、可自动识别房屋区域、道路区域、工业区域，并根据识别目标可自动生成屏蔽区域</w:t>
            </w:r>
          </w:p>
          <w:p w14:paraId="1E3F686C">
            <w:pPr>
              <w:widowControl/>
              <w:jc w:val="left"/>
              <w:textAlignment w:val="center"/>
              <w:rPr>
                <w:rFonts w:ascii="宋体" w:hAnsi="宋体"/>
                <w:color w:val="auto"/>
                <w:kern w:val="0"/>
                <w:szCs w:val="21"/>
              </w:rPr>
            </w:pPr>
            <w:r>
              <w:rPr>
                <w:rFonts w:hint="eastAsia" w:ascii="宋体" w:hAnsi="宋体"/>
                <w:color w:val="auto"/>
                <w:kern w:val="0"/>
                <w:szCs w:val="21"/>
              </w:rPr>
              <w:t>1</w:t>
            </w:r>
            <w:r>
              <w:rPr>
                <w:rFonts w:ascii="宋体" w:hAnsi="宋体"/>
                <w:color w:val="auto"/>
                <w:kern w:val="0"/>
                <w:szCs w:val="21"/>
              </w:rPr>
              <w:t>5</w:t>
            </w:r>
            <w:r>
              <w:rPr>
                <w:rFonts w:hint="eastAsia" w:ascii="宋体" w:hAnsi="宋体"/>
                <w:color w:val="auto"/>
                <w:kern w:val="0"/>
                <w:szCs w:val="21"/>
              </w:rPr>
              <w:t>、支持目标重复报警过滤功能，且过滤时间间隔可配置</w:t>
            </w:r>
          </w:p>
        </w:tc>
        <w:tc>
          <w:tcPr>
            <w:tcW w:w="68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C158B29">
            <w:pPr>
              <w:widowControl/>
              <w:jc w:val="center"/>
              <w:textAlignment w:val="center"/>
              <w:rPr>
                <w:rFonts w:ascii="宋体" w:hAnsi="宋体"/>
                <w:color w:val="auto"/>
                <w:szCs w:val="21"/>
              </w:rPr>
            </w:pPr>
            <w:r>
              <w:rPr>
                <w:rFonts w:hint="eastAsia" w:ascii="宋体" w:hAnsi="宋体"/>
                <w:color w:val="auto"/>
                <w:kern w:val="0"/>
                <w:szCs w:val="21"/>
              </w:rPr>
              <w:t>14</w:t>
            </w:r>
          </w:p>
        </w:tc>
        <w:tc>
          <w:tcPr>
            <w:tcW w:w="62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B6A2284">
            <w:pPr>
              <w:widowControl/>
              <w:jc w:val="center"/>
              <w:textAlignment w:val="center"/>
              <w:rPr>
                <w:rFonts w:ascii="宋体" w:hAnsi="宋体"/>
                <w:color w:val="auto"/>
                <w:szCs w:val="21"/>
              </w:rPr>
            </w:pPr>
            <w:r>
              <w:rPr>
                <w:rFonts w:hint="eastAsia" w:ascii="宋体" w:hAnsi="宋体"/>
                <w:color w:val="auto"/>
                <w:kern w:val="0"/>
                <w:szCs w:val="21"/>
              </w:rPr>
              <w:t>套</w:t>
            </w:r>
          </w:p>
        </w:tc>
      </w:tr>
      <w:tr w14:paraId="4587611C">
        <w:tblPrEx>
          <w:tblCellMar>
            <w:top w:w="0" w:type="dxa"/>
            <w:left w:w="108" w:type="dxa"/>
            <w:bottom w:w="0" w:type="dxa"/>
            <w:right w:w="108" w:type="dxa"/>
          </w:tblCellMar>
        </w:tblPrEx>
        <w:trPr>
          <w:trHeight w:val="90" w:hRule="atLeast"/>
        </w:trPr>
        <w:tc>
          <w:tcPr>
            <w:tcW w:w="438" w:type="dxa"/>
            <w:gridSpan w:val="2"/>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06EB43">
            <w:pPr>
              <w:widowControl/>
              <w:jc w:val="center"/>
              <w:textAlignment w:val="center"/>
              <w:rPr>
                <w:rFonts w:ascii="宋体" w:hAnsi="宋体"/>
                <w:color w:val="auto"/>
                <w:szCs w:val="21"/>
              </w:rPr>
            </w:pPr>
            <w:r>
              <w:rPr>
                <w:rFonts w:hint="eastAsia" w:ascii="宋体" w:hAnsi="宋体"/>
                <w:color w:val="auto"/>
                <w:kern w:val="0"/>
                <w:szCs w:val="21"/>
              </w:rPr>
              <w:t>4</w:t>
            </w:r>
          </w:p>
        </w:tc>
        <w:tc>
          <w:tcPr>
            <w:tcW w:w="54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F535EC3">
            <w:pPr>
              <w:widowControl/>
              <w:jc w:val="center"/>
              <w:textAlignment w:val="center"/>
              <w:rPr>
                <w:rFonts w:ascii="宋体" w:hAnsi="宋体"/>
                <w:color w:val="auto"/>
                <w:szCs w:val="21"/>
              </w:rPr>
            </w:pPr>
            <w:r>
              <w:rPr>
                <w:rFonts w:hint="eastAsia" w:ascii="宋体" w:hAnsi="宋体"/>
                <w:color w:val="auto"/>
                <w:kern w:val="0"/>
                <w:szCs w:val="21"/>
              </w:rPr>
              <w:t>洪涝隐患点</w:t>
            </w:r>
          </w:p>
        </w:tc>
        <w:tc>
          <w:tcPr>
            <w:tcW w:w="72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9A7CAA7">
            <w:pPr>
              <w:widowControl/>
              <w:jc w:val="center"/>
              <w:textAlignment w:val="center"/>
              <w:rPr>
                <w:rFonts w:ascii="宋体" w:hAnsi="宋体"/>
                <w:color w:val="auto"/>
                <w:szCs w:val="21"/>
              </w:rPr>
            </w:pPr>
            <w:r>
              <w:rPr>
                <w:rFonts w:hint="eastAsia" w:ascii="宋体" w:hAnsi="宋体"/>
                <w:color w:val="auto"/>
                <w:kern w:val="0"/>
                <w:szCs w:val="21"/>
              </w:rPr>
              <w:t>河流沿岸视频监控点位</w:t>
            </w:r>
          </w:p>
        </w:tc>
        <w:tc>
          <w:tcPr>
            <w:tcW w:w="5782" w:type="dxa"/>
            <w:tcBorders>
              <w:top w:val="nil"/>
              <w:left w:val="nil"/>
              <w:bottom w:val="single" w:color="000000" w:sz="8" w:space="0"/>
              <w:right w:val="single" w:color="000000" w:sz="8" w:space="0"/>
            </w:tcBorders>
            <w:shd w:val="clear" w:color="auto" w:fill="auto"/>
            <w:vAlign w:val="center"/>
          </w:tcPr>
          <w:p w14:paraId="0EF091BC">
            <w:pPr>
              <w:widowControl/>
              <w:jc w:val="left"/>
              <w:textAlignment w:val="center"/>
              <w:rPr>
                <w:rFonts w:ascii="宋体" w:hAnsi="宋体"/>
                <w:color w:val="auto"/>
                <w:kern w:val="0"/>
                <w:szCs w:val="21"/>
              </w:rPr>
            </w:pPr>
            <w:r>
              <w:rPr>
                <w:rFonts w:hint="eastAsia" w:ascii="宋体" w:hAnsi="宋体"/>
                <w:color w:val="auto"/>
                <w:kern w:val="0"/>
                <w:szCs w:val="21"/>
              </w:rPr>
              <w:t>1.摄像机内置不少于2个镜头，可输出至少一路全景视频和一路细节视频，其中全景路内置1个镜头，细节路内置1个镜头</w:t>
            </w:r>
          </w:p>
          <w:p w14:paraId="037FFA2B">
            <w:pPr>
              <w:widowControl/>
              <w:jc w:val="left"/>
              <w:textAlignment w:val="center"/>
              <w:rPr>
                <w:rFonts w:ascii="宋体" w:hAnsi="宋体"/>
                <w:color w:val="auto"/>
                <w:kern w:val="0"/>
                <w:szCs w:val="21"/>
              </w:rPr>
            </w:pPr>
            <w:r>
              <w:rPr>
                <w:rFonts w:hint="eastAsia" w:ascii="宋体" w:hAnsi="宋体"/>
                <w:color w:val="auto"/>
                <w:kern w:val="0"/>
                <w:szCs w:val="21"/>
              </w:rPr>
              <w:t>2、全景通道视频分辨率≥2560×1440，细节通道视频分辨率≥2560x1440</w:t>
            </w:r>
          </w:p>
          <w:p w14:paraId="7AAE6EA4">
            <w:pPr>
              <w:widowControl/>
              <w:jc w:val="left"/>
              <w:textAlignment w:val="center"/>
              <w:rPr>
                <w:rFonts w:ascii="宋体" w:hAnsi="宋体"/>
                <w:color w:val="auto"/>
                <w:kern w:val="0"/>
                <w:szCs w:val="21"/>
              </w:rPr>
            </w:pPr>
            <w:r>
              <w:rPr>
                <w:rFonts w:hint="eastAsia" w:ascii="宋体" w:hAnsi="宋体"/>
                <w:color w:val="auto"/>
                <w:kern w:val="0"/>
                <w:szCs w:val="21"/>
              </w:rPr>
              <w:t>3、全景通道内置1个镜头，光圈不小于F1.0，具有不小于1/1.8靶面尺寸</w:t>
            </w:r>
            <w:r>
              <w:rPr>
                <w:rFonts w:hint="eastAsia" w:ascii="宋体" w:hAnsi="宋体"/>
                <w:color w:val="auto"/>
                <w:kern w:val="0"/>
                <w:szCs w:val="21"/>
                <w:lang w:eastAsia="zh-CN"/>
              </w:rPr>
              <w:t>，</w:t>
            </w:r>
            <w:r>
              <w:rPr>
                <w:rFonts w:hint="eastAsia" w:ascii="宋体" w:hAnsi="宋体"/>
                <w:color w:val="auto"/>
                <w:kern w:val="0"/>
                <w:szCs w:val="21"/>
              </w:rPr>
              <w:t>白光补光≥100m；细节通道内置镜头，具备不小于1/1.8靶面尺寸，红外补光距离≥</w:t>
            </w:r>
            <w:r>
              <w:rPr>
                <w:rFonts w:ascii="宋体" w:hAnsi="宋体"/>
                <w:color w:val="auto"/>
                <w:kern w:val="0"/>
                <w:szCs w:val="21"/>
              </w:rPr>
              <w:t>200</w:t>
            </w:r>
            <w:r>
              <w:rPr>
                <w:rFonts w:hint="eastAsia" w:ascii="宋体" w:hAnsi="宋体"/>
                <w:color w:val="auto"/>
                <w:kern w:val="0"/>
                <w:szCs w:val="21"/>
              </w:rPr>
              <w:t>m。</w:t>
            </w:r>
          </w:p>
          <w:p w14:paraId="61E05E78">
            <w:pPr>
              <w:widowControl/>
              <w:jc w:val="left"/>
              <w:textAlignment w:val="center"/>
              <w:rPr>
                <w:rFonts w:ascii="宋体" w:hAnsi="宋体"/>
                <w:color w:val="auto"/>
                <w:kern w:val="0"/>
                <w:szCs w:val="21"/>
              </w:rPr>
            </w:pPr>
            <w:r>
              <w:rPr>
                <w:rFonts w:hint="eastAsia" w:ascii="宋体" w:hAnsi="宋体"/>
                <w:color w:val="auto"/>
                <w:kern w:val="0"/>
                <w:szCs w:val="21"/>
              </w:rPr>
              <w:t>4、内置不少于2颗GPU芯片</w:t>
            </w:r>
          </w:p>
          <w:p w14:paraId="5F2E186B">
            <w:pPr>
              <w:widowControl/>
              <w:jc w:val="left"/>
              <w:textAlignment w:val="center"/>
              <w:rPr>
                <w:rFonts w:hint="eastAsia" w:ascii="宋体" w:hAnsi="宋体"/>
                <w:color w:val="auto"/>
                <w:kern w:val="0"/>
                <w:szCs w:val="21"/>
              </w:rPr>
            </w:pPr>
            <w:r>
              <w:rPr>
                <w:rFonts w:hint="eastAsia" w:ascii="宋体" w:hAnsi="宋体"/>
                <w:color w:val="auto"/>
                <w:kern w:val="0"/>
                <w:szCs w:val="21"/>
              </w:rPr>
              <w:t>5、不小于40倍光学变倍，镜头最大焦距≥280mm</w:t>
            </w:r>
          </w:p>
          <w:p w14:paraId="0D2B3385">
            <w:pPr>
              <w:widowControl/>
              <w:jc w:val="left"/>
              <w:textAlignment w:val="center"/>
              <w:rPr>
                <w:rFonts w:ascii="宋体" w:hAnsi="宋体"/>
                <w:color w:val="auto"/>
                <w:szCs w:val="21"/>
              </w:rPr>
            </w:pPr>
            <w:r>
              <w:rPr>
                <w:rFonts w:hint="eastAsia" w:ascii="宋体" w:hAnsi="宋体"/>
                <w:color w:val="auto"/>
                <w:kern w:val="0"/>
                <w:szCs w:val="21"/>
              </w:rPr>
              <w:t>6、</w:t>
            </w:r>
            <w:r>
              <w:rPr>
                <w:rFonts w:hint="eastAsia"/>
                <w:color w:val="auto"/>
              </w:rPr>
              <w:t>最低照度：彩色：0.0005Lux；黑白：0.0001Lux</w:t>
            </w:r>
          </w:p>
          <w:p w14:paraId="5EBC2026">
            <w:pPr>
              <w:widowControl/>
              <w:jc w:val="left"/>
              <w:textAlignment w:val="center"/>
              <w:rPr>
                <w:rFonts w:ascii="宋体" w:hAnsi="宋体"/>
                <w:color w:val="auto"/>
                <w:kern w:val="0"/>
                <w:szCs w:val="21"/>
              </w:rPr>
            </w:pPr>
            <w:r>
              <w:rPr>
                <w:rFonts w:hint="eastAsia" w:ascii="宋体" w:hAnsi="宋体"/>
                <w:color w:val="auto"/>
                <w:kern w:val="0"/>
                <w:szCs w:val="21"/>
              </w:rPr>
              <w:t>7、全景画面水平视场角≥90°，垂直视场角≥44°，全景通道可进行垂直旋转，旋转范围不低于10°可调（需提供第三方检测机构出具的检测证书并加盖制造商公章佐证）</w:t>
            </w:r>
          </w:p>
          <w:p w14:paraId="2D278119">
            <w:pPr>
              <w:widowControl/>
              <w:jc w:val="left"/>
              <w:textAlignment w:val="center"/>
              <w:rPr>
                <w:rFonts w:hint="eastAsia" w:ascii="宋体" w:hAnsi="宋体"/>
                <w:color w:val="auto"/>
                <w:kern w:val="0"/>
                <w:szCs w:val="21"/>
              </w:rPr>
            </w:pPr>
            <w:r>
              <w:rPr>
                <w:rFonts w:hint="eastAsia" w:ascii="宋体" w:hAnsi="宋体"/>
                <w:color w:val="auto"/>
                <w:kern w:val="0"/>
                <w:szCs w:val="21"/>
              </w:rPr>
              <w:t>▲</w:t>
            </w:r>
            <w:r>
              <w:rPr>
                <w:rFonts w:ascii="宋体" w:hAnsi="宋体"/>
                <w:color w:val="auto"/>
                <w:kern w:val="0"/>
                <w:szCs w:val="21"/>
              </w:rPr>
              <w:t>8</w:t>
            </w:r>
            <w:r>
              <w:rPr>
                <w:rFonts w:hint="eastAsia" w:ascii="宋体" w:hAnsi="宋体"/>
                <w:color w:val="auto"/>
                <w:kern w:val="0"/>
                <w:szCs w:val="21"/>
              </w:rPr>
              <w:t>、支持视频标尺辅助水位识别，在水面平静无波浪情况下，设备读取的水尺水位高度与实际水位高度之间的误差不大于1cm，水位高度显示精度为0.001m（需提供第三方检测机构出具的检测证书并加盖制造商公章佐证）</w:t>
            </w:r>
          </w:p>
          <w:p w14:paraId="633A37AB">
            <w:pPr>
              <w:widowControl/>
              <w:jc w:val="left"/>
              <w:textAlignment w:val="center"/>
              <w:rPr>
                <w:rFonts w:ascii="宋体" w:hAnsi="宋体"/>
                <w:color w:val="auto"/>
                <w:kern w:val="0"/>
                <w:szCs w:val="21"/>
              </w:rPr>
            </w:pPr>
            <w:r>
              <w:rPr>
                <w:rFonts w:hint="eastAsia" w:ascii="宋体" w:hAnsi="宋体"/>
                <w:color w:val="auto"/>
                <w:kern w:val="0"/>
                <w:szCs w:val="21"/>
                <w:lang w:val="en-US" w:eastAsia="zh-CN"/>
              </w:rPr>
              <w:t>9</w:t>
            </w:r>
            <w:r>
              <w:rPr>
                <w:rFonts w:hint="eastAsia" w:ascii="宋体" w:hAnsi="宋体"/>
                <w:color w:val="auto"/>
                <w:kern w:val="0"/>
                <w:szCs w:val="21"/>
              </w:rPr>
              <w:t>、支持4G（移动、联通、电信、广电）网络传输，支持持全功耗模式、配置低功耗休眠，休眠最低功耗0.5W以内</w:t>
            </w:r>
          </w:p>
          <w:p w14:paraId="74093144">
            <w:pPr>
              <w:widowControl/>
              <w:jc w:val="left"/>
              <w:textAlignment w:val="center"/>
              <w:rPr>
                <w:rFonts w:ascii="宋体" w:hAnsi="宋体"/>
                <w:color w:val="auto"/>
                <w:kern w:val="0"/>
                <w:szCs w:val="21"/>
              </w:rPr>
            </w:pPr>
            <w:r>
              <w:rPr>
                <w:rFonts w:hint="eastAsia" w:ascii="宋体" w:hAnsi="宋体"/>
                <w:color w:val="auto"/>
                <w:kern w:val="0"/>
                <w:szCs w:val="21"/>
              </w:rPr>
              <w:t>1</w:t>
            </w:r>
            <w:r>
              <w:rPr>
                <w:rFonts w:hint="eastAsia" w:ascii="宋体" w:hAnsi="宋体"/>
                <w:color w:val="auto"/>
                <w:kern w:val="0"/>
                <w:szCs w:val="21"/>
                <w:lang w:val="en-US" w:eastAsia="zh-CN"/>
              </w:rPr>
              <w:t>0</w:t>
            </w:r>
            <w:r>
              <w:rPr>
                <w:rFonts w:hint="eastAsia" w:ascii="宋体" w:hAnsi="宋体"/>
                <w:color w:val="auto"/>
                <w:kern w:val="0"/>
                <w:szCs w:val="21"/>
              </w:rPr>
              <w:t>、水位、雨量数据上报支持《SL651-2014水文监测数据通信规约》</w:t>
            </w:r>
          </w:p>
          <w:p w14:paraId="2D2B0EAB">
            <w:pPr>
              <w:widowControl/>
              <w:jc w:val="left"/>
              <w:textAlignment w:val="center"/>
              <w:rPr>
                <w:rFonts w:ascii="宋体" w:hAnsi="宋体"/>
                <w:color w:val="auto"/>
                <w:kern w:val="0"/>
                <w:szCs w:val="21"/>
              </w:rPr>
            </w:pPr>
            <w:r>
              <w:rPr>
                <w:rFonts w:hint="eastAsia" w:ascii="宋体" w:hAnsi="宋体"/>
                <w:color w:val="auto"/>
                <w:kern w:val="0"/>
                <w:szCs w:val="21"/>
              </w:rPr>
              <w:t>1</w:t>
            </w:r>
            <w:r>
              <w:rPr>
                <w:rFonts w:hint="eastAsia" w:ascii="宋体" w:hAnsi="宋体"/>
                <w:color w:val="auto"/>
                <w:kern w:val="0"/>
                <w:szCs w:val="21"/>
                <w:lang w:val="en-US" w:eastAsia="zh-CN"/>
              </w:rPr>
              <w:t>1</w:t>
            </w:r>
            <w:r>
              <w:rPr>
                <w:rFonts w:hint="eastAsia" w:ascii="宋体" w:hAnsi="宋体"/>
                <w:color w:val="auto"/>
                <w:kern w:val="0"/>
                <w:szCs w:val="21"/>
              </w:rPr>
              <w:t>、内置北斗卫星定位模块和电子罗盘，支持OSD显示安装位置经纬度信息</w:t>
            </w:r>
          </w:p>
        </w:tc>
        <w:tc>
          <w:tcPr>
            <w:tcW w:w="68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543D12">
            <w:pPr>
              <w:widowControl/>
              <w:jc w:val="center"/>
              <w:textAlignment w:val="center"/>
              <w:rPr>
                <w:rFonts w:ascii="宋体" w:hAnsi="宋体"/>
                <w:color w:val="auto"/>
                <w:szCs w:val="21"/>
              </w:rPr>
            </w:pPr>
            <w:r>
              <w:rPr>
                <w:rFonts w:hint="eastAsia" w:ascii="宋体" w:hAnsi="宋体"/>
                <w:color w:val="auto"/>
                <w:kern w:val="0"/>
                <w:szCs w:val="21"/>
              </w:rPr>
              <w:t>20</w:t>
            </w:r>
          </w:p>
        </w:tc>
        <w:tc>
          <w:tcPr>
            <w:tcW w:w="62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F6578F8">
            <w:pPr>
              <w:widowControl/>
              <w:jc w:val="center"/>
              <w:textAlignment w:val="center"/>
              <w:rPr>
                <w:rFonts w:ascii="宋体" w:hAnsi="宋体"/>
                <w:color w:val="auto"/>
                <w:szCs w:val="21"/>
              </w:rPr>
            </w:pPr>
            <w:r>
              <w:rPr>
                <w:rFonts w:hint="eastAsia" w:ascii="宋体" w:hAnsi="宋体"/>
                <w:color w:val="auto"/>
                <w:kern w:val="0"/>
                <w:szCs w:val="21"/>
              </w:rPr>
              <w:t>台</w:t>
            </w:r>
          </w:p>
        </w:tc>
      </w:tr>
      <w:tr w14:paraId="31C8682B">
        <w:tblPrEx>
          <w:tblCellMar>
            <w:top w:w="0" w:type="dxa"/>
            <w:left w:w="108" w:type="dxa"/>
            <w:bottom w:w="0" w:type="dxa"/>
            <w:right w:w="108" w:type="dxa"/>
          </w:tblCellMar>
        </w:tblPrEx>
        <w:trPr>
          <w:trHeight w:val="11451" w:hRule="atLeast"/>
        </w:trPr>
        <w:tc>
          <w:tcPr>
            <w:tcW w:w="438" w:type="dxa"/>
            <w:gridSpan w:val="2"/>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423E86">
            <w:pPr>
              <w:widowControl/>
              <w:jc w:val="center"/>
              <w:textAlignment w:val="center"/>
              <w:rPr>
                <w:rFonts w:ascii="宋体" w:hAnsi="宋体"/>
                <w:color w:val="auto"/>
                <w:szCs w:val="21"/>
              </w:rPr>
            </w:pPr>
            <w:r>
              <w:rPr>
                <w:rFonts w:hint="eastAsia" w:ascii="宋体" w:hAnsi="宋体"/>
                <w:color w:val="auto"/>
                <w:kern w:val="0"/>
                <w:szCs w:val="21"/>
              </w:rPr>
              <w:t>5</w:t>
            </w:r>
          </w:p>
        </w:tc>
        <w:tc>
          <w:tcPr>
            <w:tcW w:w="542"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373936">
            <w:pPr>
              <w:jc w:val="center"/>
              <w:rPr>
                <w:rFonts w:ascii="宋体" w:hAnsi="宋体"/>
                <w:color w:val="auto"/>
                <w:szCs w:val="21"/>
              </w:rPr>
            </w:pPr>
          </w:p>
        </w:tc>
        <w:tc>
          <w:tcPr>
            <w:tcW w:w="72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C6A7A">
            <w:pPr>
              <w:widowControl/>
              <w:jc w:val="center"/>
              <w:textAlignment w:val="center"/>
              <w:rPr>
                <w:rFonts w:ascii="宋体" w:hAnsi="宋体"/>
                <w:color w:val="auto"/>
                <w:szCs w:val="21"/>
              </w:rPr>
            </w:pPr>
            <w:r>
              <w:rPr>
                <w:rFonts w:hint="eastAsia" w:ascii="宋体" w:hAnsi="宋体"/>
                <w:color w:val="auto"/>
                <w:kern w:val="0"/>
                <w:szCs w:val="21"/>
              </w:rPr>
              <w:t>河流沿岸水文站点</w:t>
            </w:r>
          </w:p>
        </w:tc>
        <w:tc>
          <w:tcPr>
            <w:tcW w:w="5782" w:type="dxa"/>
            <w:tcBorders>
              <w:top w:val="nil"/>
              <w:left w:val="nil"/>
              <w:bottom w:val="single" w:color="000000" w:sz="8" w:space="0"/>
              <w:right w:val="single" w:color="000000" w:sz="8" w:space="0"/>
            </w:tcBorders>
            <w:shd w:val="clear" w:color="auto" w:fill="auto"/>
            <w:vAlign w:val="center"/>
          </w:tcPr>
          <w:p w14:paraId="09007035">
            <w:pPr>
              <w:widowControl/>
              <w:jc w:val="left"/>
              <w:textAlignment w:val="center"/>
              <w:rPr>
                <w:rFonts w:ascii="宋体" w:hAnsi="宋体"/>
                <w:color w:val="auto"/>
                <w:kern w:val="0"/>
                <w:szCs w:val="21"/>
              </w:rPr>
            </w:pPr>
            <w:r>
              <w:rPr>
                <w:rFonts w:hint="eastAsia" w:ascii="宋体" w:hAnsi="宋体"/>
                <w:color w:val="auto"/>
                <w:kern w:val="0"/>
                <w:szCs w:val="21"/>
              </w:rPr>
              <w:t>一、翻斗式雨量传感器</w:t>
            </w:r>
          </w:p>
          <w:p w14:paraId="7A5E9273">
            <w:pPr>
              <w:widowControl/>
              <w:jc w:val="left"/>
              <w:textAlignment w:val="center"/>
              <w:rPr>
                <w:rFonts w:ascii="宋体" w:hAnsi="宋体"/>
                <w:color w:val="auto"/>
                <w:kern w:val="0"/>
                <w:szCs w:val="21"/>
              </w:rPr>
            </w:pPr>
            <w:r>
              <w:rPr>
                <w:rFonts w:hint="eastAsia" w:ascii="宋体" w:hAnsi="宋体"/>
                <w:color w:val="auto"/>
                <w:kern w:val="0"/>
                <w:szCs w:val="21"/>
              </w:rPr>
              <w:t>1、水利标准翻斗式雨量传感器</w:t>
            </w:r>
          </w:p>
          <w:p w14:paraId="20066B94">
            <w:pPr>
              <w:widowControl/>
              <w:jc w:val="left"/>
              <w:textAlignment w:val="center"/>
              <w:rPr>
                <w:rFonts w:ascii="宋体" w:hAnsi="宋体"/>
                <w:color w:val="auto"/>
                <w:kern w:val="0"/>
                <w:szCs w:val="21"/>
              </w:rPr>
            </w:pPr>
            <w:r>
              <w:rPr>
                <w:rFonts w:hint="eastAsia" w:ascii="宋体" w:hAnsi="宋体"/>
                <w:color w:val="auto"/>
                <w:kern w:val="0"/>
                <w:szCs w:val="21"/>
              </w:rPr>
              <w:t>2、输出信号：脉冲式输出</w:t>
            </w:r>
          </w:p>
          <w:p w14:paraId="440CD47F">
            <w:pPr>
              <w:widowControl/>
              <w:jc w:val="left"/>
              <w:textAlignment w:val="center"/>
              <w:rPr>
                <w:rFonts w:ascii="宋体" w:hAnsi="宋体"/>
                <w:color w:val="auto"/>
                <w:kern w:val="0"/>
                <w:szCs w:val="21"/>
              </w:rPr>
            </w:pPr>
            <w:r>
              <w:rPr>
                <w:rFonts w:hint="eastAsia" w:ascii="宋体" w:hAnsi="宋体"/>
                <w:color w:val="auto"/>
                <w:kern w:val="0"/>
                <w:szCs w:val="21"/>
              </w:rPr>
              <w:t>3、承雨口内径尺寸：≥Φ200mm</w:t>
            </w:r>
          </w:p>
          <w:p w14:paraId="7F1CA2C3">
            <w:pPr>
              <w:widowControl/>
              <w:jc w:val="left"/>
              <w:textAlignment w:val="center"/>
              <w:rPr>
                <w:rFonts w:ascii="宋体" w:hAnsi="宋体"/>
                <w:color w:val="auto"/>
                <w:kern w:val="0"/>
                <w:szCs w:val="21"/>
              </w:rPr>
            </w:pPr>
            <w:r>
              <w:rPr>
                <w:rFonts w:hint="eastAsia" w:ascii="宋体" w:hAnsi="宋体"/>
                <w:color w:val="auto"/>
                <w:kern w:val="0"/>
                <w:szCs w:val="21"/>
              </w:rPr>
              <w:t>4、承雨口内壁深度：不小于100mm</w:t>
            </w:r>
          </w:p>
          <w:p w14:paraId="700F7491">
            <w:pPr>
              <w:widowControl/>
              <w:jc w:val="left"/>
              <w:textAlignment w:val="center"/>
              <w:rPr>
                <w:rFonts w:ascii="宋体" w:hAnsi="宋体"/>
                <w:color w:val="auto"/>
                <w:kern w:val="0"/>
                <w:szCs w:val="21"/>
              </w:rPr>
            </w:pPr>
            <w:r>
              <w:rPr>
                <w:rFonts w:hint="eastAsia" w:ascii="宋体" w:hAnsi="宋体"/>
                <w:color w:val="auto"/>
                <w:kern w:val="0"/>
                <w:szCs w:val="21"/>
              </w:rPr>
              <w:t>5、分辨力：0.2mm</w:t>
            </w:r>
          </w:p>
          <w:p w14:paraId="6E5317C6">
            <w:pPr>
              <w:widowControl/>
              <w:jc w:val="left"/>
              <w:textAlignment w:val="center"/>
              <w:rPr>
                <w:rFonts w:ascii="宋体" w:hAnsi="宋体"/>
                <w:color w:val="auto"/>
                <w:kern w:val="0"/>
                <w:szCs w:val="21"/>
              </w:rPr>
            </w:pPr>
            <w:r>
              <w:rPr>
                <w:rFonts w:hint="eastAsia" w:ascii="宋体" w:hAnsi="宋体"/>
                <w:color w:val="auto"/>
                <w:kern w:val="0"/>
                <w:szCs w:val="21"/>
              </w:rPr>
              <w:t>6、计量误差：≤±3%</w:t>
            </w:r>
          </w:p>
          <w:p w14:paraId="6D748CC4">
            <w:pPr>
              <w:widowControl/>
              <w:jc w:val="left"/>
              <w:textAlignment w:val="center"/>
              <w:rPr>
                <w:rFonts w:ascii="宋体" w:hAnsi="宋体"/>
                <w:color w:val="auto"/>
                <w:kern w:val="0"/>
                <w:szCs w:val="21"/>
              </w:rPr>
            </w:pPr>
            <w:r>
              <w:rPr>
                <w:rFonts w:hint="eastAsia" w:ascii="宋体" w:hAnsi="宋体"/>
                <w:color w:val="auto"/>
                <w:kern w:val="0"/>
                <w:szCs w:val="21"/>
              </w:rPr>
              <w:t>7、雨强范围：0mm～4mm/min，最大雨强8mm/min</w:t>
            </w:r>
          </w:p>
          <w:p w14:paraId="74BD42A2">
            <w:pPr>
              <w:widowControl/>
              <w:jc w:val="left"/>
              <w:textAlignment w:val="center"/>
              <w:rPr>
                <w:rFonts w:ascii="宋体" w:hAnsi="宋体"/>
                <w:color w:val="auto"/>
                <w:kern w:val="0"/>
                <w:szCs w:val="21"/>
              </w:rPr>
            </w:pPr>
            <w:r>
              <w:rPr>
                <w:rFonts w:hint="eastAsia" w:ascii="宋体" w:hAnsi="宋体"/>
                <w:color w:val="auto"/>
                <w:kern w:val="0"/>
                <w:szCs w:val="21"/>
              </w:rPr>
              <w:t>二、雷达流量计</w:t>
            </w:r>
          </w:p>
          <w:p w14:paraId="37C3A7B9">
            <w:pPr>
              <w:widowControl/>
              <w:jc w:val="left"/>
              <w:textAlignment w:val="center"/>
              <w:rPr>
                <w:rFonts w:ascii="宋体" w:hAnsi="宋体"/>
                <w:color w:val="auto"/>
                <w:kern w:val="0"/>
                <w:szCs w:val="21"/>
              </w:rPr>
            </w:pPr>
            <w:r>
              <w:rPr>
                <w:rFonts w:hint="eastAsia" w:ascii="宋体" w:hAnsi="宋体"/>
                <w:color w:val="auto"/>
                <w:kern w:val="0"/>
                <w:szCs w:val="21"/>
              </w:rPr>
              <w:t>1、测速雷达：采用工业微波雷达，满足测速、测水位性能指标。</w:t>
            </w:r>
          </w:p>
          <w:p w14:paraId="3500A08C">
            <w:pPr>
              <w:widowControl/>
              <w:jc w:val="left"/>
              <w:textAlignment w:val="center"/>
              <w:rPr>
                <w:rFonts w:ascii="宋体" w:hAnsi="宋体"/>
                <w:color w:val="auto"/>
                <w:kern w:val="0"/>
                <w:szCs w:val="21"/>
              </w:rPr>
            </w:pPr>
            <w:r>
              <w:rPr>
                <w:rFonts w:hint="eastAsia" w:ascii="宋体" w:hAnsi="宋体"/>
                <w:color w:val="auto"/>
                <w:kern w:val="0"/>
                <w:szCs w:val="21"/>
              </w:rPr>
              <w:t>2、测速范围：0.03～20m/s</w:t>
            </w:r>
          </w:p>
          <w:p w14:paraId="7ABC4FC2">
            <w:pPr>
              <w:widowControl/>
              <w:jc w:val="left"/>
              <w:textAlignment w:val="center"/>
              <w:rPr>
                <w:rFonts w:ascii="宋体" w:hAnsi="宋体"/>
                <w:color w:val="auto"/>
                <w:kern w:val="0"/>
                <w:szCs w:val="21"/>
              </w:rPr>
            </w:pPr>
            <w:r>
              <w:rPr>
                <w:rFonts w:hint="eastAsia" w:ascii="宋体" w:hAnsi="宋体"/>
                <w:color w:val="auto"/>
                <w:kern w:val="0"/>
                <w:szCs w:val="21"/>
              </w:rPr>
              <w:t>3、测速精度：±0.01m/s；±1%FS</w:t>
            </w:r>
          </w:p>
          <w:p w14:paraId="3EF46C3C">
            <w:pPr>
              <w:widowControl/>
              <w:jc w:val="left"/>
              <w:textAlignment w:val="center"/>
              <w:rPr>
                <w:rFonts w:ascii="宋体" w:hAnsi="宋体"/>
                <w:color w:val="auto"/>
                <w:kern w:val="0"/>
                <w:szCs w:val="21"/>
              </w:rPr>
            </w:pPr>
            <w:r>
              <w:rPr>
                <w:rFonts w:hint="eastAsia" w:ascii="宋体" w:hAnsi="宋体"/>
                <w:color w:val="auto"/>
                <w:kern w:val="0"/>
                <w:szCs w:val="21"/>
              </w:rPr>
              <w:t>4、流速允许最大误差≤3%。（提供具备CMA资质的第三方检测机构出具的有效检测报告）</w:t>
            </w:r>
          </w:p>
          <w:p w14:paraId="72B4E8B1">
            <w:pPr>
              <w:widowControl/>
              <w:jc w:val="left"/>
              <w:textAlignment w:val="center"/>
              <w:rPr>
                <w:rFonts w:ascii="宋体" w:hAnsi="宋体"/>
                <w:color w:val="auto"/>
                <w:kern w:val="0"/>
                <w:szCs w:val="21"/>
              </w:rPr>
            </w:pPr>
            <w:r>
              <w:rPr>
                <w:rFonts w:hint="eastAsia" w:ascii="宋体" w:hAnsi="宋体"/>
                <w:color w:val="auto"/>
                <w:kern w:val="0"/>
                <w:szCs w:val="21"/>
              </w:rPr>
              <w:t>5、水位分辨力：0.001m。（提供具备CMA资质的第三方检测机构出具的有效检测报告）</w:t>
            </w:r>
          </w:p>
          <w:p w14:paraId="393514B3">
            <w:pPr>
              <w:widowControl/>
              <w:jc w:val="left"/>
              <w:textAlignment w:val="center"/>
              <w:rPr>
                <w:rFonts w:ascii="宋体" w:hAnsi="宋体"/>
                <w:color w:val="auto"/>
                <w:kern w:val="0"/>
                <w:szCs w:val="21"/>
              </w:rPr>
            </w:pPr>
            <w:r>
              <w:rPr>
                <w:rFonts w:hint="eastAsia" w:ascii="宋体" w:hAnsi="宋体"/>
                <w:color w:val="auto"/>
                <w:kern w:val="0"/>
                <w:szCs w:val="21"/>
              </w:rPr>
              <w:t>6、水位测量准确度：在0m～10.0m测量范围内，准确度等级1级，符合标准要求。（提供具备CMA资质的第三方检测机构出具的有效检测报告）</w:t>
            </w:r>
          </w:p>
          <w:p w14:paraId="0384AEA2">
            <w:pPr>
              <w:widowControl/>
              <w:jc w:val="left"/>
              <w:textAlignment w:val="center"/>
              <w:rPr>
                <w:rFonts w:ascii="宋体" w:hAnsi="宋体"/>
                <w:color w:val="auto"/>
                <w:kern w:val="0"/>
                <w:szCs w:val="21"/>
              </w:rPr>
            </w:pPr>
            <w:r>
              <w:rPr>
                <w:rFonts w:hint="eastAsia" w:ascii="宋体" w:hAnsi="宋体"/>
                <w:color w:val="auto"/>
                <w:kern w:val="0"/>
                <w:szCs w:val="21"/>
              </w:rPr>
              <w:t>7、水位测量重复性：符合标准要求。允差≤1.5mm。（提供具备CMA资质的第三方检测机构出具的有效检测报告）</w:t>
            </w:r>
          </w:p>
          <w:p w14:paraId="77B6D0F7">
            <w:pPr>
              <w:widowControl/>
              <w:jc w:val="left"/>
              <w:textAlignment w:val="center"/>
              <w:rPr>
                <w:rFonts w:ascii="宋体" w:hAnsi="宋体"/>
                <w:color w:val="auto"/>
                <w:kern w:val="0"/>
                <w:szCs w:val="21"/>
              </w:rPr>
            </w:pPr>
            <w:r>
              <w:rPr>
                <w:rFonts w:hint="eastAsia" w:ascii="宋体" w:hAnsi="宋体"/>
                <w:color w:val="auto"/>
                <w:kern w:val="0"/>
                <w:szCs w:val="21"/>
              </w:rPr>
              <w:t>8、通讯协议：RS485，Modbus协议</w:t>
            </w:r>
          </w:p>
          <w:p w14:paraId="4EB010D7">
            <w:pPr>
              <w:widowControl/>
              <w:jc w:val="left"/>
              <w:textAlignment w:val="center"/>
              <w:rPr>
                <w:rFonts w:ascii="宋体" w:hAnsi="宋体"/>
                <w:color w:val="auto"/>
                <w:kern w:val="0"/>
                <w:szCs w:val="21"/>
              </w:rPr>
            </w:pPr>
            <w:r>
              <w:rPr>
                <w:rFonts w:hint="eastAsia" w:ascii="宋体" w:hAnsi="宋体"/>
                <w:color w:val="auto"/>
                <w:kern w:val="0"/>
                <w:szCs w:val="21"/>
              </w:rPr>
              <w:t>9、防护等级：IP68</w:t>
            </w:r>
          </w:p>
          <w:p w14:paraId="0C9777C4">
            <w:pPr>
              <w:widowControl/>
              <w:jc w:val="left"/>
              <w:textAlignment w:val="center"/>
              <w:rPr>
                <w:rFonts w:ascii="宋体" w:hAnsi="宋体"/>
                <w:color w:val="auto"/>
                <w:kern w:val="0"/>
                <w:szCs w:val="21"/>
              </w:rPr>
            </w:pPr>
            <w:r>
              <w:rPr>
                <w:rFonts w:hint="eastAsia" w:ascii="宋体" w:hAnsi="宋体"/>
                <w:color w:val="auto"/>
                <w:kern w:val="0"/>
                <w:szCs w:val="21"/>
              </w:rPr>
              <w:t>三、遥测终端：</w:t>
            </w:r>
          </w:p>
          <w:p w14:paraId="2AAA69BF">
            <w:pPr>
              <w:widowControl/>
              <w:jc w:val="left"/>
              <w:textAlignment w:val="center"/>
              <w:rPr>
                <w:rFonts w:ascii="宋体" w:hAnsi="宋体"/>
                <w:color w:val="auto"/>
                <w:kern w:val="0"/>
                <w:szCs w:val="21"/>
              </w:rPr>
            </w:pPr>
            <w:r>
              <w:rPr>
                <w:rFonts w:hint="eastAsia" w:ascii="宋体" w:hAnsi="宋体"/>
                <w:color w:val="auto"/>
                <w:kern w:val="0"/>
                <w:szCs w:val="21"/>
              </w:rPr>
              <w:t>1、RS485/RS232接口：≥2个</w:t>
            </w:r>
          </w:p>
          <w:p w14:paraId="5EF6147D">
            <w:pPr>
              <w:widowControl/>
              <w:jc w:val="left"/>
              <w:textAlignment w:val="center"/>
              <w:rPr>
                <w:rFonts w:ascii="宋体" w:hAnsi="宋体"/>
                <w:color w:val="auto"/>
                <w:kern w:val="0"/>
                <w:szCs w:val="21"/>
              </w:rPr>
            </w:pPr>
            <w:r>
              <w:rPr>
                <w:rFonts w:hint="eastAsia" w:ascii="宋体" w:hAnsi="宋体"/>
                <w:color w:val="auto"/>
                <w:kern w:val="0"/>
                <w:szCs w:val="21"/>
              </w:rPr>
              <w:t>2、开关量输入：≥4路，开关量输出：≥2路，模拟量输入）：≥4路</w:t>
            </w:r>
          </w:p>
          <w:p w14:paraId="1559C803">
            <w:pPr>
              <w:widowControl/>
              <w:jc w:val="left"/>
              <w:textAlignment w:val="center"/>
              <w:rPr>
                <w:rFonts w:ascii="宋体" w:hAnsi="宋体"/>
                <w:color w:val="auto"/>
                <w:kern w:val="0"/>
                <w:szCs w:val="21"/>
              </w:rPr>
            </w:pPr>
            <w:r>
              <w:rPr>
                <w:rFonts w:hint="eastAsia" w:ascii="宋体" w:hAnsi="宋体"/>
                <w:color w:val="auto"/>
                <w:kern w:val="0"/>
                <w:szCs w:val="21"/>
              </w:rPr>
              <w:t>3、网络接口：≥2个J4510M/100M自适应以太网口（可配置2个网络段）</w:t>
            </w:r>
          </w:p>
          <w:p w14:paraId="2A90ED5C">
            <w:pPr>
              <w:widowControl/>
              <w:jc w:val="left"/>
              <w:textAlignment w:val="center"/>
              <w:rPr>
                <w:rFonts w:ascii="宋体" w:hAnsi="宋体"/>
                <w:color w:val="auto"/>
                <w:kern w:val="0"/>
                <w:szCs w:val="21"/>
              </w:rPr>
            </w:pPr>
            <w:r>
              <w:rPr>
                <w:rFonts w:hint="eastAsia" w:ascii="宋体" w:hAnsi="宋体"/>
                <w:color w:val="auto"/>
                <w:kern w:val="0"/>
                <w:szCs w:val="21"/>
              </w:rPr>
              <w:t>4、存储接口：支持最大2T固态硬盘.</w:t>
            </w:r>
          </w:p>
          <w:p w14:paraId="2C53998D">
            <w:pPr>
              <w:widowControl/>
              <w:jc w:val="left"/>
              <w:textAlignment w:val="center"/>
              <w:rPr>
                <w:rFonts w:ascii="宋体" w:hAnsi="宋体"/>
                <w:color w:val="auto"/>
                <w:kern w:val="0"/>
                <w:szCs w:val="21"/>
              </w:rPr>
            </w:pPr>
            <w:r>
              <w:rPr>
                <w:rFonts w:hint="eastAsia" w:ascii="宋体" w:hAnsi="宋体"/>
                <w:color w:val="auto"/>
                <w:kern w:val="0"/>
                <w:szCs w:val="21"/>
              </w:rPr>
              <w:t>5、北向协议：符合水文监测数据通讯规约SL651-2014协议</w:t>
            </w:r>
          </w:p>
          <w:p w14:paraId="3F74124A">
            <w:pPr>
              <w:widowControl/>
              <w:jc w:val="left"/>
              <w:textAlignment w:val="center"/>
              <w:rPr>
                <w:rFonts w:ascii="宋体" w:hAnsi="宋体"/>
                <w:color w:val="auto"/>
                <w:kern w:val="0"/>
                <w:szCs w:val="21"/>
              </w:rPr>
            </w:pPr>
            <w:r>
              <w:rPr>
                <w:rFonts w:hint="eastAsia" w:ascii="宋体" w:hAnsi="宋体"/>
                <w:color w:val="auto"/>
                <w:kern w:val="0"/>
                <w:szCs w:val="21"/>
              </w:rPr>
              <w:t>6、南向协议：ModbusRTU、ModbusTCP</w:t>
            </w:r>
          </w:p>
          <w:p w14:paraId="64EFDE8A">
            <w:pPr>
              <w:widowControl/>
              <w:jc w:val="left"/>
              <w:textAlignment w:val="center"/>
              <w:rPr>
                <w:rFonts w:ascii="宋体" w:hAnsi="宋体"/>
                <w:color w:val="auto"/>
                <w:kern w:val="0"/>
                <w:szCs w:val="21"/>
              </w:rPr>
            </w:pPr>
            <w:r>
              <w:rPr>
                <w:rFonts w:hint="eastAsia" w:ascii="宋体" w:hAnsi="宋体"/>
                <w:color w:val="auto"/>
                <w:kern w:val="0"/>
                <w:szCs w:val="21"/>
              </w:rPr>
              <w:t>7、4G通讯：内置4GCat.4模块</w:t>
            </w:r>
          </w:p>
          <w:p w14:paraId="03EEABFB">
            <w:pPr>
              <w:widowControl/>
              <w:jc w:val="left"/>
              <w:textAlignment w:val="center"/>
              <w:rPr>
                <w:rFonts w:ascii="宋体" w:hAnsi="宋体"/>
                <w:color w:val="auto"/>
                <w:kern w:val="0"/>
                <w:szCs w:val="21"/>
              </w:rPr>
            </w:pPr>
            <w:r>
              <w:rPr>
                <w:rFonts w:hint="eastAsia" w:ascii="宋体" w:hAnsi="宋体"/>
                <w:color w:val="auto"/>
                <w:kern w:val="0"/>
                <w:szCs w:val="21"/>
              </w:rPr>
              <w:t>8、传感器接入能力：每个接口可挂载≥8个传感器，整机可挂载≥16个传感器。</w:t>
            </w:r>
          </w:p>
          <w:p w14:paraId="6D73905A">
            <w:pPr>
              <w:widowControl/>
              <w:jc w:val="left"/>
              <w:textAlignment w:val="center"/>
              <w:rPr>
                <w:rFonts w:ascii="宋体" w:hAnsi="宋体"/>
                <w:color w:val="auto"/>
                <w:kern w:val="0"/>
                <w:szCs w:val="21"/>
              </w:rPr>
            </w:pPr>
            <w:r>
              <w:rPr>
                <w:rFonts w:hint="eastAsia" w:ascii="宋体" w:hAnsi="宋体"/>
                <w:color w:val="auto"/>
                <w:kern w:val="0"/>
                <w:szCs w:val="21"/>
              </w:rPr>
              <w:t>9、视频接入：4路H.264、H.265格式高清码流接入</w:t>
            </w:r>
          </w:p>
          <w:p w14:paraId="3BFAA921">
            <w:pPr>
              <w:widowControl/>
              <w:jc w:val="left"/>
              <w:textAlignment w:val="center"/>
              <w:rPr>
                <w:rFonts w:ascii="宋体" w:hAnsi="宋体"/>
                <w:color w:val="auto"/>
                <w:kern w:val="0"/>
                <w:szCs w:val="21"/>
              </w:rPr>
            </w:pPr>
            <w:r>
              <w:rPr>
                <w:rFonts w:hint="eastAsia" w:ascii="宋体" w:hAnsi="宋体"/>
                <w:color w:val="auto"/>
                <w:kern w:val="0"/>
                <w:szCs w:val="21"/>
              </w:rPr>
              <w:t>10、数据处理：传感器数据OSD叠加到视频画面，传感器报警联动IPC通道抓图、录像</w:t>
            </w:r>
          </w:p>
        </w:tc>
        <w:tc>
          <w:tcPr>
            <w:tcW w:w="68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4D1B1">
            <w:pPr>
              <w:widowControl/>
              <w:jc w:val="center"/>
              <w:textAlignment w:val="center"/>
              <w:rPr>
                <w:rFonts w:ascii="宋体" w:hAnsi="宋体"/>
                <w:color w:val="auto"/>
                <w:szCs w:val="21"/>
              </w:rPr>
            </w:pPr>
            <w:r>
              <w:rPr>
                <w:rFonts w:hint="eastAsia" w:ascii="宋体" w:hAnsi="宋体"/>
                <w:color w:val="auto"/>
                <w:kern w:val="0"/>
                <w:szCs w:val="21"/>
              </w:rPr>
              <w:t>3</w:t>
            </w:r>
          </w:p>
        </w:tc>
        <w:tc>
          <w:tcPr>
            <w:tcW w:w="6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52931">
            <w:pPr>
              <w:widowControl/>
              <w:jc w:val="center"/>
              <w:textAlignment w:val="center"/>
              <w:rPr>
                <w:rFonts w:ascii="宋体" w:hAnsi="宋体"/>
                <w:color w:val="auto"/>
                <w:szCs w:val="21"/>
              </w:rPr>
            </w:pPr>
            <w:r>
              <w:rPr>
                <w:rFonts w:hint="eastAsia" w:ascii="宋体" w:hAnsi="宋体"/>
                <w:color w:val="auto"/>
                <w:kern w:val="0"/>
                <w:szCs w:val="21"/>
              </w:rPr>
              <w:t>套</w:t>
            </w:r>
          </w:p>
        </w:tc>
      </w:tr>
      <w:tr w14:paraId="3EFE89F3">
        <w:tblPrEx>
          <w:tblCellMar>
            <w:top w:w="0" w:type="dxa"/>
            <w:left w:w="108" w:type="dxa"/>
            <w:bottom w:w="0" w:type="dxa"/>
            <w:right w:w="108" w:type="dxa"/>
          </w:tblCellMar>
        </w:tblPrEx>
        <w:trPr>
          <w:trHeight w:val="90" w:hRule="atLeast"/>
        </w:trPr>
        <w:tc>
          <w:tcPr>
            <w:tcW w:w="438" w:type="dxa"/>
            <w:gridSpan w:val="2"/>
            <w:tcBorders>
              <w:top w:val="nil"/>
              <w:left w:val="single" w:color="000000" w:sz="8" w:space="0"/>
              <w:bottom w:val="single" w:color="000000" w:sz="8" w:space="0"/>
              <w:right w:val="single" w:color="000000" w:sz="8" w:space="0"/>
            </w:tcBorders>
            <w:shd w:val="clear" w:color="auto" w:fill="auto"/>
            <w:noWrap/>
            <w:vAlign w:val="center"/>
          </w:tcPr>
          <w:p w14:paraId="0A3ABDF1">
            <w:pPr>
              <w:widowControl/>
              <w:jc w:val="center"/>
              <w:textAlignment w:val="center"/>
              <w:rPr>
                <w:rFonts w:ascii="宋体" w:hAnsi="宋体"/>
                <w:color w:val="auto"/>
                <w:szCs w:val="21"/>
              </w:rPr>
            </w:pPr>
            <w:r>
              <w:rPr>
                <w:rFonts w:hint="eastAsia" w:ascii="宋体" w:hAnsi="宋体"/>
                <w:color w:val="auto"/>
                <w:kern w:val="0"/>
                <w:szCs w:val="21"/>
              </w:rPr>
              <w:t>6</w:t>
            </w:r>
          </w:p>
        </w:tc>
        <w:tc>
          <w:tcPr>
            <w:tcW w:w="542" w:type="dxa"/>
            <w:tcBorders>
              <w:top w:val="nil"/>
              <w:left w:val="nil"/>
              <w:bottom w:val="single" w:color="000000" w:sz="8" w:space="0"/>
              <w:right w:val="single" w:color="000000" w:sz="8" w:space="0"/>
            </w:tcBorders>
            <w:shd w:val="clear" w:color="auto" w:fill="auto"/>
            <w:vAlign w:val="center"/>
          </w:tcPr>
          <w:p w14:paraId="7F25C9FC">
            <w:pPr>
              <w:widowControl/>
              <w:jc w:val="center"/>
              <w:textAlignment w:val="center"/>
              <w:rPr>
                <w:rFonts w:ascii="宋体" w:hAnsi="宋体"/>
                <w:color w:val="auto"/>
                <w:szCs w:val="21"/>
              </w:rPr>
            </w:pPr>
            <w:r>
              <w:rPr>
                <w:rFonts w:hint="eastAsia" w:ascii="宋体" w:hAnsi="宋体"/>
                <w:color w:val="auto"/>
                <w:kern w:val="0"/>
                <w:szCs w:val="21"/>
              </w:rPr>
              <w:t>县域灾害综合会商研判系统</w:t>
            </w:r>
          </w:p>
        </w:tc>
        <w:tc>
          <w:tcPr>
            <w:tcW w:w="724" w:type="dxa"/>
            <w:tcBorders>
              <w:top w:val="nil"/>
              <w:left w:val="nil"/>
              <w:bottom w:val="single" w:color="000000" w:sz="8" w:space="0"/>
              <w:right w:val="single" w:color="000000" w:sz="8" w:space="0"/>
            </w:tcBorders>
            <w:shd w:val="clear" w:color="auto" w:fill="auto"/>
            <w:vAlign w:val="center"/>
          </w:tcPr>
          <w:p w14:paraId="59A90329">
            <w:pPr>
              <w:widowControl/>
              <w:jc w:val="center"/>
              <w:textAlignment w:val="center"/>
              <w:rPr>
                <w:rFonts w:ascii="宋体" w:hAnsi="宋体"/>
                <w:color w:val="auto"/>
                <w:szCs w:val="21"/>
              </w:rPr>
            </w:pPr>
            <w:r>
              <w:rPr>
                <w:rFonts w:hint="eastAsia" w:ascii="宋体" w:hAnsi="宋体"/>
                <w:color w:val="auto"/>
                <w:kern w:val="0"/>
                <w:szCs w:val="21"/>
              </w:rPr>
              <w:t>县域灾害综合会商研判系统</w:t>
            </w:r>
          </w:p>
        </w:tc>
        <w:tc>
          <w:tcPr>
            <w:tcW w:w="5782" w:type="dxa"/>
            <w:tcBorders>
              <w:top w:val="nil"/>
              <w:left w:val="nil"/>
              <w:bottom w:val="single" w:color="000000" w:sz="8" w:space="0"/>
              <w:right w:val="single" w:color="000000" w:sz="8" w:space="0"/>
            </w:tcBorders>
            <w:shd w:val="clear" w:color="auto" w:fill="auto"/>
            <w:vAlign w:val="center"/>
          </w:tcPr>
          <w:p w14:paraId="73B33D89">
            <w:pPr>
              <w:widowControl/>
              <w:jc w:val="left"/>
              <w:textAlignment w:val="center"/>
              <w:rPr>
                <w:rFonts w:ascii="宋体" w:hAnsi="宋体"/>
                <w:color w:val="auto"/>
                <w:kern w:val="0"/>
                <w:szCs w:val="21"/>
              </w:rPr>
            </w:pPr>
            <w:r>
              <w:rPr>
                <w:rFonts w:hint="eastAsia" w:ascii="宋体" w:hAnsi="宋体"/>
                <w:color w:val="auto"/>
                <w:kern w:val="0"/>
                <w:szCs w:val="21"/>
              </w:rPr>
              <w:t>一、灾害事件接报</w:t>
            </w:r>
          </w:p>
          <w:p w14:paraId="349AF6D6">
            <w:pPr>
              <w:widowControl/>
              <w:jc w:val="left"/>
              <w:textAlignment w:val="center"/>
              <w:rPr>
                <w:rFonts w:ascii="宋体" w:hAnsi="宋体"/>
                <w:color w:val="auto"/>
                <w:kern w:val="0"/>
                <w:szCs w:val="21"/>
              </w:rPr>
            </w:pPr>
            <w:r>
              <w:rPr>
                <w:rFonts w:hint="eastAsia" w:ascii="宋体" w:hAnsi="宋体"/>
                <w:color w:val="auto"/>
                <w:kern w:val="0"/>
                <w:szCs w:val="21"/>
              </w:rPr>
              <w:t>支持事件接报信息录入，包括报警人员姓名、电话号码、事件名称、事件类型、事件地点和事发时间等；支持事件推送。突发事件可以一键推送给对应值班员、各相关科室人员或者乡镇应急工作人员，由接收者处置并反馈处置结果的功能</w:t>
            </w:r>
          </w:p>
          <w:p w14:paraId="4D6B8891">
            <w:pPr>
              <w:widowControl/>
              <w:jc w:val="left"/>
              <w:textAlignment w:val="center"/>
              <w:rPr>
                <w:rFonts w:ascii="宋体" w:hAnsi="宋体"/>
                <w:color w:val="auto"/>
                <w:kern w:val="0"/>
                <w:szCs w:val="21"/>
              </w:rPr>
            </w:pPr>
            <w:r>
              <w:rPr>
                <w:rFonts w:hint="eastAsia" w:ascii="宋体" w:hAnsi="宋体"/>
                <w:color w:val="auto"/>
                <w:kern w:val="0"/>
                <w:szCs w:val="21"/>
              </w:rPr>
              <w:t>二、灾损物资资源</w:t>
            </w:r>
          </w:p>
          <w:p w14:paraId="34548147">
            <w:pPr>
              <w:widowControl/>
              <w:jc w:val="left"/>
              <w:textAlignment w:val="center"/>
              <w:rPr>
                <w:rFonts w:ascii="宋体" w:hAnsi="宋体"/>
                <w:color w:val="auto"/>
                <w:kern w:val="0"/>
                <w:szCs w:val="21"/>
              </w:rPr>
            </w:pPr>
            <w:r>
              <w:rPr>
                <w:rFonts w:hint="eastAsia" w:ascii="宋体" w:hAnsi="宋体"/>
                <w:color w:val="auto"/>
                <w:kern w:val="0"/>
                <w:szCs w:val="21"/>
              </w:rPr>
              <w:t>系统支持以图表的形式展示救援队伍、应急仓库、应急物资、·避难场所、应急专家等信息，支持对相关信息进行增加、删除、修改、查询和筛选，支持用统一的模板导入物资资源信息，支持物资资源信息导出的功能</w:t>
            </w:r>
          </w:p>
          <w:p w14:paraId="590EBC15">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三、多灾种预案结构化</w:t>
            </w:r>
          </w:p>
          <w:p w14:paraId="0A1D1AA9">
            <w:pPr>
              <w:widowControl/>
              <w:jc w:val="left"/>
              <w:textAlignment w:val="center"/>
              <w:rPr>
                <w:rFonts w:ascii="宋体" w:hAnsi="宋体"/>
                <w:color w:val="auto"/>
                <w:kern w:val="0"/>
                <w:szCs w:val="21"/>
              </w:rPr>
            </w:pPr>
            <w:r>
              <w:rPr>
                <w:rFonts w:hint="eastAsia" w:ascii="宋体" w:hAnsi="宋体"/>
                <w:color w:val="auto"/>
                <w:kern w:val="0"/>
                <w:szCs w:val="21"/>
              </w:rPr>
              <w:t>系统支持对应急预案按部门进行分类管理（区县级、部门级、乡镇级、单位、村居社区级预案及重大活动预案等），系统支持对编制好的预案信息进行录入，包括预案基本信息：预案名称、预案类型、预案描述、附件、应急组织指挥体系。支持将总体应急预案、专项应急预案、部门应急预案、地方应急预案、企事业单位应急预案、重大活动应急预案等语料提取出事件、处置方案、指挥指令、应急队伍、应急专家、通信设备等实体关联关系，通过关系将应急预案实体联系起来。</w:t>
            </w:r>
          </w:p>
          <w:p w14:paraId="009644CD">
            <w:pPr>
              <w:widowControl/>
              <w:jc w:val="left"/>
              <w:textAlignment w:val="center"/>
              <w:rPr>
                <w:rFonts w:ascii="宋体" w:hAnsi="宋体"/>
                <w:color w:val="auto"/>
                <w:kern w:val="0"/>
                <w:szCs w:val="21"/>
              </w:rPr>
            </w:pPr>
            <w:r>
              <w:rPr>
                <w:rFonts w:hint="eastAsia" w:ascii="宋体" w:hAnsi="宋体"/>
                <w:color w:val="auto"/>
                <w:kern w:val="0"/>
                <w:szCs w:val="21"/>
              </w:rPr>
              <w:t>四、灾害应急指挥体系管理</w:t>
            </w:r>
          </w:p>
          <w:p w14:paraId="11DE2E82">
            <w:pPr>
              <w:widowControl/>
              <w:jc w:val="left"/>
              <w:textAlignment w:val="center"/>
              <w:rPr>
                <w:rFonts w:ascii="宋体" w:hAnsi="宋体"/>
                <w:color w:val="auto"/>
                <w:kern w:val="0"/>
                <w:szCs w:val="21"/>
              </w:rPr>
            </w:pPr>
            <w:r>
              <w:rPr>
                <w:rFonts w:hint="eastAsia" w:ascii="宋体" w:hAnsi="宋体"/>
                <w:color w:val="auto"/>
                <w:kern w:val="0"/>
                <w:szCs w:val="21"/>
              </w:rPr>
              <w:t>系统支持根据地方应急管理局、相关职能部门组织架构及应急通信资源，建立应急指挥人员及通信资源的专业通讯录，快速调用查询。系统支持部门、人员的增加、删除、修改、查询、导入导出通讯录，提供给部门、区县、乡镇街道、村等使用；支持通讯设备增加、删除、修改、查询，将音频通讯设备等接入平台管理；</w:t>
            </w:r>
          </w:p>
          <w:p w14:paraId="6B0FD116">
            <w:pPr>
              <w:widowControl/>
              <w:jc w:val="left"/>
              <w:textAlignment w:val="center"/>
              <w:rPr>
                <w:rFonts w:ascii="宋体" w:hAnsi="宋体"/>
                <w:color w:val="auto"/>
                <w:kern w:val="0"/>
                <w:szCs w:val="21"/>
              </w:rPr>
            </w:pPr>
            <w:r>
              <w:rPr>
                <w:rFonts w:hint="eastAsia" w:ascii="宋体" w:hAnsi="宋体"/>
                <w:color w:val="auto"/>
                <w:kern w:val="0"/>
                <w:szCs w:val="21"/>
              </w:rPr>
              <w:t>五、灾损评估</w:t>
            </w:r>
          </w:p>
          <w:p w14:paraId="6AE5B1D6">
            <w:pPr>
              <w:widowControl/>
              <w:jc w:val="left"/>
              <w:textAlignment w:val="center"/>
              <w:rPr>
                <w:rFonts w:ascii="宋体" w:hAnsi="宋体"/>
                <w:color w:val="auto"/>
                <w:kern w:val="0"/>
                <w:szCs w:val="21"/>
              </w:rPr>
            </w:pPr>
            <w:r>
              <w:rPr>
                <w:rFonts w:hint="eastAsia" w:ascii="宋体" w:hAnsi="宋体"/>
                <w:color w:val="auto"/>
                <w:kern w:val="0"/>
                <w:szCs w:val="21"/>
              </w:rPr>
              <w:t>系统支持基于事件全生命周期信息，对事件处置措施进行时间线记录、过程再现；自动生成评估报告，并增加、删除、修改的功能</w:t>
            </w:r>
          </w:p>
          <w:p w14:paraId="2649696B">
            <w:pPr>
              <w:widowControl/>
              <w:jc w:val="left"/>
              <w:textAlignment w:val="center"/>
              <w:rPr>
                <w:rFonts w:ascii="宋体" w:hAnsi="宋体"/>
                <w:color w:val="auto"/>
                <w:kern w:val="0"/>
                <w:szCs w:val="21"/>
              </w:rPr>
            </w:pPr>
            <w:r>
              <w:rPr>
                <w:rFonts w:hint="eastAsia" w:ascii="宋体" w:hAnsi="宋体"/>
                <w:color w:val="auto"/>
                <w:kern w:val="0"/>
                <w:szCs w:val="21"/>
              </w:rPr>
              <w:t>六、防灾预警发布</w:t>
            </w:r>
          </w:p>
          <w:p w14:paraId="22601125">
            <w:pPr>
              <w:widowControl/>
              <w:jc w:val="left"/>
              <w:textAlignment w:val="center"/>
              <w:rPr>
                <w:rFonts w:ascii="宋体" w:hAnsi="宋体"/>
                <w:color w:val="auto"/>
                <w:kern w:val="0"/>
                <w:szCs w:val="21"/>
              </w:rPr>
            </w:pPr>
            <w:r>
              <w:rPr>
                <w:rFonts w:hint="eastAsia" w:ascii="宋体" w:hAnsi="宋体"/>
                <w:color w:val="auto"/>
                <w:kern w:val="0"/>
                <w:szCs w:val="21"/>
              </w:rPr>
              <w:t>系统支持内部发布渠道和外部发布渠道管理，支持添加、删除发布渠道分组，新建渠道，渠道名称，渠道logo等信息。支持对接突发事件预警信息发布平台、新闻网站、短信发布平台或其他已建的对外信息发布平台，实现灾情预警信息的统一发布。预警信息审核通过后，可以一键推送给对应群组或信息发布平台。系统支持信息发布管理，含发布渠道、发布等级、发布内容、发布审核、发布模板等应用，支持广播、微信公众号、短信等渠道。</w:t>
            </w:r>
          </w:p>
          <w:p w14:paraId="2F851617">
            <w:pPr>
              <w:widowControl/>
              <w:jc w:val="left"/>
              <w:textAlignment w:val="center"/>
              <w:rPr>
                <w:rFonts w:ascii="宋体" w:hAnsi="宋体"/>
                <w:color w:val="auto"/>
                <w:kern w:val="0"/>
                <w:szCs w:val="21"/>
              </w:rPr>
            </w:pPr>
            <w:r>
              <w:rPr>
                <w:rFonts w:hint="eastAsia" w:ascii="宋体" w:hAnsi="宋体"/>
                <w:color w:val="auto"/>
                <w:kern w:val="0"/>
                <w:szCs w:val="21"/>
              </w:rPr>
              <w:t>七、应急指挥调度一张图</w:t>
            </w:r>
          </w:p>
          <w:p w14:paraId="3C0A35A2">
            <w:pPr>
              <w:widowControl/>
              <w:jc w:val="left"/>
              <w:textAlignment w:val="center"/>
              <w:rPr>
                <w:rFonts w:ascii="宋体" w:hAnsi="宋体"/>
                <w:color w:val="auto"/>
                <w:kern w:val="0"/>
                <w:szCs w:val="21"/>
              </w:rPr>
            </w:pPr>
            <w:r>
              <w:rPr>
                <w:rFonts w:hint="eastAsia" w:ascii="宋体" w:hAnsi="宋体" w:eastAsia="宋体" w:cs="宋体"/>
                <w:color w:val="auto"/>
                <w:sz w:val="21"/>
                <w:szCs w:val="21"/>
              </w:rPr>
              <w:t>★</w:t>
            </w:r>
            <w:r>
              <w:rPr>
                <w:rFonts w:hint="eastAsia" w:ascii="宋体" w:hAnsi="宋体"/>
                <w:color w:val="auto"/>
                <w:kern w:val="0"/>
                <w:szCs w:val="21"/>
              </w:rPr>
              <w:t>支持在GIS地图汇聚固定视频监控、单兵、无人机、车载设备、电话、应急队伍人员等多类型应急资源，支持应急资源上图，移动终端及带有经纬度信息上图，其他资源手动上图，资源类型包括视频终端、音频终端、通讯录人员、救援队伍、应急仓库、避难场所、医疗卫生资源、应急专家、危险源、防护目标等，支持图上资源扩展。支持图层筛选功能，可按图层对图上资源筛选，图层包括救援队伍、应急仓库、避难场所、医疗卫生、危险源、防护目标、视频监控等。支持应急资源图上资源聚合能力。</w:t>
            </w:r>
          </w:p>
          <w:p w14:paraId="6B5C5E75">
            <w:pPr>
              <w:widowControl/>
              <w:jc w:val="left"/>
              <w:textAlignment w:val="center"/>
              <w:rPr>
                <w:rFonts w:ascii="宋体" w:hAnsi="宋体"/>
                <w:color w:val="auto"/>
                <w:kern w:val="0"/>
                <w:szCs w:val="21"/>
              </w:rPr>
            </w:pPr>
            <w:r>
              <w:rPr>
                <w:rFonts w:hint="eastAsia" w:ascii="宋体" w:hAnsi="宋体"/>
                <w:color w:val="auto"/>
                <w:kern w:val="0"/>
                <w:szCs w:val="21"/>
              </w:rPr>
              <w:t>八、应急资源调度</w:t>
            </w:r>
          </w:p>
          <w:p w14:paraId="59BCB2A6">
            <w:pPr>
              <w:widowControl/>
              <w:jc w:val="left"/>
              <w:textAlignment w:val="center"/>
              <w:rPr>
                <w:rFonts w:ascii="宋体" w:hAnsi="宋体"/>
                <w:color w:val="auto"/>
                <w:kern w:val="0"/>
                <w:szCs w:val="21"/>
              </w:rPr>
            </w:pPr>
            <w:r>
              <w:rPr>
                <w:rFonts w:hint="eastAsia" w:ascii="宋体" w:hAnsi="宋体"/>
                <w:color w:val="auto"/>
                <w:kern w:val="0"/>
                <w:szCs w:val="21"/>
              </w:rPr>
              <w:t>支持救援过程物资调度，一键调度应急物资，可录入各类应急物资调度信息，包括应急装备使用、应急物资发放等；可对移动车载、单兵等应急资源跟进定位。支持对事件周边应急物资、救援队伍、应急专家、相关人员等进行指挥调度。支持救援过程物资调度，一键调度应急物资，可录入各类应急物资调度信息，包括应急装备使用、应急物资发放等。"</w:t>
            </w:r>
          </w:p>
          <w:p w14:paraId="7131F58D">
            <w:pPr>
              <w:widowControl/>
              <w:jc w:val="left"/>
              <w:textAlignment w:val="center"/>
              <w:rPr>
                <w:rFonts w:ascii="宋体" w:hAnsi="宋体"/>
                <w:color w:val="auto"/>
                <w:kern w:val="0"/>
                <w:szCs w:val="21"/>
              </w:rPr>
            </w:pPr>
            <w:r>
              <w:rPr>
                <w:rFonts w:hint="eastAsia" w:ascii="宋体" w:hAnsi="宋体"/>
                <w:color w:val="auto"/>
                <w:kern w:val="0"/>
                <w:szCs w:val="21"/>
              </w:rPr>
              <w:t>九、支持在地图上通过框选或点选的方式显示事故灾害点附近半径范围内的现场视频点位、应急队伍、应急车辆等应急资源分布情况，并可按需对框选应急资源按类型全选或多选进行一键调度，也可快速加入会议或发起多方资源视频会议会商。支持结合应急指挥体系管理创建通信群组，利用音视频通话、即时消息、会议等多种通信方式，实现指挥调度指令一键快速分发。</w:t>
            </w:r>
          </w:p>
          <w:p w14:paraId="353696A6">
            <w:pPr>
              <w:widowControl/>
              <w:jc w:val="left"/>
              <w:textAlignment w:val="center"/>
              <w:rPr>
                <w:rFonts w:ascii="宋体" w:hAnsi="宋体"/>
                <w:color w:val="auto"/>
                <w:kern w:val="0"/>
                <w:szCs w:val="21"/>
              </w:rPr>
            </w:pPr>
            <w:r>
              <w:rPr>
                <w:rFonts w:hint="eastAsia" w:ascii="宋体" w:hAnsi="宋体"/>
                <w:color w:val="auto"/>
                <w:kern w:val="0"/>
                <w:szCs w:val="21"/>
              </w:rPr>
              <w:t>十、预案应急响应</w:t>
            </w:r>
          </w:p>
          <w:p w14:paraId="766EB93F">
            <w:pPr>
              <w:widowControl/>
              <w:jc w:val="left"/>
              <w:textAlignment w:val="center"/>
              <w:rPr>
                <w:rFonts w:ascii="宋体" w:hAnsi="宋体"/>
                <w:color w:val="auto"/>
                <w:kern w:val="0"/>
                <w:szCs w:val="21"/>
              </w:rPr>
            </w:pPr>
            <w:r>
              <w:rPr>
                <w:rFonts w:hint="eastAsia" w:ascii="宋体" w:hAnsi="宋体"/>
                <w:color w:val="auto"/>
                <w:kern w:val="0"/>
                <w:szCs w:val="21"/>
              </w:rPr>
              <w:t>根据事件详情及初步判断，选择应急响应等级，根据事件等级、事件类型或事件标签等，推荐相关的应急预案，并可查看相关应急预案的基本信息、指挥体系、响应方案和资源保障等内容，根据事件实际情况对预案进行调整，启动应急预案，实现指挥体系处置任务一键下发。</w:t>
            </w:r>
          </w:p>
          <w:p w14:paraId="72F2D9F6">
            <w:pPr>
              <w:widowControl/>
              <w:jc w:val="left"/>
              <w:textAlignment w:val="center"/>
              <w:rPr>
                <w:rFonts w:ascii="宋体" w:hAnsi="宋体"/>
                <w:color w:val="auto"/>
                <w:kern w:val="0"/>
                <w:szCs w:val="21"/>
              </w:rPr>
            </w:pPr>
            <w:r>
              <w:rPr>
                <w:rFonts w:hint="eastAsia" w:ascii="宋体" w:hAnsi="宋体"/>
                <w:color w:val="auto"/>
                <w:kern w:val="0"/>
                <w:szCs w:val="21"/>
              </w:rPr>
              <w:t>十一、业务应用移动化</w:t>
            </w:r>
          </w:p>
          <w:p w14:paraId="27D2477D">
            <w:pPr>
              <w:widowControl/>
              <w:jc w:val="left"/>
              <w:textAlignment w:val="center"/>
              <w:rPr>
                <w:rFonts w:ascii="宋体" w:hAnsi="宋体"/>
                <w:color w:val="auto"/>
                <w:szCs w:val="21"/>
              </w:rPr>
            </w:pPr>
            <w:r>
              <w:rPr>
                <w:rFonts w:hint="eastAsia" w:ascii="宋体" w:hAnsi="宋体"/>
                <w:color w:val="auto"/>
                <w:kern w:val="0"/>
                <w:szCs w:val="21"/>
              </w:rPr>
              <w:t>支持移动端上报事件名称，包括事件类型、事件地点、事件发生时间、取证记录和事件描述，支持对定位进行上报，可拍摄视频和图片并进行录音进行取证的功能。支持接收和发送即时通信、语音通话、视频通话、历史消息查看，进行消息传输和文件传输；支持通过移动端APP对群组、联系人、通讯设备发起单人或多人实时语音通话；支持对群组、联系人、通讯设备发起单人或多人实时视频通话，可在视频通话过程中邀请其他联系人、通讯设备加入通话；系统支持用户通过移动端APP小程序可发起快速会议，发起临时音视频会议的功能；系统支持接收来自指挥中心下达的指挥救援任务，并对接收到的任务进行查看，现场应急人员根据救援进展情况进行编写反馈，内容包括事件详情。</w:t>
            </w:r>
          </w:p>
        </w:tc>
        <w:tc>
          <w:tcPr>
            <w:tcW w:w="687" w:type="dxa"/>
            <w:tcBorders>
              <w:top w:val="nil"/>
              <w:left w:val="nil"/>
              <w:bottom w:val="single" w:color="000000" w:sz="8" w:space="0"/>
              <w:right w:val="single" w:color="000000" w:sz="8" w:space="0"/>
            </w:tcBorders>
            <w:shd w:val="clear" w:color="auto" w:fill="auto"/>
            <w:vAlign w:val="center"/>
          </w:tcPr>
          <w:p w14:paraId="11BCD83F">
            <w:pPr>
              <w:widowControl/>
              <w:jc w:val="center"/>
              <w:textAlignment w:val="center"/>
              <w:rPr>
                <w:rFonts w:ascii="宋体" w:hAnsi="宋体"/>
                <w:color w:val="auto"/>
                <w:szCs w:val="21"/>
              </w:rPr>
            </w:pPr>
            <w:r>
              <w:rPr>
                <w:rFonts w:hint="eastAsia" w:ascii="宋体" w:hAnsi="宋体"/>
                <w:color w:val="auto"/>
                <w:kern w:val="0"/>
                <w:szCs w:val="21"/>
              </w:rPr>
              <w:t>1</w:t>
            </w:r>
          </w:p>
        </w:tc>
        <w:tc>
          <w:tcPr>
            <w:tcW w:w="627" w:type="dxa"/>
            <w:tcBorders>
              <w:top w:val="nil"/>
              <w:left w:val="nil"/>
              <w:bottom w:val="single" w:color="000000" w:sz="8" w:space="0"/>
              <w:right w:val="single" w:color="000000" w:sz="8" w:space="0"/>
            </w:tcBorders>
            <w:shd w:val="clear" w:color="auto" w:fill="auto"/>
            <w:vAlign w:val="center"/>
          </w:tcPr>
          <w:p w14:paraId="70AF69AD">
            <w:pPr>
              <w:widowControl/>
              <w:jc w:val="center"/>
              <w:textAlignment w:val="center"/>
              <w:rPr>
                <w:rFonts w:ascii="宋体" w:hAnsi="宋体"/>
                <w:color w:val="auto"/>
                <w:szCs w:val="21"/>
              </w:rPr>
            </w:pPr>
            <w:r>
              <w:rPr>
                <w:rFonts w:hint="eastAsia" w:ascii="宋体" w:hAnsi="宋体"/>
                <w:color w:val="auto"/>
                <w:kern w:val="0"/>
                <w:szCs w:val="21"/>
              </w:rPr>
              <w:t>套</w:t>
            </w:r>
          </w:p>
        </w:tc>
      </w:tr>
    </w:tbl>
    <w:p w14:paraId="5DC0893E">
      <w:pPr>
        <w:rPr>
          <w:color w:val="auto"/>
          <w:sz w:val="13"/>
          <w:szCs w:val="16"/>
        </w:rPr>
      </w:pPr>
    </w:p>
    <w:tbl>
      <w:tblPr>
        <w:tblStyle w:val="6"/>
        <w:tblW w:w="8786" w:type="dxa"/>
        <w:tblInd w:w="93" w:type="dxa"/>
        <w:tblLayout w:type="autofit"/>
        <w:tblCellMar>
          <w:top w:w="0" w:type="dxa"/>
          <w:left w:w="108" w:type="dxa"/>
          <w:bottom w:w="0" w:type="dxa"/>
          <w:right w:w="108" w:type="dxa"/>
        </w:tblCellMar>
      </w:tblPr>
      <w:tblGrid>
        <w:gridCol w:w="607"/>
        <w:gridCol w:w="620"/>
        <w:gridCol w:w="1056"/>
        <w:gridCol w:w="5208"/>
        <w:gridCol w:w="709"/>
        <w:gridCol w:w="586"/>
      </w:tblGrid>
      <w:tr w14:paraId="4C3958BA">
        <w:tblPrEx>
          <w:tblCellMar>
            <w:top w:w="0" w:type="dxa"/>
            <w:left w:w="108" w:type="dxa"/>
            <w:bottom w:w="0" w:type="dxa"/>
            <w:right w:w="108" w:type="dxa"/>
          </w:tblCellMar>
        </w:tblPrEx>
        <w:trPr>
          <w:trHeight w:val="721" w:hRule="atLeast"/>
        </w:trPr>
        <w:tc>
          <w:tcPr>
            <w:tcW w:w="7491"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31F1775E">
            <w:pPr>
              <w:widowControl/>
              <w:textAlignment w:val="center"/>
              <w:rPr>
                <w:rFonts w:ascii="宋体" w:hAnsi="宋体"/>
                <w:b/>
                <w:bCs/>
                <w:color w:val="auto"/>
                <w:szCs w:val="21"/>
              </w:rPr>
            </w:pPr>
            <w:r>
              <w:rPr>
                <w:rFonts w:hint="eastAsia" w:ascii="宋体" w:hAnsi="宋体"/>
                <w:b/>
                <w:bCs/>
                <w:color w:val="auto"/>
                <w:kern w:val="0"/>
                <w:szCs w:val="21"/>
              </w:rPr>
              <w:t>三、提升“三断”应急指挥通信保底能力</w:t>
            </w:r>
          </w:p>
        </w:tc>
        <w:tc>
          <w:tcPr>
            <w:tcW w:w="709" w:type="dxa"/>
            <w:tcBorders>
              <w:top w:val="nil"/>
              <w:left w:val="nil"/>
              <w:bottom w:val="single" w:color="000000" w:sz="8" w:space="0"/>
              <w:right w:val="single" w:color="000000" w:sz="8" w:space="0"/>
            </w:tcBorders>
            <w:shd w:val="clear" w:color="auto" w:fill="auto"/>
            <w:vAlign w:val="center"/>
          </w:tcPr>
          <w:p w14:paraId="77F780F1">
            <w:pPr>
              <w:widowControl/>
              <w:jc w:val="center"/>
              <w:textAlignment w:val="center"/>
              <w:rPr>
                <w:rFonts w:ascii="宋体" w:hAnsi="宋体"/>
                <w:b/>
                <w:bCs/>
                <w:color w:val="auto"/>
                <w:szCs w:val="21"/>
              </w:rPr>
            </w:pPr>
            <w:r>
              <w:rPr>
                <w:rFonts w:hint="eastAsia" w:ascii="宋体" w:hAnsi="宋体"/>
                <w:b/>
                <w:bCs/>
                <w:color w:val="auto"/>
                <w:kern w:val="0"/>
                <w:szCs w:val="21"/>
              </w:rPr>
              <w:t>数量</w:t>
            </w:r>
          </w:p>
        </w:tc>
        <w:tc>
          <w:tcPr>
            <w:tcW w:w="586" w:type="dxa"/>
            <w:tcBorders>
              <w:top w:val="nil"/>
              <w:left w:val="nil"/>
              <w:bottom w:val="single" w:color="000000" w:sz="8" w:space="0"/>
              <w:right w:val="single" w:color="000000" w:sz="8" w:space="0"/>
            </w:tcBorders>
            <w:shd w:val="clear" w:color="auto" w:fill="auto"/>
            <w:vAlign w:val="center"/>
          </w:tcPr>
          <w:p w14:paraId="7DF3B15F">
            <w:pPr>
              <w:widowControl/>
              <w:jc w:val="center"/>
              <w:textAlignment w:val="center"/>
              <w:rPr>
                <w:rFonts w:ascii="宋体" w:hAnsi="宋体"/>
                <w:b/>
                <w:bCs/>
                <w:color w:val="auto"/>
                <w:szCs w:val="21"/>
              </w:rPr>
            </w:pPr>
            <w:r>
              <w:rPr>
                <w:rFonts w:hint="eastAsia" w:ascii="宋体" w:hAnsi="宋体"/>
                <w:b/>
                <w:bCs/>
                <w:color w:val="auto"/>
                <w:kern w:val="0"/>
                <w:szCs w:val="21"/>
              </w:rPr>
              <w:t>单位</w:t>
            </w:r>
          </w:p>
        </w:tc>
      </w:tr>
      <w:tr w14:paraId="1762C547">
        <w:tblPrEx>
          <w:tblCellMar>
            <w:top w:w="0" w:type="dxa"/>
            <w:left w:w="108" w:type="dxa"/>
            <w:bottom w:w="0" w:type="dxa"/>
            <w:right w:w="108" w:type="dxa"/>
          </w:tblCellMar>
        </w:tblPrEx>
        <w:trPr>
          <w:trHeight w:val="8246" w:hRule="atLeast"/>
        </w:trPr>
        <w:tc>
          <w:tcPr>
            <w:tcW w:w="60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90479">
            <w:pPr>
              <w:widowControl/>
              <w:jc w:val="center"/>
              <w:textAlignment w:val="center"/>
              <w:rPr>
                <w:rFonts w:ascii="宋体" w:hAnsi="宋体"/>
                <w:color w:val="auto"/>
                <w:szCs w:val="21"/>
              </w:rPr>
            </w:pPr>
            <w:r>
              <w:rPr>
                <w:rFonts w:hint="eastAsia" w:ascii="宋体" w:hAnsi="宋体"/>
                <w:color w:val="auto"/>
                <w:kern w:val="0"/>
                <w:szCs w:val="21"/>
              </w:rPr>
              <w:t>1</w:t>
            </w:r>
          </w:p>
        </w:tc>
        <w:tc>
          <w:tcPr>
            <w:tcW w:w="6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023C9E7">
            <w:pPr>
              <w:widowControl/>
              <w:jc w:val="center"/>
              <w:textAlignment w:val="center"/>
              <w:rPr>
                <w:rFonts w:ascii="宋体" w:hAnsi="宋体"/>
                <w:color w:val="auto"/>
                <w:szCs w:val="21"/>
              </w:rPr>
            </w:pPr>
            <w:r>
              <w:rPr>
                <w:rFonts w:hint="eastAsia" w:ascii="宋体" w:hAnsi="宋体"/>
                <w:color w:val="auto"/>
                <w:kern w:val="0"/>
                <w:szCs w:val="21"/>
              </w:rPr>
              <w:t>三断应急指挥通信</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762B8">
            <w:pPr>
              <w:widowControl/>
              <w:jc w:val="left"/>
              <w:textAlignment w:val="center"/>
              <w:rPr>
                <w:rFonts w:ascii="宋体" w:hAnsi="宋体"/>
                <w:color w:val="auto"/>
                <w:szCs w:val="21"/>
              </w:rPr>
            </w:pPr>
            <w:r>
              <w:rPr>
                <w:rFonts w:hint="eastAsia" w:ascii="宋体" w:hAnsi="宋体"/>
                <w:color w:val="auto"/>
                <w:szCs w:val="21"/>
              </w:rPr>
              <w:t>★</w:t>
            </w:r>
            <w:r>
              <w:rPr>
                <w:rFonts w:hint="eastAsia" w:ascii="宋体" w:hAnsi="宋体"/>
                <w:color w:val="auto"/>
                <w:kern w:val="0"/>
                <w:szCs w:val="21"/>
              </w:rPr>
              <w:t>370MHz窄带自组网移动便携站</w:t>
            </w:r>
            <w:r>
              <w:rPr>
                <w:rFonts w:hint="eastAsia" w:ascii="宋体" w:hAnsi="宋体"/>
                <w:b/>
                <w:bCs/>
                <w:color w:val="auto"/>
                <w:kern w:val="0"/>
                <w:szCs w:val="21"/>
              </w:rPr>
              <w:t>（核心产品）</w:t>
            </w:r>
          </w:p>
        </w:tc>
        <w:tc>
          <w:tcPr>
            <w:tcW w:w="5208" w:type="dxa"/>
            <w:tcBorders>
              <w:top w:val="nil"/>
              <w:left w:val="nil"/>
              <w:bottom w:val="single" w:color="000000" w:sz="8" w:space="0"/>
              <w:right w:val="single" w:color="000000" w:sz="8" w:space="0"/>
            </w:tcBorders>
            <w:shd w:val="clear" w:color="auto" w:fill="auto"/>
            <w:vAlign w:val="center"/>
          </w:tcPr>
          <w:p w14:paraId="6736201C">
            <w:pPr>
              <w:widowControl/>
              <w:jc w:val="left"/>
              <w:textAlignment w:val="center"/>
              <w:rPr>
                <w:rFonts w:hint="eastAsia" w:ascii="宋体" w:hAnsi="宋体"/>
                <w:color w:val="auto"/>
                <w:szCs w:val="21"/>
              </w:rPr>
            </w:pPr>
            <w:r>
              <w:rPr>
                <w:rFonts w:hint="eastAsia" w:ascii="宋体" w:hAnsi="宋体"/>
                <w:color w:val="auto"/>
                <w:szCs w:val="21"/>
              </w:rPr>
              <w:t>1.产品通过国家无线电管理局无线电发射设备型号核准并获得型号核准证，提供有效期内的型号核准证；</w:t>
            </w:r>
          </w:p>
          <w:p w14:paraId="5C878052">
            <w:pPr>
              <w:widowControl/>
              <w:jc w:val="left"/>
              <w:textAlignment w:val="center"/>
              <w:rPr>
                <w:rFonts w:hint="eastAsia" w:ascii="宋体" w:hAnsi="宋体"/>
                <w:color w:val="auto"/>
                <w:szCs w:val="21"/>
              </w:rPr>
            </w:pPr>
            <w:r>
              <w:rPr>
                <w:rFonts w:hint="eastAsia" w:ascii="宋体" w:hAnsi="宋体"/>
                <w:color w:val="auto"/>
                <w:szCs w:val="21"/>
              </w:rPr>
              <w:t>2.频率范围：350-400MHz；</w:t>
            </w:r>
          </w:p>
          <w:p w14:paraId="2187DFE6">
            <w:pPr>
              <w:widowControl/>
              <w:jc w:val="left"/>
              <w:textAlignment w:val="center"/>
              <w:rPr>
                <w:rFonts w:hint="eastAsia" w:ascii="宋体" w:hAnsi="宋体"/>
                <w:color w:val="auto"/>
                <w:szCs w:val="21"/>
              </w:rPr>
            </w:pPr>
            <w:r>
              <w:rPr>
                <w:rFonts w:hint="eastAsia" w:ascii="宋体" w:hAnsi="宋体"/>
                <w:color w:val="auto"/>
                <w:szCs w:val="21"/>
              </w:rPr>
              <w:t>3.频率稳定度:±0.5ppm；</w:t>
            </w:r>
          </w:p>
          <w:p w14:paraId="1D0366FB">
            <w:pPr>
              <w:widowControl/>
              <w:jc w:val="left"/>
              <w:textAlignment w:val="center"/>
              <w:rPr>
                <w:rFonts w:hint="eastAsia" w:ascii="宋体" w:hAnsi="宋体"/>
                <w:color w:val="auto"/>
                <w:szCs w:val="21"/>
              </w:rPr>
            </w:pPr>
            <w:r>
              <w:rPr>
                <w:rFonts w:hint="eastAsia" w:ascii="宋体" w:hAnsi="宋体"/>
                <w:color w:val="auto"/>
                <w:szCs w:val="21"/>
              </w:rPr>
              <w:t>4.接收灵敏度：≤-124dBm；</w:t>
            </w:r>
          </w:p>
          <w:p w14:paraId="0B5CBD1C">
            <w:pPr>
              <w:widowControl/>
              <w:jc w:val="left"/>
              <w:textAlignment w:val="center"/>
              <w:rPr>
                <w:rFonts w:hint="eastAsia" w:ascii="宋体" w:hAnsi="宋体"/>
                <w:color w:val="auto"/>
                <w:szCs w:val="21"/>
              </w:rPr>
            </w:pPr>
            <w:r>
              <w:rPr>
                <w:rFonts w:hint="eastAsia" w:ascii="宋体" w:hAnsi="宋体"/>
                <w:color w:val="auto"/>
                <w:szCs w:val="21"/>
              </w:rPr>
              <w:t>5.4FSK数字调制：12.5KHz语音:7K60FXE；12.5KHz数据:7K60FXD；12.5KHz语音和数据：7K60FXW；</w:t>
            </w:r>
          </w:p>
          <w:p w14:paraId="179F5807">
            <w:pPr>
              <w:widowControl/>
              <w:jc w:val="left"/>
              <w:textAlignment w:val="center"/>
              <w:rPr>
                <w:rFonts w:hint="eastAsia" w:ascii="宋体" w:hAnsi="宋体"/>
                <w:color w:val="auto"/>
                <w:szCs w:val="21"/>
              </w:rPr>
            </w:pPr>
            <w:r>
              <w:rPr>
                <w:rFonts w:hint="eastAsia" w:ascii="宋体" w:hAnsi="宋体"/>
                <w:color w:val="auto"/>
                <w:szCs w:val="21"/>
              </w:rPr>
              <w:t>6.自组网最大节点数：≥32节点；</w:t>
            </w:r>
          </w:p>
          <w:p w14:paraId="754561A6">
            <w:pPr>
              <w:widowControl/>
              <w:jc w:val="left"/>
              <w:textAlignment w:val="center"/>
              <w:rPr>
                <w:rFonts w:hint="eastAsia" w:ascii="宋体" w:hAnsi="宋体"/>
                <w:color w:val="auto"/>
                <w:szCs w:val="21"/>
              </w:rPr>
            </w:pPr>
            <w:r>
              <w:rPr>
                <w:rFonts w:hint="eastAsia" w:ascii="宋体" w:hAnsi="宋体"/>
                <w:color w:val="auto"/>
                <w:szCs w:val="21"/>
              </w:rPr>
              <w:t>7.尺寸（高*宽*厚）：≤350*210*75mm（含把手）；</w:t>
            </w:r>
          </w:p>
          <w:p w14:paraId="2BF81ED8">
            <w:pPr>
              <w:widowControl/>
              <w:jc w:val="left"/>
              <w:textAlignment w:val="center"/>
              <w:rPr>
                <w:rFonts w:hint="eastAsia" w:ascii="宋体" w:hAnsi="宋体"/>
                <w:color w:val="auto"/>
                <w:szCs w:val="21"/>
              </w:rPr>
            </w:pPr>
            <w:r>
              <w:rPr>
                <w:rFonts w:hint="eastAsia" w:ascii="宋体" w:hAnsi="宋体"/>
                <w:color w:val="auto"/>
                <w:szCs w:val="21"/>
              </w:rPr>
              <w:t>8.重量：≤3.9Kg（含天线与电池）；</w:t>
            </w:r>
          </w:p>
          <w:p w14:paraId="4E14994A">
            <w:pPr>
              <w:widowControl/>
              <w:jc w:val="left"/>
              <w:textAlignment w:val="center"/>
              <w:rPr>
                <w:rFonts w:hint="eastAsia" w:ascii="宋体" w:hAnsi="宋体"/>
                <w:color w:val="auto"/>
                <w:szCs w:val="21"/>
              </w:rPr>
            </w:pPr>
            <w:r>
              <w:rPr>
                <w:rFonts w:hint="eastAsia" w:ascii="宋体" w:hAnsi="宋体"/>
                <w:color w:val="auto"/>
                <w:szCs w:val="21"/>
              </w:rPr>
              <w:t>9.内置电池容量：≥236Wh@14.8V，电池需提供中国国家强制性产品认证证书；</w:t>
            </w:r>
          </w:p>
          <w:p w14:paraId="24AA637C">
            <w:pPr>
              <w:widowControl/>
              <w:jc w:val="left"/>
              <w:textAlignment w:val="center"/>
              <w:rPr>
                <w:rFonts w:hint="eastAsia" w:ascii="宋体" w:hAnsi="宋体"/>
                <w:color w:val="auto"/>
                <w:szCs w:val="21"/>
              </w:rPr>
            </w:pPr>
            <w:r>
              <w:rPr>
                <w:rFonts w:hint="eastAsia" w:ascii="宋体" w:hAnsi="宋体"/>
                <w:color w:val="auto"/>
                <w:szCs w:val="21"/>
              </w:rPr>
              <w:t>10.显示：≥2.0英寸，同时具备机身按键，可通过机身屏幕和按健查询设备定位及网络的重要相关信息，并进行重要参数设置；</w:t>
            </w:r>
          </w:p>
          <w:p w14:paraId="18DDD218">
            <w:pPr>
              <w:widowControl/>
              <w:jc w:val="left"/>
              <w:textAlignment w:val="center"/>
              <w:rPr>
                <w:rFonts w:hint="eastAsia" w:ascii="宋体" w:hAnsi="宋体"/>
                <w:color w:val="auto"/>
                <w:szCs w:val="21"/>
              </w:rPr>
            </w:pPr>
            <w:r>
              <w:rPr>
                <w:rFonts w:hint="eastAsia" w:ascii="宋体" w:hAnsi="宋体"/>
                <w:color w:val="auto"/>
                <w:szCs w:val="21"/>
              </w:rPr>
              <w:t>11.定位：北斗定位；</w:t>
            </w:r>
          </w:p>
          <w:p w14:paraId="12CF9819">
            <w:pPr>
              <w:widowControl/>
              <w:jc w:val="left"/>
              <w:textAlignment w:val="center"/>
              <w:rPr>
                <w:rFonts w:hint="eastAsia" w:ascii="宋体" w:hAnsi="宋体"/>
                <w:color w:val="auto"/>
                <w:szCs w:val="21"/>
              </w:rPr>
            </w:pPr>
            <w:r>
              <w:rPr>
                <w:rFonts w:hint="eastAsia" w:ascii="宋体" w:hAnsi="宋体"/>
                <w:color w:val="auto"/>
                <w:szCs w:val="21"/>
              </w:rPr>
              <w:t>12.需支持内置无线公网模块，可接入公网链路,实现IP互联，提供国家认可检测机构出具的具备CNAS或CMA标志的检测报告；</w:t>
            </w:r>
          </w:p>
          <w:p w14:paraId="1462D08C">
            <w:pPr>
              <w:widowControl/>
              <w:jc w:val="left"/>
              <w:textAlignment w:val="center"/>
              <w:rPr>
                <w:rFonts w:hint="eastAsia" w:ascii="宋体" w:hAnsi="宋体"/>
                <w:color w:val="auto"/>
                <w:szCs w:val="21"/>
              </w:rPr>
            </w:pPr>
            <w:r>
              <w:rPr>
                <w:rFonts w:hint="eastAsia" w:ascii="宋体" w:hAnsi="宋体"/>
                <w:color w:val="auto"/>
                <w:szCs w:val="21"/>
              </w:rPr>
              <w:t>13.支持外接手咪，支持带屏幕显示的手咪，可以显示运行状态并设置基本参数。</w:t>
            </w:r>
          </w:p>
          <w:p w14:paraId="71BB340A">
            <w:pPr>
              <w:widowControl/>
              <w:jc w:val="left"/>
              <w:textAlignment w:val="center"/>
              <w:rPr>
                <w:rFonts w:hint="eastAsia" w:ascii="宋体" w:hAnsi="宋体"/>
                <w:color w:val="auto"/>
                <w:szCs w:val="21"/>
              </w:rPr>
            </w:pPr>
            <w:r>
              <w:rPr>
                <w:rFonts w:hint="eastAsia" w:ascii="宋体" w:hAnsi="宋体"/>
                <w:color w:val="auto"/>
                <w:szCs w:val="21"/>
              </w:rPr>
              <w:t>14.最高发射功率：不低于25W，提供国家认可检测机构出具的具备CNAS或CMA标志的检测报告；</w:t>
            </w:r>
          </w:p>
          <w:p w14:paraId="096D4FAB">
            <w:pPr>
              <w:widowControl/>
              <w:jc w:val="left"/>
              <w:textAlignment w:val="center"/>
              <w:rPr>
                <w:rFonts w:ascii="宋体" w:hAnsi="宋体"/>
                <w:color w:val="auto"/>
                <w:szCs w:val="21"/>
              </w:rPr>
            </w:pPr>
            <w:r>
              <w:rPr>
                <w:rFonts w:hint="eastAsia" w:ascii="宋体" w:hAnsi="宋体"/>
                <w:color w:val="auto"/>
                <w:szCs w:val="21"/>
              </w:rPr>
              <w:t>15.防护等级：不低于IP67；提供国家认可检测机构出具的具备CNAS或CMA标志的检测报告；</w:t>
            </w:r>
          </w:p>
        </w:tc>
        <w:tc>
          <w:tcPr>
            <w:tcW w:w="70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26D40">
            <w:pPr>
              <w:widowControl/>
              <w:jc w:val="center"/>
              <w:textAlignment w:val="center"/>
              <w:rPr>
                <w:rFonts w:ascii="宋体" w:hAnsi="宋体"/>
                <w:color w:val="auto"/>
                <w:szCs w:val="21"/>
              </w:rPr>
            </w:pPr>
            <w:r>
              <w:rPr>
                <w:rFonts w:hint="eastAsia" w:ascii="宋体" w:hAnsi="宋体"/>
                <w:color w:val="auto"/>
                <w:kern w:val="0"/>
                <w:szCs w:val="21"/>
              </w:rPr>
              <w:t>3</w:t>
            </w:r>
          </w:p>
        </w:tc>
        <w:tc>
          <w:tcPr>
            <w:tcW w:w="58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A32B6F">
            <w:pPr>
              <w:widowControl/>
              <w:jc w:val="center"/>
              <w:textAlignment w:val="center"/>
              <w:rPr>
                <w:rFonts w:ascii="宋体" w:hAnsi="宋体"/>
                <w:color w:val="auto"/>
                <w:szCs w:val="21"/>
              </w:rPr>
            </w:pPr>
            <w:r>
              <w:rPr>
                <w:rFonts w:hint="eastAsia" w:ascii="宋体" w:hAnsi="宋体"/>
                <w:color w:val="auto"/>
                <w:kern w:val="0"/>
                <w:szCs w:val="21"/>
              </w:rPr>
              <w:t>台</w:t>
            </w:r>
          </w:p>
        </w:tc>
      </w:tr>
      <w:tr w14:paraId="6BCD4B72">
        <w:tblPrEx>
          <w:tblCellMar>
            <w:top w:w="0" w:type="dxa"/>
            <w:left w:w="108" w:type="dxa"/>
            <w:bottom w:w="0" w:type="dxa"/>
            <w:right w:w="108" w:type="dxa"/>
          </w:tblCellMar>
        </w:tblPrEx>
        <w:trPr>
          <w:trHeight w:val="8129" w:hRule="atLeast"/>
        </w:trPr>
        <w:tc>
          <w:tcPr>
            <w:tcW w:w="607" w:type="dxa"/>
            <w:tcBorders>
              <w:top w:val="nil"/>
              <w:left w:val="single" w:color="000000" w:sz="8" w:space="0"/>
              <w:bottom w:val="single" w:color="000000" w:sz="8" w:space="0"/>
              <w:right w:val="single" w:color="000000" w:sz="8" w:space="0"/>
            </w:tcBorders>
            <w:shd w:val="clear" w:color="auto" w:fill="auto"/>
            <w:vAlign w:val="center"/>
          </w:tcPr>
          <w:p w14:paraId="050F65DD">
            <w:pPr>
              <w:widowControl/>
              <w:jc w:val="center"/>
              <w:textAlignment w:val="center"/>
              <w:rPr>
                <w:rFonts w:ascii="宋体" w:hAnsi="宋体"/>
                <w:color w:val="auto"/>
                <w:szCs w:val="21"/>
              </w:rPr>
            </w:pPr>
            <w:r>
              <w:rPr>
                <w:rFonts w:hint="eastAsia" w:ascii="宋体" w:hAnsi="宋体"/>
                <w:color w:val="auto"/>
                <w:kern w:val="0"/>
                <w:szCs w:val="21"/>
              </w:rPr>
              <w:t>2</w:t>
            </w:r>
          </w:p>
        </w:tc>
        <w:tc>
          <w:tcPr>
            <w:tcW w:w="6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DBD6D7">
            <w:pPr>
              <w:jc w:val="center"/>
              <w:rPr>
                <w:rFonts w:ascii="宋体" w:hAnsi="宋体"/>
                <w:color w:val="auto"/>
                <w:szCs w:val="21"/>
              </w:rPr>
            </w:pPr>
          </w:p>
        </w:tc>
        <w:tc>
          <w:tcPr>
            <w:tcW w:w="1056" w:type="dxa"/>
            <w:tcBorders>
              <w:top w:val="nil"/>
              <w:left w:val="nil"/>
              <w:bottom w:val="single" w:color="000000" w:sz="8" w:space="0"/>
              <w:right w:val="single" w:color="000000" w:sz="8" w:space="0"/>
            </w:tcBorders>
            <w:shd w:val="clear" w:color="auto" w:fill="auto"/>
            <w:vAlign w:val="center"/>
          </w:tcPr>
          <w:p w14:paraId="0FC25637">
            <w:pPr>
              <w:widowControl/>
              <w:jc w:val="left"/>
              <w:textAlignment w:val="center"/>
              <w:rPr>
                <w:rFonts w:ascii="宋体" w:hAnsi="宋体"/>
                <w:color w:val="auto"/>
                <w:szCs w:val="21"/>
              </w:rPr>
            </w:pPr>
            <w:r>
              <w:rPr>
                <w:rFonts w:hint="eastAsia" w:ascii="宋体" w:hAnsi="宋体"/>
                <w:color w:val="auto"/>
                <w:kern w:val="0"/>
                <w:szCs w:val="21"/>
              </w:rPr>
              <w:t>370MHz对讲终端</w:t>
            </w:r>
          </w:p>
        </w:tc>
        <w:tc>
          <w:tcPr>
            <w:tcW w:w="5208" w:type="dxa"/>
            <w:tcBorders>
              <w:top w:val="nil"/>
              <w:left w:val="nil"/>
              <w:bottom w:val="single" w:color="000000" w:sz="8" w:space="0"/>
              <w:right w:val="single" w:color="000000" w:sz="8" w:space="0"/>
            </w:tcBorders>
            <w:shd w:val="clear" w:color="auto" w:fill="auto"/>
            <w:vAlign w:val="center"/>
          </w:tcPr>
          <w:p w14:paraId="33568A33">
            <w:pPr>
              <w:widowControl/>
              <w:jc w:val="left"/>
              <w:textAlignment w:val="center"/>
              <w:rPr>
                <w:rFonts w:hint="eastAsia" w:ascii="宋体" w:hAnsi="宋体"/>
                <w:color w:val="auto"/>
                <w:kern w:val="0"/>
                <w:szCs w:val="21"/>
              </w:rPr>
            </w:pPr>
            <w:r>
              <w:rPr>
                <w:rFonts w:hint="eastAsia" w:ascii="宋体" w:hAnsi="宋体"/>
                <w:color w:val="auto"/>
                <w:kern w:val="0"/>
                <w:szCs w:val="21"/>
              </w:rPr>
              <w:t>1.产品为国产自主品牌，通过国家无线电管理局无线电发射设备型号核准并获得型号核准证，提供有效期内的型号核准证复印件。</w:t>
            </w:r>
          </w:p>
          <w:p w14:paraId="3EC0E0DD">
            <w:pPr>
              <w:widowControl/>
              <w:jc w:val="left"/>
              <w:textAlignment w:val="center"/>
              <w:rPr>
                <w:rFonts w:hint="eastAsia" w:ascii="宋体" w:hAnsi="宋体"/>
                <w:color w:val="auto"/>
                <w:kern w:val="0"/>
                <w:szCs w:val="21"/>
              </w:rPr>
            </w:pPr>
            <w:r>
              <w:rPr>
                <w:rFonts w:hint="eastAsia" w:ascii="宋体" w:hAnsi="宋体"/>
                <w:color w:val="auto"/>
                <w:kern w:val="0"/>
                <w:szCs w:val="21"/>
              </w:rPr>
              <w:t>2.不低于IP68的防护等级。提供国家认可检测机构出具的带有CNAS或CMA标识的检测报告复印件。</w:t>
            </w:r>
          </w:p>
          <w:p w14:paraId="5D21A74F">
            <w:pPr>
              <w:widowControl/>
              <w:jc w:val="left"/>
              <w:textAlignment w:val="center"/>
              <w:rPr>
                <w:rFonts w:hint="eastAsia" w:ascii="宋体" w:hAnsi="宋体"/>
                <w:color w:val="auto"/>
                <w:kern w:val="0"/>
                <w:szCs w:val="21"/>
              </w:rPr>
            </w:pPr>
            <w:r>
              <w:rPr>
                <w:rFonts w:hint="eastAsia" w:ascii="宋体" w:hAnsi="宋体"/>
                <w:color w:val="auto"/>
                <w:kern w:val="0"/>
                <w:szCs w:val="21"/>
              </w:rPr>
              <w:t>3.频率范围：350-400MHz；</w:t>
            </w:r>
          </w:p>
          <w:p w14:paraId="16E451A8">
            <w:pPr>
              <w:widowControl/>
              <w:jc w:val="left"/>
              <w:textAlignment w:val="center"/>
              <w:rPr>
                <w:rFonts w:hint="eastAsia" w:ascii="宋体" w:hAnsi="宋体"/>
                <w:color w:val="auto"/>
                <w:kern w:val="0"/>
                <w:szCs w:val="21"/>
              </w:rPr>
            </w:pPr>
            <w:r>
              <w:rPr>
                <w:rFonts w:hint="eastAsia" w:ascii="宋体" w:hAnsi="宋体"/>
                <w:color w:val="auto"/>
                <w:kern w:val="0"/>
                <w:szCs w:val="21"/>
              </w:rPr>
              <w:t>4.信道容量：≥1024</w:t>
            </w:r>
          </w:p>
          <w:p w14:paraId="157C269F">
            <w:pPr>
              <w:widowControl/>
              <w:jc w:val="left"/>
              <w:textAlignment w:val="center"/>
              <w:rPr>
                <w:rFonts w:hint="eastAsia" w:ascii="宋体" w:hAnsi="宋体"/>
                <w:color w:val="auto"/>
                <w:kern w:val="0"/>
                <w:szCs w:val="21"/>
              </w:rPr>
            </w:pPr>
            <w:r>
              <w:rPr>
                <w:rFonts w:hint="eastAsia" w:ascii="宋体" w:hAnsi="宋体"/>
                <w:color w:val="auto"/>
                <w:kern w:val="0"/>
                <w:szCs w:val="21"/>
              </w:rPr>
              <w:t>5.区域容量：≥64（每个区域最大32群组）</w:t>
            </w:r>
          </w:p>
          <w:p w14:paraId="3A32582C">
            <w:pPr>
              <w:widowControl/>
              <w:jc w:val="left"/>
              <w:textAlignment w:val="center"/>
              <w:rPr>
                <w:rFonts w:hint="eastAsia" w:ascii="宋体" w:hAnsi="宋体"/>
                <w:color w:val="auto"/>
                <w:kern w:val="0"/>
                <w:szCs w:val="21"/>
              </w:rPr>
            </w:pPr>
            <w:r>
              <w:rPr>
                <w:rFonts w:hint="eastAsia" w:ascii="宋体" w:hAnsi="宋体"/>
                <w:color w:val="auto"/>
                <w:kern w:val="0"/>
                <w:szCs w:val="21"/>
              </w:rPr>
              <w:t>6.发射功率：高功率4W，低功率1W</w:t>
            </w:r>
          </w:p>
          <w:p w14:paraId="6B437943">
            <w:pPr>
              <w:widowControl/>
              <w:jc w:val="left"/>
              <w:textAlignment w:val="center"/>
              <w:rPr>
                <w:rFonts w:hint="eastAsia" w:ascii="宋体" w:hAnsi="宋体"/>
                <w:color w:val="auto"/>
                <w:kern w:val="0"/>
                <w:szCs w:val="21"/>
              </w:rPr>
            </w:pPr>
            <w:r>
              <w:rPr>
                <w:rFonts w:hint="eastAsia" w:ascii="宋体" w:hAnsi="宋体"/>
                <w:color w:val="auto"/>
                <w:kern w:val="0"/>
                <w:szCs w:val="21"/>
              </w:rPr>
              <w:t>7.电池：标配不低于2000mAh电池</w:t>
            </w:r>
          </w:p>
          <w:p w14:paraId="5E436D21">
            <w:pPr>
              <w:widowControl/>
              <w:jc w:val="left"/>
              <w:textAlignment w:val="center"/>
              <w:rPr>
                <w:rFonts w:hint="eastAsia" w:ascii="宋体" w:hAnsi="宋体"/>
                <w:color w:val="auto"/>
                <w:kern w:val="0"/>
                <w:szCs w:val="21"/>
              </w:rPr>
            </w:pPr>
            <w:r>
              <w:rPr>
                <w:rFonts w:hint="eastAsia" w:ascii="宋体" w:hAnsi="宋体"/>
                <w:color w:val="auto"/>
                <w:kern w:val="0"/>
                <w:szCs w:val="21"/>
              </w:rPr>
              <w:t>8.整机重量：≤330g（带标配电池和天线）；尺寸（长*宽*高）：≤132*55*30mm（不含天线）</w:t>
            </w:r>
          </w:p>
          <w:p w14:paraId="66F9A61A">
            <w:pPr>
              <w:widowControl/>
              <w:jc w:val="left"/>
              <w:textAlignment w:val="center"/>
              <w:rPr>
                <w:rFonts w:hint="eastAsia" w:ascii="宋体" w:hAnsi="宋体"/>
                <w:color w:val="auto"/>
                <w:kern w:val="0"/>
                <w:szCs w:val="21"/>
              </w:rPr>
            </w:pPr>
            <w:r>
              <w:rPr>
                <w:rFonts w:hint="eastAsia" w:ascii="宋体" w:hAnsi="宋体"/>
                <w:color w:val="auto"/>
                <w:kern w:val="0"/>
                <w:szCs w:val="21"/>
              </w:rPr>
              <w:t>9.显示屏尺寸：≥2.2寸高亮宽屏，分辨率不低于240*320，6行文本显示。</w:t>
            </w:r>
          </w:p>
          <w:p w14:paraId="52F5F7FD">
            <w:pPr>
              <w:widowControl/>
              <w:jc w:val="left"/>
              <w:textAlignment w:val="center"/>
              <w:rPr>
                <w:rFonts w:hint="eastAsia" w:ascii="宋体" w:hAnsi="宋体"/>
                <w:color w:val="auto"/>
                <w:kern w:val="0"/>
                <w:szCs w:val="21"/>
              </w:rPr>
            </w:pPr>
            <w:r>
              <w:rPr>
                <w:rFonts w:hint="eastAsia" w:ascii="宋体" w:hAnsi="宋体"/>
                <w:color w:val="auto"/>
                <w:kern w:val="0"/>
                <w:szCs w:val="21"/>
              </w:rPr>
              <w:t>10.支持中文短信功能：在集群和数字常规模式下，进行中文短信的发射和接收，短信可以编辑512个汉字，提供国家认可检测机构出具的带有CNAS或CMA标识的检测报告复印件。</w:t>
            </w:r>
          </w:p>
          <w:p w14:paraId="5A804F26">
            <w:pPr>
              <w:widowControl/>
              <w:jc w:val="left"/>
              <w:textAlignment w:val="center"/>
              <w:rPr>
                <w:rFonts w:hint="eastAsia" w:ascii="宋体" w:hAnsi="宋体"/>
                <w:color w:val="auto"/>
                <w:kern w:val="0"/>
                <w:szCs w:val="21"/>
              </w:rPr>
            </w:pPr>
            <w:r>
              <w:rPr>
                <w:rFonts w:hint="eastAsia" w:ascii="宋体" w:hAnsi="宋体"/>
                <w:color w:val="auto"/>
                <w:kern w:val="0"/>
                <w:szCs w:val="21"/>
              </w:rPr>
              <w:t>11.越区切换：发射手台进行越区切换时，接收手台语音收听不掉字，提供国家认可检测机构出具的带有CNAS或CMA标识的检测报告复印件。</w:t>
            </w:r>
          </w:p>
          <w:p w14:paraId="2DDF825A">
            <w:pPr>
              <w:widowControl/>
              <w:jc w:val="left"/>
              <w:textAlignment w:val="center"/>
              <w:rPr>
                <w:rFonts w:ascii="宋体" w:hAnsi="宋体"/>
                <w:color w:val="auto"/>
                <w:kern w:val="0"/>
                <w:szCs w:val="21"/>
              </w:rPr>
            </w:pPr>
            <w:r>
              <w:rPr>
                <w:rFonts w:hint="eastAsia" w:ascii="宋体" w:hAnsi="宋体"/>
                <w:color w:val="auto"/>
                <w:kern w:val="0"/>
                <w:szCs w:val="21"/>
              </w:rPr>
              <w:t>12.常规定位功能：手台处在直通或者中转模式下，接收方显示发射方的位置，包括方位角、距离，提供国家认可检测机构出具的带有CNAS或CMA标识的检测报告复印件。</w:t>
            </w:r>
          </w:p>
        </w:tc>
        <w:tc>
          <w:tcPr>
            <w:tcW w:w="709" w:type="dxa"/>
            <w:tcBorders>
              <w:top w:val="nil"/>
              <w:left w:val="nil"/>
              <w:bottom w:val="single" w:color="000000" w:sz="8" w:space="0"/>
              <w:right w:val="single" w:color="000000" w:sz="8" w:space="0"/>
            </w:tcBorders>
            <w:shd w:val="clear" w:color="auto" w:fill="auto"/>
            <w:vAlign w:val="center"/>
          </w:tcPr>
          <w:p w14:paraId="79068803">
            <w:pPr>
              <w:widowControl/>
              <w:jc w:val="center"/>
              <w:textAlignment w:val="center"/>
              <w:rPr>
                <w:rFonts w:ascii="宋体" w:hAnsi="宋体"/>
                <w:color w:val="auto"/>
                <w:szCs w:val="21"/>
              </w:rPr>
            </w:pPr>
            <w:r>
              <w:rPr>
                <w:rFonts w:hint="eastAsia" w:ascii="宋体" w:hAnsi="宋体"/>
                <w:color w:val="auto"/>
                <w:kern w:val="0"/>
                <w:szCs w:val="21"/>
              </w:rPr>
              <w:t>26</w:t>
            </w:r>
          </w:p>
        </w:tc>
        <w:tc>
          <w:tcPr>
            <w:tcW w:w="586" w:type="dxa"/>
            <w:tcBorders>
              <w:top w:val="nil"/>
              <w:left w:val="nil"/>
              <w:bottom w:val="single" w:color="000000" w:sz="8" w:space="0"/>
              <w:right w:val="single" w:color="000000" w:sz="8" w:space="0"/>
            </w:tcBorders>
            <w:shd w:val="clear" w:color="auto" w:fill="auto"/>
            <w:vAlign w:val="center"/>
          </w:tcPr>
          <w:p w14:paraId="3A9A1914">
            <w:pPr>
              <w:widowControl/>
              <w:jc w:val="center"/>
              <w:textAlignment w:val="center"/>
              <w:rPr>
                <w:rFonts w:ascii="宋体" w:hAnsi="宋体"/>
                <w:color w:val="auto"/>
                <w:szCs w:val="21"/>
              </w:rPr>
            </w:pPr>
            <w:r>
              <w:rPr>
                <w:rFonts w:hint="eastAsia" w:ascii="宋体" w:hAnsi="宋体"/>
                <w:color w:val="auto"/>
                <w:kern w:val="0"/>
                <w:szCs w:val="21"/>
              </w:rPr>
              <w:t>台</w:t>
            </w:r>
          </w:p>
        </w:tc>
      </w:tr>
      <w:tr w14:paraId="0BE74D8F">
        <w:tblPrEx>
          <w:tblCellMar>
            <w:top w:w="0" w:type="dxa"/>
            <w:left w:w="108" w:type="dxa"/>
            <w:bottom w:w="0" w:type="dxa"/>
            <w:right w:w="108" w:type="dxa"/>
          </w:tblCellMar>
        </w:tblPrEx>
        <w:trPr>
          <w:trHeight w:val="3621" w:hRule="atLeast"/>
        </w:trPr>
        <w:tc>
          <w:tcPr>
            <w:tcW w:w="60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A7D93">
            <w:pPr>
              <w:widowControl/>
              <w:jc w:val="center"/>
              <w:textAlignment w:val="center"/>
              <w:rPr>
                <w:rFonts w:ascii="宋体" w:hAnsi="宋体"/>
                <w:color w:val="auto"/>
                <w:szCs w:val="21"/>
              </w:rPr>
            </w:pPr>
            <w:r>
              <w:rPr>
                <w:rFonts w:hint="eastAsia" w:ascii="宋体" w:hAnsi="宋体"/>
                <w:color w:val="auto"/>
                <w:kern w:val="0"/>
                <w:szCs w:val="21"/>
              </w:rPr>
              <w:t>3</w:t>
            </w:r>
          </w:p>
        </w:tc>
        <w:tc>
          <w:tcPr>
            <w:tcW w:w="6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809B0B">
            <w:pPr>
              <w:jc w:val="center"/>
              <w:rPr>
                <w:rFonts w:ascii="宋体" w:hAnsi="宋体"/>
                <w:color w:val="auto"/>
                <w:szCs w:val="21"/>
              </w:rPr>
            </w:pP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44F07">
            <w:pPr>
              <w:widowControl/>
              <w:jc w:val="left"/>
              <w:textAlignment w:val="center"/>
              <w:rPr>
                <w:rFonts w:ascii="宋体" w:hAnsi="宋体"/>
                <w:color w:val="auto"/>
                <w:szCs w:val="21"/>
              </w:rPr>
            </w:pPr>
            <w:r>
              <w:rPr>
                <w:rFonts w:hint="eastAsia" w:ascii="宋体" w:hAnsi="宋体"/>
                <w:color w:val="auto"/>
                <w:kern w:val="0"/>
                <w:szCs w:val="21"/>
              </w:rPr>
              <w:t>卫星电话</w:t>
            </w:r>
          </w:p>
        </w:tc>
        <w:tc>
          <w:tcPr>
            <w:tcW w:w="5208" w:type="dxa"/>
            <w:tcBorders>
              <w:top w:val="nil"/>
              <w:left w:val="nil"/>
              <w:bottom w:val="single" w:color="000000" w:sz="8" w:space="0"/>
              <w:right w:val="single" w:color="000000" w:sz="8" w:space="0"/>
            </w:tcBorders>
            <w:shd w:val="clear" w:color="auto" w:fill="auto"/>
            <w:vAlign w:val="center"/>
          </w:tcPr>
          <w:p w14:paraId="6BE9FDCB">
            <w:pPr>
              <w:widowControl/>
              <w:jc w:val="left"/>
              <w:textAlignment w:val="center"/>
              <w:rPr>
                <w:rFonts w:ascii="宋体" w:hAnsi="宋体"/>
                <w:color w:val="auto"/>
                <w:kern w:val="0"/>
                <w:szCs w:val="21"/>
              </w:rPr>
            </w:pPr>
            <w:r>
              <w:rPr>
                <w:rFonts w:hint="eastAsia" w:ascii="宋体" w:hAnsi="宋体"/>
                <w:color w:val="auto"/>
                <w:kern w:val="0"/>
                <w:szCs w:val="21"/>
              </w:rPr>
              <w:t>1、本次采购的卫星手持终端机型，须与用户现有在用星通信底座完全兼容配套。</w:t>
            </w:r>
          </w:p>
          <w:p w14:paraId="2A72479B">
            <w:pPr>
              <w:widowControl/>
              <w:jc w:val="left"/>
              <w:textAlignment w:val="center"/>
              <w:rPr>
                <w:rFonts w:ascii="宋体" w:hAnsi="宋体"/>
                <w:color w:val="auto"/>
                <w:kern w:val="0"/>
                <w:szCs w:val="21"/>
              </w:rPr>
            </w:pPr>
            <w:r>
              <w:rPr>
                <w:rFonts w:hint="eastAsia" w:ascii="宋体" w:hAnsi="宋体"/>
                <w:color w:val="auto"/>
                <w:kern w:val="0"/>
                <w:szCs w:val="21"/>
              </w:rPr>
              <w:t>2、星功能：支持中国自主研发的天通卫星移动通信网络的话音、短信功能；</w:t>
            </w:r>
          </w:p>
          <w:p w14:paraId="18CE6ACB">
            <w:pPr>
              <w:widowControl/>
              <w:jc w:val="left"/>
              <w:textAlignment w:val="center"/>
              <w:rPr>
                <w:rFonts w:ascii="宋体" w:hAnsi="宋体"/>
                <w:color w:val="auto"/>
                <w:kern w:val="0"/>
                <w:szCs w:val="21"/>
              </w:rPr>
            </w:pPr>
            <w:r>
              <w:rPr>
                <w:rFonts w:hint="eastAsia" w:ascii="宋体" w:hAnsi="宋体"/>
                <w:color w:val="auto"/>
                <w:kern w:val="0"/>
                <w:szCs w:val="21"/>
              </w:rPr>
              <w:t>3、接收频段：2170～2200MHz；发射频段：1980～2010MHz；</w:t>
            </w:r>
          </w:p>
          <w:p w14:paraId="29EA052A">
            <w:pPr>
              <w:widowControl/>
              <w:jc w:val="left"/>
              <w:textAlignment w:val="center"/>
              <w:rPr>
                <w:rFonts w:ascii="宋体" w:hAnsi="宋体"/>
                <w:color w:val="auto"/>
                <w:kern w:val="0"/>
                <w:szCs w:val="21"/>
              </w:rPr>
            </w:pPr>
            <w:r>
              <w:rPr>
                <w:rFonts w:hint="eastAsia" w:ascii="宋体" w:hAnsi="宋体"/>
                <w:color w:val="auto"/>
                <w:kern w:val="0"/>
                <w:szCs w:val="21"/>
              </w:rPr>
              <w:t>4、语音：1.2kbps/2.4kbps/4kbps；</w:t>
            </w:r>
          </w:p>
          <w:p w14:paraId="4F7CBEC3">
            <w:pPr>
              <w:widowControl/>
              <w:jc w:val="left"/>
              <w:textAlignment w:val="center"/>
              <w:rPr>
                <w:rFonts w:ascii="宋体" w:hAnsi="宋体"/>
                <w:color w:val="auto"/>
                <w:kern w:val="0"/>
                <w:szCs w:val="21"/>
              </w:rPr>
            </w:pPr>
            <w:r>
              <w:rPr>
                <w:rFonts w:hint="eastAsia" w:ascii="宋体" w:hAnsi="宋体"/>
                <w:color w:val="auto"/>
                <w:kern w:val="0"/>
                <w:szCs w:val="21"/>
              </w:rPr>
              <w:t>5、短信：单条最大长度≥140字节；</w:t>
            </w:r>
            <w:r>
              <w:rPr>
                <w:rFonts w:ascii="宋体" w:hAnsi="宋体"/>
                <w:color w:val="auto"/>
                <w:kern w:val="0"/>
                <w:szCs w:val="21"/>
              </w:rPr>
              <w:t xml:space="preserve"> </w:t>
            </w:r>
          </w:p>
          <w:p w14:paraId="65A35530">
            <w:pPr>
              <w:widowControl/>
              <w:jc w:val="left"/>
              <w:textAlignment w:val="center"/>
              <w:rPr>
                <w:rFonts w:ascii="宋体" w:hAnsi="宋体"/>
                <w:color w:val="auto"/>
                <w:kern w:val="0"/>
                <w:szCs w:val="21"/>
              </w:rPr>
            </w:pPr>
            <w:r>
              <w:rPr>
                <w:rFonts w:hint="eastAsia" w:ascii="宋体" w:hAnsi="宋体"/>
                <w:color w:val="auto"/>
                <w:kern w:val="0"/>
                <w:szCs w:val="21"/>
              </w:rPr>
              <w:t>6、地面网功能：支持电信、移动、联通全网通频段，</w:t>
            </w:r>
          </w:p>
          <w:p w14:paraId="292DB5BA">
            <w:pPr>
              <w:widowControl/>
              <w:jc w:val="left"/>
              <w:textAlignment w:val="center"/>
              <w:rPr>
                <w:rFonts w:ascii="宋体" w:hAnsi="宋体"/>
                <w:color w:val="auto"/>
                <w:kern w:val="0"/>
                <w:szCs w:val="21"/>
              </w:rPr>
            </w:pPr>
            <w:r>
              <w:rPr>
                <w:rFonts w:hint="eastAsia" w:ascii="宋体" w:hAnsi="宋体"/>
                <w:color w:val="auto"/>
                <w:kern w:val="0"/>
                <w:szCs w:val="21"/>
              </w:rPr>
              <w:t>▲7、定位:支持定位功能（需提供第三方检测机构出具的检测证书并加盖制造商公章佐证）</w:t>
            </w:r>
          </w:p>
        </w:tc>
        <w:tc>
          <w:tcPr>
            <w:tcW w:w="70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3D5404">
            <w:pPr>
              <w:widowControl/>
              <w:jc w:val="center"/>
              <w:textAlignment w:val="center"/>
              <w:rPr>
                <w:rFonts w:ascii="宋体" w:hAnsi="宋体"/>
                <w:color w:val="auto"/>
                <w:szCs w:val="21"/>
              </w:rPr>
            </w:pPr>
            <w:r>
              <w:rPr>
                <w:rFonts w:hint="eastAsia" w:ascii="宋体" w:hAnsi="宋体"/>
                <w:color w:val="auto"/>
                <w:kern w:val="0"/>
                <w:szCs w:val="21"/>
              </w:rPr>
              <w:t>30</w:t>
            </w:r>
          </w:p>
        </w:tc>
        <w:tc>
          <w:tcPr>
            <w:tcW w:w="58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473BE">
            <w:pPr>
              <w:widowControl/>
              <w:jc w:val="center"/>
              <w:textAlignment w:val="center"/>
              <w:rPr>
                <w:rFonts w:ascii="宋体" w:hAnsi="宋体"/>
                <w:color w:val="auto"/>
                <w:szCs w:val="21"/>
              </w:rPr>
            </w:pPr>
            <w:r>
              <w:rPr>
                <w:rFonts w:hint="eastAsia" w:ascii="宋体" w:hAnsi="宋体"/>
                <w:color w:val="auto"/>
                <w:kern w:val="0"/>
                <w:szCs w:val="21"/>
              </w:rPr>
              <w:t>台</w:t>
            </w:r>
          </w:p>
        </w:tc>
      </w:tr>
      <w:tr w14:paraId="71722625">
        <w:tblPrEx>
          <w:tblCellMar>
            <w:top w:w="0" w:type="dxa"/>
            <w:left w:w="108" w:type="dxa"/>
            <w:bottom w:w="0" w:type="dxa"/>
            <w:right w:w="108" w:type="dxa"/>
          </w:tblCellMar>
        </w:tblPrEx>
        <w:trPr>
          <w:trHeight w:val="1675" w:hRule="atLeast"/>
        </w:trPr>
        <w:tc>
          <w:tcPr>
            <w:tcW w:w="607" w:type="dxa"/>
            <w:tcBorders>
              <w:top w:val="nil"/>
              <w:left w:val="single" w:color="000000" w:sz="8" w:space="0"/>
              <w:bottom w:val="single" w:color="000000" w:sz="8" w:space="0"/>
              <w:right w:val="single" w:color="000000" w:sz="8" w:space="0"/>
            </w:tcBorders>
            <w:shd w:val="clear" w:color="auto" w:fill="auto"/>
            <w:vAlign w:val="center"/>
          </w:tcPr>
          <w:p w14:paraId="0239478A">
            <w:pPr>
              <w:widowControl/>
              <w:jc w:val="center"/>
              <w:textAlignment w:val="center"/>
              <w:rPr>
                <w:rFonts w:ascii="宋体" w:hAnsi="宋体"/>
                <w:color w:val="auto"/>
                <w:szCs w:val="21"/>
              </w:rPr>
            </w:pPr>
            <w:r>
              <w:rPr>
                <w:rFonts w:hint="eastAsia" w:ascii="宋体" w:hAnsi="宋体"/>
                <w:color w:val="auto"/>
                <w:kern w:val="0"/>
                <w:szCs w:val="21"/>
              </w:rPr>
              <w:t>4</w:t>
            </w:r>
          </w:p>
        </w:tc>
        <w:tc>
          <w:tcPr>
            <w:tcW w:w="6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2E0D46">
            <w:pPr>
              <w:jc w:val="center"/>
              <w:rPr>
                <w:rFonts w:ascii="宋体" w:hAnsi="宋体"/>
                <w:color w:val="auto"/>
                <w:szCs w:val="21"/>
              </w:rPr>
            </w:pPr>
          </w:p>
        </w:tc>
        <w:tc>
          <w:tcPr>
            <w:tcW w:w="1056" w:type="dxa"/>
            <w:tcBorders>
              <w:top w:val="nil"/>
              <w:left w:val="nil"/>
              <w:bottom w:val="single" w:color="000000" w:sz="8" w:space="0"/>
              <w:right w:val="single" w:color="000000" w:sz="8" w:space="0"/>
            </w:tcBorders>
            <w:shd w:val="clear" w:color="auto" w:fill="auto"/>
            <w:vAlign w:val="center"/>
          </w:tcPr>
          <w:p w14:paraId="66E15021">
            <w:pPr>
              <w:widowControl/>
              <w:jc w:val="left"/>
              <w:textAlignment w:val="center"/>
              <w:rPr>
                <w:rFonts w:ascii="宋体" w:hAnsi="宋体"/>
                <w:color w:val="auto"/>
                <w:szCs w:val="21"/>
              </w:rPr>
            </w:pPr>
            <w:r>
              <w:rPr>
                <w:rFonts w:hint="eastAsia" w:ascii="宋体" w:hAnsi="宋体"/>
                <w:color w:val="auto"/>
                <w:kern w:val="0"/>
                <w:szCs w:val="21"/>
              </w:rPr>
              <w:t>卫星便携站</w:t>
            </w:r>
          </w:p>
        </w:tc>
        <w:tc>
          <w:tcPr>
            <w:tcW w:w="5208" w:type="dxa"/>
            <w:tcBorders>
              <w:top w:val="nil"/>
              <w:left w:val="nil"/>
              <w:bottom w:val="single" w:color="000000" w:sz="8" w:space="0"/>
              <w:right w:val="single" w:color="000000" w:sz="8" w:space="0"/>
            </w:tcBorders>
            <w:shd w:val="clear" w:color="auto" w:fill="auto"/>
            <w:vAlign w:val="center"/>
          </w:tcPr>
          <w:p w14:paraId="6D08BC11">
            <w:pPr>
              <w:widowControl/>
              <w:jc w:val="left"/>
              <w:textAlignment w:val="center"/>
              <w:rPr>
                <w:rFonts w:ascii="宋体" w:hAnsi="宋体"/>
                <w:color w:val="auto"/>
                <w:kern w:val="0"/>
                <w:szCs w:val="21"/>
              </w:rPr>
            </w:pPr>
            <w:r>
              <w:rPr>
                <w:rFonts w:hint="eastAsia" w:ascii="宋体" w:hAnsi="宋体"/>
                <w:color w:val="auto"/>
                <w:kern w:val="0"/>
                <w:szCs w:val="21"/>
              </w:rPr>
              <w:t>Ku波段高通量自动对星卫星，设备便携适合野外应急使用，一键开机可实现设备的快速部署。支持有线网口和无线WiFi连接，提供覆盖国土及周边的卫星互联网通信服务。</w:t>
            </w:r>
          </w:p>
        </w:tc>
        <w:tc>
          <w:tcPr>
            <w:tcW w:w="709" w:type="dxa"/>
            <w:tcBorders>
              <w:top w:val="nil"/>
              <w:left w:val="nil"/>
              <w:bottom w:val="single" w:color="000000" w:sz="8" w:space="0"/>
              <w:right w:val="single" w:color="000000" w:sz="8" w:space="0"/>
            </w:tcBorders>
            <w:shd w:val="clear" w:color="auto" w:fill="auto"/>
            <w:vAlign w:val="center"/>
          </w:tcPr>
          <w:p w14:paraId="473C6962">
            <w:pPr>
              <w:widowControl/>
              <w:jc w:val="center"/>
              <w:textAlignment w:val="center"/>
              <w:rPr>
                <w:rFonts w:ascii="Times New Roman" w:hAnsi="Times New Roman" w:cs="Times New Roman"/>
                <w:color w:val="auto"/>
                <w:szCs w:val="21"/>
              </w:rPr>
            </w:pPr>
            <w:r>
              <w:rPr>
                <w:rFonts w:ascii="Times New Roman" w:hAnsi="Times New Roman" w:cs="Times New Roman"/>
                <w:color w:val="auto"/>
                <w:kern w:val="0"/>
                <w:szCs w:val="21"/>
              </w:rPr>
              <w:t>1</w:t>
            </w:r>
          </w:p>
        </w:tc>
        <w:tc>
          <w:tcPr>
            <w:tcW w:w="586" w:type="dxa"/>
            <w:tcBorders>
              <w:top w:val="nil"/>
              <w:left w:val="nil"/>
              <w:bottom w:val="single" w:color="000000" w:sz="8" w:space="0"/>
              <w:right w:val="single" w:color="000000" w:sz="8" w:space="0"/>
            </w:tcBorders>
            <w:shd w:val="clear" w:color="auto" w:fill="auto"/>
            <w:vAlign w:val="center"/>
          </w:tcPr>
          <w:p w14:paraId="02EFC991">
            <w:pPr>
              <w:widowControl/>
              <w:jc w:val="center"/>
              <w:textAlignment w:val="center"/>
              <w:rPr>
                <w:rFonts w:ascii="宋体" w:hAnsi="宋体"/>
                <w:color w:val="auto"/>
                <w:szCs w:val="21"/>
              </w:rPr>
            </w:pPr>
            <w:r>
              <w:rPr>
                <w:rFonts w:hint="eastAsia" w:ascii="宋体" w:hAnsi="宋体"/>
                <w:color w:val="auto"/>
                <w:kern w:val="0"/>
                <w:szCs w:val="21"/>
              </w:rPr>
              <w:t>台</w:t>
            </w:r>
          </w:p>
        </w:tc>
      </w:tr>
    </w:tbl>
    <w:p w14:paraId="0CDFE359">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FC0891"/>
    <w:multiLevelType w:val="multilevel"/>
    <w:tmpl w:val="96FC0891"/>
    <w:lvl w:ilvl="0" w:tentative="0">
      <w:start w:val="1"/>
      <w:numFmt w:val="chineseCounting"/>
      <w:suff w:val="nothing"/>
      <w:lvlText w:val="%1、"/>
      <w:lvlJc w:val="left"/>
      <w:pPr>
        <w:tabs>
          <w:tab w:val="left" w:pos="420"/>
        </w:tabs>
        <w:ind w:left="425" w:hanging="425"/>
      </w:pPr>
      <w:rPr>
        <w:rFonts w:hint="eastAsia"/>
      </w:rPr>
    </w:lvl>
    <w:lvl w:ilvl="1" w:tentative="0">
      <w:start w:val="1"/>
      <w:numFmt w:val="decimal"/>
      <w:pStyle w:val="2"/>
      <w:isLgl/>
      <w:lvlText w:val="%1.%2."/>
      <w:lvlJc w:val="left"/>
      <w:pPr>
        <w:tabs>
          <w:tab w:val="left" w:pos="420"/>
        </w:tabs>
        <w:ind w:left="567" w:hanging="567"/>
      </w:pPr>
      <w:rPr>
        <w:rFonts w:hint="default" w:ascii="宋体" w:hAnsi="宋体" w:eastAsia="宋体" w:cs="宋体"/>
      </w:rPr>
    </w:lvl>
    <w:lvl w:ilvl="2" w:tentative="0">
      <w:start w:val="1"/>
      <w:numFmt w:val="decimal"/>
      <w:isLgl/>
      <w:lvlText w:val="%1.%2.%3."/>
      <w:lvlJc w:val="left"/>
      <w:pPr>
        <w:ind w:left="709" w:hanging="709"/>
      </w:pPr>
      <w:rPr>
        <w:rFonts w:hint="eastAsia"/>
      </w:rPr>
    </w:lvl>
    <w:lvl w:ilvl="3" w:tentative="0">
      <w:start w:val="1"/>
      <w:numFmt w:val="decimal"/>
      <w:isLgl/>
      <w:lvlText w:val="%1.%2.%3.%4."/>
      <w:lvlJc w:val="left"/>
      <w:pPr>
        <w:ind w:left="850" w:hanging="850"/>
      </w:pPr>
      <w:rPr>
        <w:rFonts w:hint="eastAsia"/>
      </w:rPr>
    </w:lvl>
    <w:lvl w:ilvl="4" w:tentative="0">
      <w:start w:val="1"/>
      <w:numFmt w:val="decimal"/>
      <w:isLgl/>
      <w:lvlText w:val="%1.%2.%3.%4.%5."/>
      <w:lvlJc w:val="left"/>
      <w:pPr>
        <w:ind w:left="991" w:hanging="991"/>
      </w:pPr>
      <w:rPr>
        <w:rFonts w:hint="eastAsia"/>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F5"/>
    <w:rsid w:val="00081A2E"/>
    <w:rsid w:val="000D7CF4"/>
    <w:rsid w:val="001D2FF5"/>
    <w:rsid w:val="00203B57"/>
    <w:rsid w:val="00294680"/>
    <w:rsid w:val="00330E3A"/>
    <w:rsid w:val="00505B39"/>
    <w:rsid w:val="00600EDF"/>
    <w:rsid w:val="00641C0C"/>
    <w:rsid w:val="00663823"/>
    <w:rsid w:val="0067125C"/>
    <w:rsid w:val="00757DCD"/>
    <w:rsid w:val="00772358"/>
    <w:rsid w:val="008A73A5"/>
    <w:rsid w:val="009B79A6"/>
    <w:rsid w:val="00A40480"/>
    <w:rsid w:val="00B42B2F"/>
    <w:rsid w:val="00DB573C"/>
    <w:rsid w:val="00F53818"/>
    <w:rsid w:val="02167999"/>
    <w:rsid w:val="084762C4"/>
    <w:rsid w:val="0B01494F"/>
    <w:rsid w:val="0F7C2CF7"/>
    <w:rsid w:val="1226519C"/>
    <w:rsid w:val="14A01236"/>
    <w:rsid w:val="15510782"/>
    <w:rsid w:val="1B3C2D08"/>
    <w:rsid w:val="1F595181"/>
    <w:rsid w:val="27764078"/>
    <w:rsid w:val="330D3AE3"/>
    <w:rsid w:val="33971C7E"/>
    <w:rsid w:val="36B92FC1"/>
    <w:rsid w:val="44BA3E54"/>
    <w:rsid w:val="46874712"/>
    <w:rsid w:val="478B3A39"/>
    <w:rsid w:val="4CA208F9"/>
    <w:rsid w:val="4EF37518"/>
    <w:rsid w:val="53653760"/>
    <w:rsid w:val="56BB6265"/>
    <w:rsid w:val="591A2206"/>
    <w:rsid w:val="5F5E370B"/>
    <w:rsid w:val="6738750A"/>
    <w:rsid w:val="67BE6615"/>
    <w:rsid w:val="69976DB9"/>
    <w:rsid w:val="6F4D1967"/>
    <w:rsid w:val="6FE75028"/>
    <w:rsid w:val="730A69B0"/>
    <w:rsid w:val="74AE7F7A"/>
    <w:rsid w:val="74C015BB"/>
    <w:rsid w:val="750841CF"/>
    <w:rsid w:val="79DF0BD6"/>
    <w:rsid w:val="7AA43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qFormat/>
    <w:uiPriority w:val="0"/>
    <w:pPr>
      <w:keepNext/>
      <w:keepLines/>
      <w:numPr>
        <w:ilvl w:val="1"/>
        <w:numId w:val="1"/>
      </w:numPr>
      <w:ind w:firstLine="0" w:firstLineChars="0"/>
      <w:jc w:val="left"/>
      <w:outlineLvl w:val="1"/>
    </w:pPr>
    <w:rPr>
      <w:rFonts w:ascii="Arial" w:hAnsi="Arial"/>
      <w:b/>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0"/>
    <w:qFormat/>
    <w:uiPriority w:val="0"/>
    <w:pPr>
      <w:jc w:val="left"/>
    </w:pPr>
  </w:style>
  <w:style w:type="paragraph" w:styleId="4">
    <w:name w:val="Balloon Text"/>
    <w:basedOn w:val="1"/>
    <w:link w:val="9"/>
    <w:qFormat/>
    <w:uiPriority w:val="0"/>
    <w:rPr>
      <w:sz w:val="18"/>
      <w:szCs w:val="18"/>
    </w:rPr>
  </w:style>
  <w:style w:type="paragraph" w:styleId="5">
    <w:name w:val="annotation subject"/>
    <w:basedOn w:val="3"/>
    <w:next w:val="3"/>
    <w:link w:val="11"/>
    <w:qFormat/>
    <w:uiPriority w:val="0"/>
    <w:rPr>
      <w:b/>
      <w:bCs/>
    </w:rPr>
  </w:style>
  <w:style w:type="character" w:styleId="8">
    <w:name w:val="annotation reference"/>
    <w:basedOn w:val="7"/>
    <w:qFormat/>
    <w:uiPriority w:val="0"/>
    <w:rPr>
      <w:sz w:val="21"/>
      <w:szCs w:val="21"/>
    </w:rPr>
  </w:style>
  <w:style w:type="character" w:customStyle="1" w:styleId="9">
    <w:name w:val="批注框文本 字符"/>
    <w:basedOn w:val="7"/>
    <w:link w:val="4"/>
    <w:qFormat/>
    <w:uiPriority w:val="0"/>
    <w:rPr>
      <w:rFonts w:ascii="Calibri" w:hAnsi="Calibri" w:eastAsia="宋体" w:cs="宋体"/>
      <w:kern w:val="2"/>
      <w:sz w:val="18"/>
      <w:szCs w:val="18"/>
    </w:rPr>
  </w:style>
  <w:style w:type="character" w:customStyle="1" w:styleId="10">
    <w:name w:val="批注文字 字符"/>
    <w:basedOn w:val="7"/>
    <w:link w:val="3"/>
    <w:qFormat/>
    <w:uiPriority w:val="0"/>
    <w:rPr>
      <w:rFonts w:ascii="Calibri" w:hAnsi="Calibri" w:eastAsia="宋体" w:cs="宋体"/>
      <w:kern w:val="2"/>
      <w:sz w:val="21"/>
      <w:szCs w:val="24"/>
    </w:rPr>
  </w:style>
  <w:style w:type="character" w:customStyle="1" w:styleId="11">
    <w:name w:val="批注主题 字符"/>
    <w:basedOn w:val="10"/>
    <w:link w:val="5"/>
    <w:qFormat/>
    <w:uiPriority w:val="0"/>
    <w:rPr>
      <w:rFonts w:ascii="Calibri" w:hAnsi="Calibri" w:eastAsia="宋体" w:cs="宋体"/>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094D4-4442-4862-9F0D-0EA0D5FB4F34}">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13190</Words>
  <Characters>15520</Characters>
  <Lines>112</Lines>
  <Paragraphs>31</Paragraphs>
  <TotalTime>2</TotalTime>
  <ScaleCrop>false</ScaleCrop>
  <LinksUpToDate>false</LinksUpToDate>
  <CharactersWithSpaces>15703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2026-07-30T08:58:00Z</dcterms:created>
  <dc:creator>Administrator</dc:creator>
  <cp:lastModifiedBy>清风</cp:lastModifiedBy>
  <dcterms:modified xsi:type="dcterms:W3CDTF">2026-08-10T08:27:51Z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eyJoZGlkIjoiY2NiMTlmMDE4MzRlNzY5NjBlMzJiM2I3MmNhMzZmZGUiLCJ1c2VySWQiOiIxMTgzNTQ3MjYxIn0=</vt:lpwstr>
  </property>
  <property fmtid="{D5CDD505-2E9C-101B-9397-08002B2CF9AE}" pid="4" name="ICV">
    <vt:lpwstr>24A752E11D97427F843AF14233647D2B_13</vt:lpwstr>
  </property>
</Properties>
</file>