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34D2A">
      <w:pPr>
        <w:ind w:firstLine="3855" w:firstLineChars="1200"/>
        <w:rPr>
          <w:rFonts w:hint="eastAsia" w:ascii="宋体" w:hAnsi="宋体" w:eastAsia="宋体" w:cs="宋体"/>
          <w:b/>
          <w:bCs/>
          <w:i w:val="0"/>
          <w:iCs w:val="0"/>
          <w:color w:val="000000"/>
          <w:kern w:val="0"/>
          <w:sz w:val="32"/>
          <w:szCs w:val="32"/>
          <w:u w:val="none"/>
          <w:lang w:val="en-US" w:eastAsia="zh-CN"/>
        </w:rPr>
      </w:pPr>
      <w:r>
        <w:rPr>
          <w:rFonts w:hint="eastAsia" w:ascii="宋体" w:hAnsi="宋体" w:cs="宋体"/>
          <w:b/>
          <w:bCs/>
          <w:i w:val="0"/>
          <w:iCs w:val="0"/>
          <w:color w:val="000000"/>
          <w:kern w:val="0"/>
          <w:sz w:val="32"/>
          <w:szCs w:val="32"/>
          <w:u w:val="none"/>
          <w:lang w:val="en-US" w:eastAsia="zh-CN"/>
        </w:rPr>
        <w:t>包3</w:t>
      </w:r>
      <w:r>
        <w:rPr>
          <w:rFonts w:hint="eastAsia" w:ascii="宋体" w:hAnsi="宋体" w:eastAsia="宋体" w:cs="宋体"/>
          <w:b/>
          <w:bCs/>
          <w:i w:val="0"/>
          <w:iCs w:val="0"/>
          <w:color w:val="000000"/>
          <w:kern w:val="0"/>
          <w:sz w:val="32"/>
          <w:szCs w:val="32"/>
          <w:u w:val="none"/>
          <w:lang w:val="en-US" w:eastAsia="zh-CN"/>
        </w:rPr>
        <w:t>技术参数</w:t>
      </w:r>
      <w:bookmarkStart w:id="0" w:name="_GoBack"/>
      <w:bookmarkEnd w:id="0"/>
    </w:p>
    <w:tbl>
      <w:tblPr>
        <w:tblStyle w:val="3"/>
        <w:tblW w:w="103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2"/>
        <w:gridCol w:w="49"/>
        <w:gridCol w:w="664"/>
        <w:gridCol w:w="26"/>
        <w:gridCol w:w="1320"/>
        <w:gridCol w:w="13"/>
        <w:gridCol w:w="5959"/>
        <w:gridCol w:w="963"/>
        <w:gridCol w:w="963"/>
      </w:tblGrid>
      <w:tr w14:paraId="2CA2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4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07B2ED">
            <w:pPr>
              <w:autoSpaceDE w:val="0"/>
              <w:autoSpaceDN w:val="0"/>
              <w:adjustRightInd w:val="0"/>
              <w:jc w:val="center"/>
              <w:textAlignment w:val="center"/>
              <w:rPr>
                <w:rFonts w:hint="eastAsia" w:ascii="宋体" w:hAnsi="宋体" w:eastAsia="宋体" w:cs="宋体"/>
                <w:b/>
                <w:bCs/>
                <w:i w:val="0"/>
                <w:iCs w:val="0"/>
                <w:color w:val="000000"/>
                <w:kern w:val="0"/>
                <w:sz w:val="28"/>
                <w:szCs w:val="28"/>
                <w:u w:val="none"/>
                <w:lang w:val="en-US" w:eastAsia="zh-CN"/>
              </w:rPr>
            </w:pPr>
            <w:r>
              <w:rPr>
                <w:rFonts w:hint="eastAsia" w:asciiTheme="minorEastAsia" w:hAnsiTheme="minorEastAsia" w:eastAsiaTheme="minorEastAsia"/>
                <w:b/>
                <w:bCs/>
                <w:color w:val="000000"/>
                <w:kern w:val="0"/>
                <w:sz w:val="18"/>
                <w:szCs w:val="18"/>
              </w:rPr>
              <w:t>序号</w:t>
            </w:r>
          </w:p>
        </w:tc>
        <w:tc>
          <w:tcPr>
            <w:tcW w:w="6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695AF3">
            <w:pPr>
              <w:widowControl/>
              <w:jc w:val="center"/>
              <w:textAlignment w:val="center"/>
              <w:rPr>
                <w:rFonts w:hint="eastAsia" w:ascii="宋体" w:hAnsi="宋体" w:eastAsia="宋体" w:cs="宋体"/>
                <w:b/>
                <w:bCs/>
                <w:i w:val="0"/>
                <w:iCs w:val="0"/>
                <w:color w:val="auto"/>
                <w:kern w:val="0"/>
                <w:sz w:val="28"/>
                <w:szCs w:val="28"/>
                <w:u w:val="none"/>
                <w:lang w:val="en-US" w:eastAsia="zh-CN"/>
              </w:rPr>
            </w:pPr>
            <w:r>
              <w:rPr>
                <w:rFonts w:hint="eastAsia" w:asciiTheme="minorEastAsia" w:hAnsiTheme="minorEastAsia" w:eastAsiaTheme="minorEastAsia"/>
                <w:b/>
                <w:bCs/>
                <w:color w:val="auto"/>
                <w:kern w:val="0"/>
                <w:sz w:val="18"/>
                <w:szCs w:val="18"/>
              </w:rPr>
              <w:t>模块</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14:paraId="5A447D6B">
            <w:pPr>
              <w:widowControl/>
              <w:jc w:val="center"/>
              <w:textAlignment w:val="center"/>
              <w:rPr>
                <w:rFonts w:hint="eastAsia" w:ascii="宋体" w:hAnsi="宋体" w:eastAsia="宋体" w:cs="宋体"/>
                <w:b/>
                <w:bCs/>
                <w:i w:val="0"/>
                <w:iCs w:val="0"/>
                <w:color w:val="auto"/>
                <w:kern w:val="0"/>
                <w:sz w:val="28"/>
                <w:szCs w:val="28"/>
                <w:u w:val="none"/>
                <w:lang w:val="en-US" w:eastAsia="zh-CN"/>
              </w:rPr>
            </w:pPr>
            <w:r>
              <w:rPr>
                <w:rStyle w:val="5"/>
                <w:rFonts w:hint="default" w:asciiTheme="minorEastAsia" w:hAnsiTheme="minorEastAsia" w:eastAsiaTheme="minorEastAsia"/>
                <w:color w:val="auto"/>
                <w:sz w:val="18"/>
                <w:szCs w:val="18"/>
              </w:rPr>
              <w:t>设备</w:t>
            </w:r>
            <w:r>
              <w:rPr>
                <w:rStyle w:val="6"/>
                <w:rFonts w:hint="eastAsia" w:asciiTheme="minorEastAsia" w:hAnsiTheme="minorEastAsia" w:eastAsiaTheme="minorEastAsia"/>
                <w:color w:val="auto"/>
                <w:sz w:val="18"/>
                <w:szCs w:val="18"/>
                <w:lang w:val="en-US" w:eastAsia="zh-CN"/>
              </w:rPr>
              <w:t>名称</w:t>
            </w:r>
          </w:p>
        </w:tc>
        <w:tc>
          <w:tcPr>
            <w:tcW w:w="59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C27E61">
            <w:pPr>
              <w:widowControl/>
              <w:jc w:val="center"/>
              <w:textAlignment w:val="center"/>
              <w:rPr>
                <w:rFonts w:hint="eastAsia" w:ascii="宋体" w:hAnsi="宋体" w:eastAsia="宋体" w:cs="宋体"/>
                <w:b/>
                <w:bCs/>
                <w:i w:val="0"/>
                <w:iCs w:val="0"/>
                <w:color w:val="auto"/>
                <w:kern w:val="0"/>
                <w:sz w:val="28"/>
                <w:szCs w:val="28"/>
                <w:u w:val="none"/>
                <w:lang w:val="en-US" w:eastAsia="zh-CN"/>
              </w:rPr>
            </w:pPr>
            <w:r>
              <w:rPr>
                <w:rFonts w:hint="eastAsia" w:asciiTheme="minorEastAsia" w:hAnsiTheme="minorEastAsia" w:eastAsiaTheme="minorEastAsia"/>
                <w:b/>
                <w:bCs/>
                <w:color w:val="auto"/>
                <w:kern w:val="0"/>
                <w:sz w:val="18"/>
                <w:szCs w:val="18"/>
                <w:lang w:val="en-US" w:eastAsia="zh-CN"/>
              </w:rPr>
              <w:t>技术参数</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391E696D">
            <w:pPr>
              <w:widowControl/>
              <w:jc w:val="center"/>
              <w:textAlignment w:val="center"/>
              <w:rPr>
                <w:rFonts w:hint="eastAsia" w:ascii="宋体" w:hAnsi="宋体" w:eastAsia="宋体" w:cs="宋体"/>
                <w:b/>
                <w:bCs/>
                <w:i w:val="0"/>
                <w:iCs w:val="0"/>
                <w:color w:val="auto"/>
                <w:kern w:val="0"/>
                <w:sz w:val="28"/>
                <w:szCs w:val="28"/>
                <w:u w:val="none"/>
                <w:lang w:val="en-US" w:eastAsia="zh-CN"/>
              </w:rPr>
            </w:pPr>
            <w:r>
              <w:rPr>
                <w:rFonts w:hint="eastAsia" w:asciiTheme="minorEastAsia" w:hAnsiTheme="minorEastAsia" w:eastAsiaTheme="minorEastAsia"/>
                <w:b/>
                <w:bCs/>
                <w:color w:val="auto"/>
                <w:kern w:val="0"/>
                <w:sz w:val="18"/>
                <w:szCs w:val="18"/>
              </w:rPr>
              <w:t>数量</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495AB235">
            <w:pPr>
              <w:widowControl/>
              <w:jc w:val="center"/>
              <w:textAlignment w:val="center"/>
              <w:rPr>
                <w:rFonts w:hint="eastAsia" w:ascii="宋体" w:hAnsi="宋体" w:eastAsia="宋体" w:cs="宋体"/>
                <w:b/>
                <w:bCs/>
                <w:i w:val="0"/>
                <w:iCs w:val="0"/>
                <w:color w:val="auto"/>
                <w:kern w:val="0"/>
                <w:sz w:val="28"/>
                <w:szCs w:val="28"/>
                <w:u w:val="none"/>
                <w:lang w:val="en-US" w:eastAsia="zh-CN"/>
              </w:rPr>
            </w:pPr>
            <w:r>
              <w:rPr>
                <w:rFonts w:hint="eastAsia" w:asciiTheme="minorEastAsia" w:hAnsiTheme="minorEastAsia" w:eastAsiaTheme="minorEastAsia"/>
                <w:b/>
                <w:bCs/>
                <w:color w:val="auto"/>
                <w:kern w:val="0"/>
                <w:sz w:val="18"/>
                <w:szCs w:val="18"/>
              </w:rPr>
              <w:t>单位</w:t>
            </w:r>
          </w:p>
        </w:tc>
      </w:tr>
      <w:tr w14:paraId="471D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10379"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3773E31">
            <w:pPr>
              <w:keepNext w:val="0"/>
              <w:keepLines w:val="0"/>
              <w:widowControl/>
              <w:suppressLineNumbers w:val="0"/>
              <w:jc w:val="both"/>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rPr>
              <w:t>提升普查数据更新及成果应用能力</w:t>
            </w:r>
          </w:p>
        </w:tc>
      </w:tr>
      <w:tr w14:paraId="5D21D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92"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077D302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1</w:t>
            </w:r>
          </w:p>
        </w:tc>
        <w:tc>
          <w:tcPr>
            <w:tcW w:w="7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B6D16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数据采集和汇聚处理能力</w:t>
            </w: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66E83D">
            <w:pPr>
              <w:keepNext w:val="0"/>
              <w:keepLines w:val="0"/>
              <w:widowControl/>
              <w:suppressLineNumbers w:val="0"/>
              <w:ind w:firstLine="210" w:firstLineChars="100"/>
              <w:jc w:val="both"/>
              <w:textAlignment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 xml:space="preserve"> </w:t>
            </w:r>
          </w:p>
          <w:p w14:paraId="29699F0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高性能工作站</w:t>
            </w:r>
            <w:r>
              <w:rPr>
                <w:rFonts w:hint="eastAsia" w:ascii="宋体" w:hAnsi="宋体" w:cs="宋体"/>
                <w:i w:val="0"/>
                <w:iCs w:val="0"/>
                <w:color w:val="auto"/>
                <w:kern w:val="0"/>
                <w:sz w:val="21"/>
                <w:szCs w:val="21"/>
                <w:u w:val="none"/>
                <w:lang w:val="en-US" w:eastAsia="zh-CN"/>
              </w:rPr>
              <w:t>（</w:t>
            </w:r>
            <w:r>
              <w:rPr>
                <w:rFonts w:hint="eastAsia" w:ascii="宋体" w:hAnsi="宋体" w:cs="宋体"/>
                <w:b/>
                <w:bCs/>
                <w:i w:val="0"/>
                <w:iCs w:val="0"/>
                <w:color w:val="auto"/>
                <w:kern w:val="0"/>
                <w:sz w:val="21"/>
                <w:szCs w:val="21"/>
                <w:u w:val="none"/>
                <w:lang w:val="en-US" w:eastAsia="zh-CN"/>
              </w:rPr>
              <w:t>核心产品）</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28CE2961">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国产信创台式整机，整机纳入国家信创产品目录并提供有效信创资质证明；搭载</w:t>
            </w:r>
            <w:r>
              <w:rPr>
                <w:rFonts w:hint="eastAsia" w:ascii="宋体" w:hAnsi="宋体" w:cs="宋体"/>
                <w:i w:val="0"/>
                <w:iCs w:val="0"/>
                <w:color w:val="auto"/>
                <w:kern w:val="0"/>
                <w:sz w:val="21"/>
                <w:szCs w:val="21"/>
                <w:u w:val="none"/>
                <w:lang w:val="en-US" w:eastAsia="zh-CN"/>
              </w:rPr>
              <w:t>12核以上</w:t>
            </w:r>
            <w:r>
              <w:rPr>
                <w:rFonts w:hint="eastAsia" w:ascii="宋体" w:hAnsi="宋体" w:eastAsia="宋体" w:cs="宋体"/>
                <w:i w:val="0"/>
                <w:iCs w:val="0"/>
                <w:color w:val="auto"/>
                <w:kern w:val="0"/>
                <w:sz w:val="21"/>
                <w:szCs w:val="21"/>
                <w:u w:val="none"/>
                <w:lang w:val="en-US" w:eastAsia="zh-CN"/>
              </w:rPr>
              <w:t>X86 架构处理器</w:t>
            </w:r>
            <w:r>
              <w:rPr>
                <w:rFonts w:hint="eastAsia" w:ascii="宋体" w:hAnsi="宋体" w:cs="宋体"/>
                <w:i w:val="0"/>
                <w:iCs w:val="0"/>
                <w:color w:val="auto"/>
                <w:kern w:val="0"/>
                <w:sz w:val="21"/>
                <w:szCs w:val="21"/>
                <w:u w:val="none"/>
                <w:lang w:val="en-US" w:eastAsia="zh-CN"/>
              </w:rPr>
              <w:t>或ARM架构处理器，</w:t>
            </w:r>
            <w:r>
              <w:rPr>
                <w:rFonts w:hint="eastAsia" w:ascii="宋体" w:hAnsi="宋体" w:eastAsia="宋体" w:cs="宋体"/>
                <w:i w:val="0"/>
                <w:iCs w:val="0"/>
                <w:color w:val="auto"/>
                <w:kern w:val="0"/>
                <w:sz w:val="21"/>
                <w:szCs w:val="21"/>
                <w:u w:val="none"/>
                <w:lang w:val="en-US" w:eastAsia="zh-CN"/>
              </w:rPr>
              <w:t>最高主频≥3.0GHz，支持超线程技术；</w:t>
            </w:r>
            <w:r>
              <w:rPr>
                <w:rFonts w:hint="eastAsia" w:ascii="宋体" w:hAnsi="宋体" w:cs="宋体"/>
                <w:i w:val="0"/>
                <w:iCs w:val="0"/>
                <w:color w:val="auto"/>
                <w:kern w:val="0"/>
                <w:sz w:val="21"/>
                <w:szCs w:val="21"/>
                <w:u w:val="none"/>
                <w:lang w:val="en-US" w:eastAsia="zh-CN"/>
              </w:rPr>
              <w:t>整机纳入最新期国家信创产品目录，</w:t>
            </w:r>
            <w:r>
              <w:rPr>
                <w:rFonts w:hint="eastAsia" w:ascii="宋体" w:hAnsi="宋体" w:eastAsia="宋体" w:cs="宋体"/>
                <w:i w:val="0"/>
                <w:iCs w:val="0"/>
                <w:color w:val="auto"/>
                <w:kern w:val="0"/>
                <w:sz w:val="21"/>
                <w:szCs w:val="21"/>
                <w:u w:val="none"/>
                <w:lang w:val="en-US" w:eastAsia="zh-CN"/>
              </w:rPr>
              <w:t>兼容麒麟、统信、方德、凝思等主流国产桌面操作系统。配套专用塔式机箱主板不少于 4 根 DDR4 内存插槽，整机最大内存支持容量不低于 256GB；主板配置不少于 1 个 M.2 固态硬盘高速接口，搭配不少于 2 个 3.5 寸硬盘仓位 + 1 个 2.5 寸硬盘仓位；具备 4 条 PCIe 多规格扩展插槽，</w:t>
            </w:r>
            <w:r>
              <w:rPr>
                <w:rFonts w:hint="eastAsia" w:ascii="宋体" w:hAnsi="宋体" w:cs="宋体"/>
                <w:i w:val="0"/>
                <w:iCs w:val="0"/>
                <w:color w:val="auto"/>
                <w:kern w:val="0"/>
                <w:sz w:val="21"/>
                <w:szCs w:val="21"/>
                <w:u w:val="none"/>
                <w:lang w:val="en-US" w:eastAsia="zh-CN"/>
              </w:rPr>
              <w:t>具备</w:t>
            </w:r>
            <w:r>
              <w:rPr>
                <w:rFonts w:hint="eastAsia" w:ascii="宋体" w:hAnsi="宋体" w:eastAsia="宋体" w:cs="宋体"/>
                <w:i w:val="0"/>
                <w:iCs w:val="0"/>
                <w:color w:val="auto"/>
                <w:kern w:val="0"/>
                <w:sz w:val="21"/>
                <w:szCs w:val="21"/>
                <w:u w:val="none"/>
                <w:lang w:val="en-US" w:eastAsia="zh-CN"/>
              </w:rPr>
              <w:t>各类拓展硬件加装；内存配置不低于 32GB DDR4 原厂配套内存，具备原厂扩容升级；存储配置配备 1 块≥512GB NVMe M.2 高速固态硬盘作为系统盘，搭配 1 块≥1TB 机械硬盘用于数据存储；容量≥2GB 国产独立图形显；整套设备包含主机</w:t>
            </w:r>
            <w:r>
              <w:rPr>
                <w:rFonts w:hint="eastAsia" w:ascii="宋体" w:hAnsi="宋体" w:cs="宋体"/>
                <w:i w:val="0"/>
                <w:iCs w:val="0"/>
                <w:color w:val="auto"/>
                <w:kern w:val="0"/>
                <w:sz w:val="21"/>
                <w:szCs w:val="21"/>
                <w:u w:val="none"/>
                <w:lang w:val="en-US" w:eastAsia="zh-CN"/>
              </w:rPr>
              <w:t>、键盘鼠标</w:t>
            </w:r>
            <w:r>
              <w:rPr>
                <w:rFonts w:hint="eastAsia" w:ascii="宋体" w:hAnsi="宋体" w:eastAsia="宋体" w:cs="宋体"/>
                <w:i w:val="0"/>
                <w:iCs w:val="0"/>
                <w:color w:val="auto"/>
                <w:kern w:val="0"/>
                <w:sz w:val="21"/>
                <w:szCs w:val="21"/>
                <w:u w:val="none"/>
                <w:lang w:val="en-US" w:eastAsia="zh-CN"/>
              </w:rPr>
              <w:t>及</w:t>
            </w:r>
            <w:r>
              <w:rPr>
                <w:rFonts w:hint="eastAsia" w:ascii="宋体" w:hAnsi="宋体" w:cs="宋体"/>
                <w:i w:val="0"/>
                <w:iCs w:val="0"/>
                <w:color w:val="auto"/>
                <w:kern w:val="0"/>
                <w:sz w:val="21"/>
                <w:szCs w:val="21"/>
                <w:u w:val="none"/>
                <w:lang w:val="en-US" w:eastAsia="zh-CN"/>
              </w:rPr>
              <w:t>24寸</w:t>
            </w:r>
            <w:r>
              <w:rPr>
                <w:rFonts w:hint="eastAsia" w:ascii="宋体" w:hAnsi="宋体" w:eastAsia="宋体" w:cs="宋体"/>
                <w:i w:val="0"/>
                <w:iCs w:val="0"/>
                <w:color w:val="auto"/>
                <w:kern w:val="0"/>
                <w:sz w:val="21"/>
                <w:szCs w:val="21"/>
                <w:u w:val="none"/>
                <w:lang w:val="en-US" w:eastAsia="zh-CN"/>
              </w:rPr>
              <w:t>液晶显示器</w:t>
            </w:r>
            <w:r>
              <w:rPr>
                <w:rFonts w:hint="eastAsia" w:ascii="宋体" w:hAnsi="宋体" w:cs="宋体"/>
                <w:i w:val="0"/>
                <w:iCs w:val="0"/>
                <w:color w:val="auto"/>
                <w:kern w:val="0"/>
                <w:sz w:val="21"/>
                <w:szCs w:val="21"/>
                <w:u w:val="none"/>
                <w:lang w:val="en-US" w:eastAsia="zh-CN"/>
              </w:rPr>
              <w:t>。</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A43CF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6</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BF916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台</w:t>
            </w:r>
          </w:p>
        </w:tc>
      </w:tr>
      <w:tr w14:paraId="01C18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6"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0531D6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F51356">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D0A09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移动采集终端</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6E676774">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i w:val="0"/>
                <w:iCs w:val="0"/>
                <w:color w:val="auto"/>
                <w:kern w:val="0"/>
                <w:sz w:val="21"/>
                <w:szCs w:val="21"/>
                <w:u w:val="none"/>
                <w:lang w:val="en-US" w:eastAsia="zh-CN"/>
              </w:rPr>
              <w:t>1.</w:t>
            </w:r>
            <w:r>
              <w:rPr>
                <w:rFonts w:hint="eastAsia" w:ascii="宋体" w:hAnsi="宋体" w:eastAsia="宋体" w:cs="宋体"/>
                <w:i w:val="0"/>
                <w:iCs w:val="0"/>
                <w:color w:val="auto"/>
                <w:kern w:val="0"/>
                <w:sz w:val="21"/>
                <w:szCs w:val="21"/>
                <w:u w:val="none"/>
                <w:lang w:val="en-US" w:eastAsia="zh-CN"/>
              </w:rPr>
              <w:t>处理器：满足多任务处理与轻量创作性能需求；</w:t>
            </w:r>
          </w:p>
          <w:p w14:paraId="6DF8B5AF">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运行内存：≥8GB；存储容量：≥128GB；</w:t>
            </w:r>
          </w:p>
          <w:p w14:paraId="42492FC2">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i w:val="0"/>
                <w:iCs w:val="0"/>
                <w:color w:val="auto"/>
                <w:kern w:val="0"/>
                <w:sz w:val="21"/>
                <w:szCs w:val="21"/>
                <w:u w:val="none"/>
                <w:lang w:val="en-US" w:eastAsia="zh-CN"/>
              </w:rPr>
              <w:t>3.</w:t>
            </w:r>
            <w:r>
              <w:rPr>
                <w:rFonts w:hint="eastAsia" w:ascii="宋体" w:hAnsi="宋体" w:eastAsia="宋体" w:cs="宋体"/>
                <w:i w:val="0"/>
                <w:iCs w:val="0"/>
                <w:color w:val="auto"/>
                <w:kern w:val="0"/>
                <w:sz w:val="21"/>
                <w:szCs w:val="21"/>
                <w:u w:val="none"/>
                <w:lang w:val="en-US" w:eastAsia="zh-CN"/>
              </w:rPr>
              <w:t>操作系统：安卓或者鸿蒙</w:t>
            </w:r>
            <w:r>
              <w:rPr>
                <w:rFonts w:hint="eastAsia" w:ascii="宋体" w:hAnsi="宋体" w:cs="宋体"/>
                <w:i w:val="0"/>
                <w:iCs w:val="0"/>
                <w:color w:val="auto"/>
                <w:kern w:val="0"/>
                <w:sz w:val="21"/>
                <w:szCs w:val="21"/>
                <w:u w:val="none"/>
                <w:lang w:val="en-US" w:eastAsia="zh-CN"/>
              </w:rPr>
              <w:t>同类</w:t>
            </w:r>
            <w:r>
              <w:rPr>
                <w:rFonts w:hint="eastAsia" w:ascii="宋体" w:hAnsi="宋体" w:eastAsia="宋体" w:cs="宋体"/>
                <w:i w:val="0"/>
                <w:iCs w:val="0"/>
                <w:color w:val="auto"/>
                <w:kern w:val="0"/>
                <w:sz w:val="21"/>
                <w:szCs w:val="21"/>
                <w:u w:val="none"/>
                <w:lang w:val="en-US" w:eastAsia="zh-CN"/>
              </w:rPr>
              <w:t>操作系统，提供稳定、安全的运行环境；</w:t>
            </w:r>
          </w:p>
          <w:p w14:paraId="166A81E7">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屏幕参数：≥11.2 英寸 LCD 面板，分辨率≥3200×2136（3.2K），屏幕比例 3:2，亮度≥750nits，支持高亮度户外可视；</w:t>
            </w:r>
          </w:p>
          <w:p w14:paraId="4E71B170">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电池容量：≥9200mAh，保障长时间移动使用；</w:t>
            </w:r>
          </w:p>
          <w:p w14:paraId="72022485">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i w:val="0"/>
                <w:iCs w:val="0"/>
                <w:color w:val="auto"/>
                <w:kern w:val="0"/>
                <w:sz w:val="21"/>
                <w:szCs w:val="21"/>
                <w:u w:val="none"/>
                <w:lang w:val="en-US" w:eastAsia="zh-CN"/>
              </w:rPr>
              <w:t>6.</w:t>
            </w:r>
            <w:r>
              <w:rPr>
                <w:rFonts w:hint="eastAsia" w:ascii="宋体" w:hAnsi="宋体" w:eastAsia="宋体" w:cs="宋体"/>
                <w:i w:val="0"/>
                <w:iCs w:val="0"/>
                <w:color w:val="auto"/>
                <w:kern w:val="0"/>
                <w:sz w:val="21"/>
                <w:szCs w:val="21"/>
                <w:u w:val="none"/>
                <w:lang w:val="en-US" w:eastAsia="zh-CN"/>
              </w:rPr>
              <w:t>网络连接： Wi-Fi 无线网络连接（WiFi 版）；</w:t>
            </w:r>
          </w:p>
          <w:p w14:paraId="1632B2AE">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机身尺寸：长≤251.22mm，宽≤173.42mm，厚度≤7.0mm；</w:t>
            </w:r>
          </w:p>
          <w:p w14:paraId="4C0F666F">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影音配置： 4 扬声器系统，满足影音播放、会议通话等场景需求；</w:t>
            </w:r>
          </w:p>
          <w:p w14:paraId="266CAE77">
            <w:pPr>
              <w:keepNext w:val="0"/>
              <w:keepLines w:val="0"/>
              <w:widowControl/>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影像配置：前置摄像头≥3200 万像素，后置摄像头≥5000 万像素，</w:t>
            </w:r>
            <w:r>
              <w:rPr>
                <w:rFonts w:hint="eastAsia" w:ascii="宋体" w:hAnsi="宋体" w:cs="宋体"/>
                <w:i w:val="0"/>
                <w:iCs w:val="0"/>
                <w:color w:val="auto"/>
                <w:kern w:val="0"/>
                <w:sz w:val="21"/>
                <w:szCs w:val="21"/>
                <w:u w:val="none"/>
                <w:lang w:val="en-US" w:eastAsia="zh-CN"/>
              </w:rPr>
              <w:t>具备</w:t>
            </w:r>
            <w:r>
              <w:rPr>
                <w:rFonts w:hint="eastAsia" w:ascii="宋体" w:hAnsi="宋体" w:eastAsia="宋体" w:cs="宋体"/>
                <w:i w:val="0"/>
                <w:iCs w:val="0"/>
                <w:color w:val="auto"/>
                <w:kern w:val="0"/>
                <w:sz w:val="21"/>
                <w:szCs w:val="21"/>
                <w:u w:val="none"/>
                <w:lang w:val="en-US" w:eastAsia="zh-CN"/>
              </w:rPr>
              <w:t>高清视频通话与场景拍摄；</w:t>
            </w:r>
          </w:p>
          <w:p w14:paraId="483D1A83">
            <w:pPr>
              <w:keepNext w:val="0"/>
              <w:keepLines w:val="0"/>
              <w:widowControl/>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cs="宋体"/>
                <w:i w:val="0"/>
                <w:iCs w:val="0"/>
                <w:color w:val="auto"/>
                <w:kern w:val="0"/>
                <w:sz w:val="21"/>
                <w:szCs w:val="21"/>
                <w:u w:val="none"/>
                <w:lang w:val="en-US" w:eastAsia="zh-CN"/>
              </w:rPr>
              <w:t>9.</w:t>
            </w:r>
            <w:r>
              <w:rPr>
                <w:rFonts w:hint="eastAsia" w:ascii="宋体" w:hAnsi="宋体" w:eastAsia="宋体" w:cs="宋体"/>
                <w:i w:val="0"/>
                <w:iCs w:val="0"/>
                <w:color w:val="auto"/>
                <w:kern w:val="0"/>
                <w:sz w:val="21"/>
                <w:szCs w:val="21"/>
                <w:u w:val="none"/>
                <w:lang w:val="en-US" w:eastAsia="zh-CN"/>
              </w:rPr>
              <w:t>辅助功能：内置陀螺仪，适配各类移动交互与应用场景。</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0C514E2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12</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77769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台</w:t>
            </w:r>
          </w:p>
        </w:tc>
      </w:tr>
      <w:tr w14:paraId="03879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1"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1B401F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3</w:t>
            </w:r>
          </w:p>
        </w:tc>
        <w:tc>
          <w:tcPr>
            <w:tcW w:w="7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E9B0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县级数据库及更新能力</w:t>
            </w: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82C5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县级数据库建设</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1EFC86FE">
            <w:pPr>
              <w:keepNext w:val="0"/>
              <w:keepLines w:val="0"/>
              <w:widowControl/>
              <w:numPr>
                <w:ilvl w:val="0"/>
                <w:numId w:val="1"/>
              </w:numPr>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依据相关标准，开展县域自然灾害综合风险数据库建设，核心数据指标更新率达到100%；</w:t>
            </w:r>
          </w:p>
          <w:p w14:paraId="481CCB25">
            <w:pPr>
              <w:keepNext w:val="0"/>
              <w:keepLines w:val="0"/>
              <w:widowControl/>
              <w:numPr>
                <w:ilvl w:val="0"/>
                <w:numId w:val="1"/>
              </w:numPr>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数据库统一采用CGCS2000国家大地坐标系、1985国家高程基准，所有数据统一编码并建立元数据。</w:t>
            </w:r>
          </w:p>
          <w:p w14:paraId="10072C1E">
            <w:pPr>
              <w:keepNext w:val="0"/>
              <w:keepLines w:val="0"/>
              <w:widowControl/>
              <w:numPr>
                <w:ilvl w:val="0"/>
                <w:numId w:val="1"/>
              </w:numPr>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数据内容涵盖基础地理信息数据、致灾因子、承灾体与历史灾情、减灾能力及各类物联感知数据等，通过坐标转换、格式转换、属性映射等数据治理实现多源数据标准化入库与更新，同步编制数据库管理规范文档作为验收依据。</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B49B3B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505239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县</w:t>
            </w:r>
          </w:p>
        </w:tc>
      </w:tr>
      <w:tr w14:paraId="5F3CB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4"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239CA6D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4</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EA8C57">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8406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国产数据库、中间件</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21E39D5C">
            <w:pPr>
              <w:keepNext w:val="0"/>
              <w:keepLines w:val="0"/>
              <w:widowControl/>
              <w:numPr>
                <w:ilvl w:val="0"/>
                <w:numId w:val="2"/>
              </w:numPr>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中间件软件参数需求：具备良好的生态环境适应能力，支持多种主流国产操作系统；</w:t>
            </w:r>
            <w:r>
              <w:rPr>
                <w:rFonts w:hint="eastAsia" w:ascii="宋体" w:hAnsi="宋体" w:cs="宋体"/>
                <w:i w:val="0"/>
                <w:iCs w:val="0"/>
                <w:color w:val="auto"/>
                <w:kern w:val="0"/>
                <w:sz w:val="21"/>
                <w:szCs w:val="21"/>
                <w:u w:val="none"/>
                <w:lang w:val="en-US" w:eastAsia="zh-CN"/>
              </w:rPr>
              <w:t>具备</w:t>
            </w:r>
            <w:r>
              <w:rPr>
                <w:rFonts w:hint="eastAsia" w:ascii="宋体" w:hAnsi="宋体" w:eastAsia="宋体" w:cs="宋体"/>
                <w:i w:val="0"/>
                <w:iCs w:val="0"/>
                <w:color w:val="auto"/>
                <w:kern w:val="0"/>
                <w:sz w:val="21"/>
                <w:szCs w:val="21"/>
                <w:u w:val="none"/>
                <w:lang w:val="en-US" w:eastAsia="zh-CN"/>
              </w:rPr>
              <w:t>多种主流国产数据库系统；</w:t>
            </w:r>
          </w:p>
          <w:p w14:paraId="46B28C7A">
            <w:pPr>
              <w:keepNext w:val="0"/>
              <w:keepLines w:val="0"/>
              <w:widowControl/>
              <w:numPr>
                <w:ilvl w:val="0"/>
                <w:numId w:val="2"/>
              </w:numPr>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在全国产环境下满足长时间运行稳定，90%平均响应时间低于400毫秒；在不停止应用服务器运行的情况下，支持动态更新license以及集中管理替换license，避免更新license对业务正常运行的影响。</w:t>
            </w:r>
          </w:p>
          <w:p w14:paraId="4088F33A">
            <w:pPr>
              <w:keepNext w:val="0"/>
              <w:keepLines w:val="0"/>
              <w:widowControl/>
              <w:numPr>
                <w:ilvl w:val="0"/>
                <w:numId w:val="2"/>
              </w:numPr>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数据库软件参数需求：适配32核、64G</w:t>
            </w:r>
            <w:r>
              <w:rPr>
                <w:rFonts w:hint="eastAsia" w:ascii="宋体" w:hAnsi="宋体" w:cs="宋体"/>
                <w:i w:val="0"/>
                <w:iCs w:val="0"/>
                <w:color w:val="auto"/>
                <w:kern w:val="0"/>
                <w:sz w:val="21"/>
                <w:szCs w:val="21"/>
                <w:u w:val="none"/>
                <w:lang w:val="en-US" w:eastAsia="zh-CN"/>
              </w:rPr>
              <w:t>以上</w:t>
            </w:r>
            <w:r>
              <w:rPr>
                <w:rFonts w:hint="eastAsia" w:ascii="宋体" w:hAnsi="宋体" w:eastAsia="宋体" w:cs="宋体"/>
                <w:i w:val="0"/>
                <w:iCs w:val="0"/>
                <w:color w:val="auto"/>
                <w:kern w:val="0"/>
                <w:sz w:val="21"/>
                <w:szCs w:val="21"/>
                <w:u w:val="none"/>
                <w:lang w:val="en-US" w:eastAsia="zh-CN"/>
              </w:rPr>
              <w:t>内存硬件环境，满足县级数据库高并发访问、海量数据存储与频繁数据更新业务需求，事务处理响应迅速，可支撑GIS数据、业务台账等多类型数据稳定读写；兼容主流国产操作系统及Linux系统，支持</w:t>
            </w:r>
            <w:r>
              <w:rPr>
                <w:rFonts w:hint="eastAsia" w:ascii="宋体" w:hAnsi="宋体" w:cs="宋体"/>
                <w:i w:val="0"/>
                <w:iCs w:val="0"/>
                <w:color w:val="auto"/>
                <w:kern w:val="0"/>
                <w:sz w:val="21"/>
                <w:szCs w:val="21"/>
                <w:u w:val="none"/>
                <w:lang w:val="en-US" w:eastAsia="zh-CN"/>
              </w:rPr>
              <w:t>国产</w:t>
            </w:r>
            <w:r>
              <w:rPr>
                <w:rFonts w:hint="eastAsia" w:ascii="宋体" w:hAnsi="宋体" w:eastAsia="宋体" w:cs="宋体"/>
                <w:i w:val="0"/>
                <w:iCs w:val="0"/>
                <w:color w:val="auto"/>
                <w:kern w:val="0"/>
                <w:sz w:val="21"/>
                <w:szCs w:val="21"/>
                <w:u w:val="none"/>
                <w:lang w:val="en-US" w:eastAsia="zh-CN"/>
              </w:rPr>
              <w:t>处理器架构。</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620DC06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E8180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套</w:t>
            </w:r>
          </w:p>
        </w:tc>
      </w:tr>
      <w:tr w14:paraId="06D66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73772ED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5</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54C607">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FFB0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数据库管理平台</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7AB99617">
            <w:pPr>
              <w:keepNext w:val="0"/>
              <w:keepLines w:val="0"/>
              <w:widowControl/>
              <w:numPr>
                <w:ilvl w:val="0"/>
                <w:numId w:val="3"/>
              </w:numPr>
              <w:suppressLineNumbers w:val="0"/>
              <w:spacing w:line="360" w:lineRule="auto"/>
              <w:jc w:val="both"/>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基础数据库管理平台应包括资源目录管理、资源申请审批管理、灾害科普与工作动态、门户后台。其中，资源目录管理模块主要包括资源编目管理、资源目录分类管理、资源目录信息管理、资源目录查询统计和接入数据目录管理。资源申请审批管理模块主要包括申请审批流程设计、数据权限配置、审批权限配置、用户角色管理和审批消息管理等功能。灾害科普与工作动态模块主要包括图文科普、视频科普、新闻编辑、工作动态发布、数据库信息概览等功能。门户后台包括任务管理、审批管理、运维中心、高级配置管理、目录信息维护和用户管理等功能。性能指标方面，数据恢复时间不超过3小时，系统恢复时间不超过6小时，</w:t>
            </w:r>
            <w:r>
              <w:rPr>
                <w:rFonts w:hint="eastAsia" w:ascii="宋体" w:hAnsi="宋体" w:cs="宋体"/>
                <w:i w:val="0"/>
                <w:iCs w:val="0"/>
                <w:color w:val="auto"/>
                <w:kern w:val="0"/>
                <w:sz w:val="21"/>
                <w:szCs w:val="21"/>
                <w:u w:val="none"/>
                <w:lang w:val="en-US" w:eastAsia="zh-CN"/>
              </w:rPr>
              <w:t>具备</w:t>
            </w:r>
            <w:r>
              <w:rPr>
                <w:rFonts w:hint="eastAsia" w:ascii="宋体" w:hAnsi="宋体" w:eastAsia="宋体" w:cs="宋体"/>
                <w:i w:val="0"/>
                <w:iCs w:val="0"/>
                <w:color w:val="auto"/>
                <w:kern w:val="0"/>
                <w:sz w:val="21"/>
                <w:szCs w:val="21"/>
                <w:u w:val="none"/>
                <w:lang w:val="en-US" w:eastAsia="zh-CN"/>
              </w:rPr>
              <w:t>7×24小时连续长时间大压力下工作，</w:t>
            </w:r>
          </w:p>
          <w:p w14:paraId="7B17E14F">
            <w:pPr>
              <w:keepNext w:val="0"/>
              <w:keepLines w:val="0"/>
              <w:widowControl/>
              <w:numPr>
                <w:ilvl w:val="0"/>
                <w:numId w:val="3"/>
              </w:numPr>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数据资源目录节点新增、修改、删除、更新等服务平均响应时间不大于1秒，并发请求不小于300；数据资源数据检索服务平均响应时间不大于1秒。</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0362E15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6A2CD61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个</w:t>
            </w:r>
          </w:p>
        </w:tc>
      </w:tr>
      <w:tr w14:paraId="14CA7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9"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5249EC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6</w:t>
            </w:r>
          </w:p>
        </w:tc>
        <w:tc>
          <w:tcPr>
            <w:tcW w:w="7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F402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风险隐患一张图建设</w:t>
            </w: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9E1A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风险隐患图编制</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2E577C92">
            <w:pPr>
              <w:keepNext w:val="0"/>
              <w:keepLines w:val="0"/>
              <w:widowControl/>
              <w:suppressLineNumbers w:val="0"/>
              <w:spacing w:line="360" w:lineRule="auto"/>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相关技术标准，编制覆盖全县、反映不同灾种风险的县域灾害综合风险图。收集数据并开展数据治理和标准化处理，数据统一采用CGCS2000国家大地坐标系和1985国家高程基准。围绕县域内森林火灾和洪涝灾害频发的特征，兼顾地质灾害与雨雪冰冻灾害等灾种，融合“基础地理要素—风险要素—辅助说明要素”三层信息架构，综合考虑孕灾环境、致灾因子和承灾体要素，开展县域单灾种风险隐患评估，清晰划分风险区。最终成果纳入自然灾害风险隐患综合管理平台。</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14E8C2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669910D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个</w:t>
            </w:r>
          </w:p>
        </w:tc>
      </w:tr>
      <w:tr w14:paraId="1CB4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7D404E6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7</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71F2E81">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4CE02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风险隐患一张图系统</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7A34E859">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自然灾害风险隐患综合管理平台主要包括数据资源管理、救援能力分析、县情分析、单灾种影响分析、一张图导出、历史灾情复盘等模块；数据资源管理模块主要包括数据目录、服务配置、 要素查询统计、二维分析、三维分析工具和要素可视化。救援能力分析模块主要包括政府、企业、公共服务和基层减灾能力分析等功能。县情分析模块主要包括 区域概况、接入数据要素分析、区域危险要素、区域应急资源分析等功能。单灾种影响统计包括气象、地质、洪水和森林草原火灾影响分析等功能。一张图导出模块包括导出图层配置和图件导出功能。历史灾情复盘模块包含视频弹播和历史灾害档案等功能。性能指标方面，数据恢复时间不超过3小时，系统恢复时间不超过6小时，平台相关业务数据存储系统需要具备99.9%可用性，系统需要具备99.99%数据有效性，栅格瓦片服务接口平均响应时间不大于2秒，矢量瓦片服务接口平均响应时间不大于1秒，地形瓦片服务接口平均响应时间不大于2秒，数据统计平均响应时间不大于1秒，空间分析平均响应时间不大于2秒，实景三维展示平均响应时间不大于4秒。</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C2069E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01AE20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个</w:t>
            </w:r>
          </w:p>
        </w:tc>
      </w:tr>
      <w:tr w14:paraId="479D9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4"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3FF1C91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8</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50A963">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38FCE6">
            <w:pPr>
              <w:keepNext w:val="0"/>
              <w:keepLines w:val="0"/>
              <w:widowControl/>
              <w:suppressLineNumbers w:val="0"/>
              <w:jc w:val="center"/>
              <w:textAlignment w:val="center"/>
              <w:rPr>
                <w:rFonts w:hint="eastAsia" w:ascii="宋体" w:hAnsi="宋体" w:eastAsia="宋体" w:cs="宋体"/>
                <w:color w:val="auto"/>
                <w:sz w:val="22"/>
                <w:szCs w:val="22"/>
              </w:rPr>
            </w:pPr>
          </w:p>
          <w:p w14:paraId="5ABCD88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洪水淹没图</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5F67FCB8">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依据相关技术文件，编制县域内重点河段洪水风险图，编制内容：在现状基础资料收集整理和评估基础上，构建满足演进分析要求的洪水风险分析模型（</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包括洪水分析模型、洪水影响分析与损失评估模型、避洪转移分析模型），根据防洪保护区洪水来源及组合、洪水（暴雨）量级、溃口等情况设定计算方案，开展保护区堤防溃决、漫溢和暴雨内涝条件下的洪水演进分析、洪水影响分析与损失评估、避洪转移分析和结果合理性分析，提取洪水风险要素、避洪转移信息以及其他相关制图要素，绘制洪水淹没范围、淹没水深、淹没历时、洪水前锋到达时间等基本洪水风险图和避洪转移图等专题洪水风险图。</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0DBB5F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0382C98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个</w:t>
            </w:r>
          </w:p>
        </w:tc>
      </w:tr>
      <w:tr w14:paraId="724BF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7" w:hRule="atLeast"/>
        </w:trPr>
        <w:tc>
          <w:tcPr>
            <w:tcW w:w="422" w:type="dxa"/>
            <w:tcBorders>
              <w:top w:val="single" w:color="auto" w:sz="4" w:space="0"/>
              <w:left w:val="single" w:color="auto" w:sz="4" w:space="0"/>
              <w:bottom w:val="single" w:color="auto" w:sz="4" w:space="0"/>
              <w:right w:val="single" w:color="auto" w:sz="4" w:space="0"/>
            </w:tcBorders>
            <w:shd w:val="clear" w:color="auto" w:fill="auto"/>
            <w:vAlign w:val="center"/>
          </w:tcPr>
          <w:p w14:paraId="4983B6C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9</w:t>
            </w:r>
          </w:p>
        </w:tc>
        <w:tc>
          <w:tcPr>
            <w:tcW w:w="713"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488320">
            <w:pPr>
              <w:jc w:val="center"/>
              <w:rPr>
                <w:rFonts w:hint="eastAsia" w:ascii="宋体" w:hAnsi="宋体" w:eastAsia="宋体" w:cs="宋体"/>
                <w:i w:val="0"/>
                <w:iCs w:val="0"/>
                <w:color w:val="auto"/>
                <w:sz w:val="21"/>
                <w:szCs w:val="21"/>
                <w:u w:val="none"/>
              </w:rPr>
            </w:pPr>
          </w:p>
        </w:tc>
        <w:tc>
          <w:tcPr>
            <w:tcW w:w="13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88FF5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尾矿库淹没图</w:t>
            </w:r>
          </w:p>
        </w:tc>
        <w:tc>
          <w:tcPr>
            <w:tcW w:w="5959" w:type="dxa"/>
            <w:tcBorders>
              <w:top w:val="single" w:color="auto" w:sz="4" w:space="0"/>
              <w:left w:val="single" w:color="auto" w:sz="4" w:space="0"/>
              <w:bottom w:val="single" w:color="auto" w:sz="4" w:space="0"/>
              <w:right w:val="single" w:color="auto" w:sz="4" w:space="0"/>
            </w:tcBorders>
            <w:shd w:val="clear" w:color="auto" w:fill="auto"/>
            <w:vAlign w:val="center"/>
          </w:tcPr>
          <w:p w14:paraId="0383DA0F">
            <w:pPr>
              <w:keepNext w:val="0"/>
              <w:keepLines w:val="0"/>
              <w:widowControl/>
              <w:suppressLineNumbers w:val="0"/>
              <w:spacing w:line="360" w:lineRule="auto"/>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依据相关技术标准及规范要求，</w:t>
            </w:r>
            <w:r>
              <w:rPr>
                <w:rFonts w:hint="eastAsia" w:ascii="宋体" w:hAnsi="宋体" w:eastAsia="宋体" w:cs="宋体"/>
                <w:color w:val="auto"/>
                <w:sz w:val="21"/>
                <w:szCs w:val="21"/>
              </w:rPr>
              <w:t>★</w:t>
            </w:r>
            <w:r>
              <w:rPr>
                <w:rFonts w:hint="eastAsia" w:ascii="宋体" w:hAnsi="宋体" w:eastAsia="宋体" w:cs="宋体"/>
                <w:i w:val="0"/>
                <w:iCs w:val="0"/>
                <w:color w:val="auto"/>
                <w:kern w:val="0"/>
                <w:sz w:val="21"/>
                <w:szCs w:val="21"/>
                <w:u w:val="none"/>
                <w:lang w:val="en-US" w:eastAsia="zh-CN"/>
              </w:rPr>
              <w:t>编制县域内7座重点尾矿库溃坝洪水风险图。在现状基础资料收集整理与评估基础上，构建尾矿库溃坝数值分析模型，开展溃坝过程演进分析、影响分析与损失评估、避洪转移分析和结果合理性分析，提取洪水风险要素、避洪转移信息以及其他相关制图要素，绘制溃坝洪水淹没范围等基本洪水风险图和避洪转移图等专题洪水风险图。</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6CF80F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7</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63D9CAA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个</w:t>
            </w:r>
          </w:p>
        </w:tc>
      </w:tr>
    </w:tbl>
    <w:p w14:paraId="6650DBC0">
      <w:pPr>
        <w:ind w:firstLine="1928" w:firstLineChars="600"/>
        <w:rPr>
          <w:rFonts w:hint="eastAsia" w:ascii="宋体" w:hAnsi="宋体" w:eastAsia="宋体" w:cs="宋体"/>
          <w:b/>
          <w:bCs/>
          <w:i w:val="0"/>
          <w:iCs w:val="0"/>
          <w:color w:val="000000"/>
          <w:kern w:val="0"/>
          <w:sz w:val="32"/>
          <w:szCs w:val="32"/>
          <w:u w:val="none"/>
          <w:lang w:val="en-US" w:eastAsia="zh-CN"/>
        </w:rPr>
      </w:pPr>
    </w:p>
    <w:p w14:paraId="097410B3">
      <w:pPr>
        <w:rPr>
          <w:rFonts w:hint="eastAsia" w:ascii="宋体" w:hAnsi="宋体" w:eastAsia="宋体" w:cs="宋体"/>
          <w:b/>
          <w:bCs/>
          <w:i w:val="0"/>
          <w:iCs w:val="0"/>
          <w:color w:val="000000"/>
          <w:kern w:val="0"/>
          <w:sz w:val="32"/>
          <w:szCs w:val="32"/>
          <w:u w:val="none"/>
          <w:lang w:val="en-US" w:eastAsia="zh-CN"/>
        </w:rPr>
      </w:pPr>
    </w:p>
    <w:p w14:paraId="6B16485B">
      <w:pPr>
        <w:rPr>
          <w:rFonts w:hint="eastAsia" w:eastAsiaTheme="minorEastAsia"/>
          <w:lang w:eastAsia="zh-CN"/>
        </w:rPr>
      </w:pPr>
    </w:p>
    <w:sectPr>
      <w:footerReference r:id="rId3" w:type="default"/>
      <w:pgSz w:w="11906" w:h="16838"/>
      <w:pgMar w:top="1134" w:right="669" w:bottom="1134" w:left="669"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563E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DB22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ADB22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3EF8"/>
    <w:multiLevelType w:val="singleLevel"/>
    <w:tmpl w:val="CC7C3EF8"/>
    <w:lvl w:ilvl="0" w:tentative="0">
      <w:start w:val="1"/>
      <w:numFmt w:val="decimal"/>
      <w:lvlText w:val="%1."/>
      <w:lvlJc w:val="left"/>
      <w:pPr>
        <w:tabs>
          <w:tab w:val="left" w:pos="312"/>
        </w:tabs>
      </w:pPr>
    </w:lvl>
  </w:abstractNum>
  <w:abstractNum w:abstractNumId="1">
    <w:nsid w:val="5D0425A3"/>
    <w:multiLevelType w:val="singleLevel"/>
    <w:tmpl w:val="5D0425A3"/>
    <w:lvl w:ilvl="0" w:tentative="0">
      <w:start w:val="1"/>
      <w:numFmt w:val="decimal"/>
      <w:lvlText w:val="%1."/>
      <w:lvlJc w:val="left"/>
      <w:pPr>
        <w:tabs>
          <w:tab w:val="left" w:pos="312"/>
        </w:tabs>
      </w:pPr>
    </w:lvl>
  </w:abstractNum>
  <w:abstractNum w:abstractNumId="2">
    <w:nsid w:val="7B632CE7"/>
    <w:multiLevelType w:val="singleLevel"/>
    <w:tmpl w:val="7B632CE7"/>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A78EB"/>
    <w:rsid w:val="02FD2914"/>
    <w:rsid w:val="074020A2"/>
    <w:rsid w:val="11B5604C"/>
    <w:rsid w:val="13005849"/>
    <w:rsid w:val="13F37300"/>
    <w:rsid w:val="193B5472"/>
    <w:rsid w:val="1B1A1616"/>
    <w:rsid w:val="20987265"/>
    <w:rsid w:val="23A128D5"/>
    <w:rsid w:val="26551754"/>
    <w:rsid w:val="29D73075"/>
    <w:rsid w:val="34C04B85"/>
    <w:rsid w:val="384635F3"/>
    <w:rsid w:val="3A3E27D3"/>
    <w:rsid w:val="3DCC459A"/>
    <w:rsid w:val="4FA14838"/>
    <w:rsid w:val="4FFF435B"/>
    <w:rsid w:val="50E4005B"/>
    <w:rsid w:val="58B62EEE"/>
    <w:rsid w:val="58EB3AE8"/>
    <w:rsid w:val="5D4C7FC4"/>
    <w:rsid w:val="5FE7303B"/>
    <w:rsid w:val="639826A5"/>
    <w:rsid w:val="64863F8E"/>
    <w:rsid w:val="666F3B91"/>
    <w:rsid w:val="66D6776C"/>
    <w:rsid w:val="689E250C"/>
    <w:rsid w:val="69623539"/>
    <w:rsid w:val="6AEA17CC"/>
    <w:rsid w:val="6AEB57B0"/>
    <w:rsid w:val="6C8D4D71"/>
    <w:rsid w:val="6D000701"/>
    <w:rsid w:val="72D14146"/>
    <w:rsid w:val="748B507F"/>
    <w:rsid w:val="753D4E5A"/>
    <w:rsid w:val="7A975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customStyle="1" w:styleId="5">
    <w:name w:val="font11"/>
    <w:basedOn w:val="4"/>
    <w:qFormat/>
    <w:uiPriority w:val="0"/>
    <w:rPr>
      <w:rFonts w:hint="eastAsia" w:ascii="宋体" w:hAnsi="宋体" w:eastAsia="宋体" w:cs="宋体"/>
      <w:b/>
      <w:bCs/>
      <w:color w:val="000000"/>
      <w:sz w:val="21"/>
      <w:szCs w:val="21"/>
      <w:u w:val="none"/>
    </w:rPr>
  </w:style>
  <w:style w:type="character" w:customStyle="1" w:styleId="6">
    <w:name w:val="font21"/>
    <w:basedOn w:val="4"/>
    <w:qFormat/>
    <w:uiPriority w:val="0"/>
    <w:rPr>
      <w:rFonts w:hint="default" w:ascii="Times New Roman" w:hAnsi="Times New Roman" w:cs="Times New Roman"/>
      <w:b/>
      <w:bCs/>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2613</Words>
  <Characters>2800</Characters>
  <Lines>0</Lines>
  <Paragraphs>0</Paragraphs>
  <TotalTime>1</TotalTime>
  <ScaleCrop>false</ScaleCrop>
  <LinksUpToDate>false</LinksUpToDate>
  <CharactersWithSpaces>2849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2026-07-30T01:03:00Z</dcterms:created>
  <dc:creator>Administrator</dc:creator>
  <cp:lastModifiedBy>清风</cp:lastModifiedBy>
  <dcterms:modified xsi:type="dcterms:W3CDTF">2026-08-10T08:30:03Z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eyJoZGlkIjoiY2NiMTlmMDE4MzRlNzY5NjBlMzJiM2I3MmNhMzZmZGUiLCJ1c2VySWQiOiIxMTgzNTQ3MjYxIn0=</vt:lpwstr>
  </property>
  <property fmtid="{D5CDD505-2E9C-101B-9397-08002B2CF9AE}" pid="4" name="ICV">
    <vt:lpwstr>26C39709840C432CAD919AC04DE05493_13</vt:lpwstr>
  </property>
</Properties>
</file>