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19E3C8">
      <w:pPr>
        <w:pStyle w:val="4"/>
        <w:jc w:val="center"/>
        <w:rPr>
          <w:rFonts w:hint="default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</w:rPr>
        <w:t>技术参数</w:t>
      </w:r>
      <w:r>
        <w:rPr>
          <w:b/>
          <w:bCs/>
          <w:sz w:val="28"/>
          <w:szCs w:val="28"/>
          <w:lang w:eastAsia="zh-CN"/>
        </w:rPr>
        <w:t>证明材料</w:t>
      </w:r>
    </w:p>
    <w:p w14:paraId="7342AED4">
      <w:pPr>
        <w:widowControl/>
        <w:spacing w:line="360" w:lineRule="auto"/>
        <w:ind w:firstLine="420"/>
        <w:jc w:val="left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供应商可根据所投产品自行编写，格式不限。</w:t>
      </w:r>
    </w:p>
    <w:p w14:paraId="5A18A43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735CF"/>
    <w:rsid w:val="5D67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2026-07-28T07:15:00Z</dcterms:created>
  <dc:creator>许芳芳</dc:creator>
  <cp:lastModifiedBy>许芳芳</cp:lastModifiedBy>
  <dcterms:modified xsi:type="dcterms:W3CDTF">2026-07-28T07:15:52Z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B622DB0BA3B94ECE894B332DC0B78668_11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