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5801CE">
      <w:pPr>
        <w:pStyle w:val="17"/>
        <w:outlineLvl w:val="2"/>
      </w:pPr>
      <w:r>
        <w:rPr>
          <w:rFonts w:ascii="仿宋_GB2312" w:hAnsi="仿宋_GB2312" w:eastAsia="仿宋_GB2312" w:cs="仿宋_GB2312"/>
          <w:b/>
          <w:sz w:val="28"/>
        </w:rPr>
        <w:t>3.3技术要求</w:t>
      </w:r>
    </w:p>
    <w:p w14:paraId="0AAAB023">
      <w:pPr>
        <w:pStyle w:val="17"/>
      </w:pPr>
      <w:r>
        <w:rPr>
          <w:rFonts w:ascii="仿宋_GB2312" w:hAnsi="仿宋_GB2312" w:eastAsia="仿宋_GB2312" w:cs="仿宋_GB2312"/>
        </w:rPr>
        <w:t>采购包1：</w:t>
      </w:r>
    </w:p>
    <w:p w14:paraId="48E1E3EB">
      <w:pPr>
        <w:pStyle w:val="17"/>
      </w:pPr>
      <w:r>
        <w:rPr>
          <w:rFonts w:ascii="仿宋_GB2312" w:hAnsi="仿宋_GB2312" w:eastAsia="仿宋_GB2312" w:cs="仿宋_GB2312"/>
        </w:rPr>
        <w:t>标的名称：TEE 可信执行环境实验设备</w:t>
      </w:r>
    </w:p>
    <w:tbl>
      <w:tblPr>
        <w:tblStyle w:val="13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9"/>
        <w:gridCol w:w="2769"/>
        <w:gridCol w:w="2941"/>
      </w:tblGrid>
      <w:tr w14:paraId="02061AD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2769" w:type="dxa"/>
          </w:tcPr>
          <w:p w14:paraId="318820A9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2769" w:type="dxa"/>
          </w:tcPr>
          <w:p w14:paraId="2BC196D3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2769" w:type="dxa"/>
          </w:tcPr>
          <w:p w14:paraId="758F1011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70FB375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250B51D5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769" w:type="dxa"/>
          </w:tcPr>
          <w:p w14:paraId="496CD783"/>
        </w:tc>
        <w:tc>
          <w:tcPr>
            <w:tcW w:w="2769" w:type="dxa"/>
          </w:tcPr>
          <w:tbl>
            <w:tblPr>
              <w:tblStyle w:val="13"/>
              <w:tblW w:w="0" w:type="auto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00"/>
              <w:gridCol w:w="590"/>
              <w:gridCol w:w="1730"/>
            </w:tblGrid>
            <w:tr w14:paraId="3F4276F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B33245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序号</w:t>
                  </w:r>
                </w:p>
              </w:tc>
              <w:tc>
                <w:tcPr>
                  <w:tcW w:w="319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856F50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设备名称</w:t>
                  </w:r>
                </w:p>
              </w:tc>
              <w:tc>
                <w:tcPr>
                  <w:tcW w:w="2045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A0D089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技术指标要求</w:t>
                  </w:r>
                </w:p>
              </w:tc>
            </w:tr>
            <w:tr w14:paraId="171BCAA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F5EE38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</w:t>
                  </w:r>
                </w:p>
              </w:tc>
              <w:tc>
                <w:tcPr>
                  <w:tcW w:w="31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7AEA29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TEE 可信执行环境实验设备</w:t>
                  </w:r>
                  <w:r>
                    <w:rPr>
                      <w:rFonts w:ascii="仿宋_GB2312" w:hAnsi="仿宋_GB2312" w:eastAsia="仿宋_GB2312" w:cs="仿宋_GB2312"/>
                      <w:sz w:val="19"/>
                      <w:shd w:val="clear" w:fill="FFFF00"/>
                    </w:rPr>
                    <w:t>（核心产品）</w:t>
                  </w:r>
                </w:p>
              </w:tc>
              <w:tc>
                <w:tcPr>
                  <w:tcW w:w="204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6A7566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1. 嵌入式开发系统</w:t>
                  </w:r>
                </w:p>
                <w:p w14:paraId="293C7A4D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提供基于国产芯片的TEE可信执行环境开发系统，满足TEE实验教学。</w:t>
                  </w:r>
                </w:p>
                <w:p w14:paraId="66DC7CE8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2. CPU配置要求</w:t>
                  </w:r>
                </w:p>
                <w:p w14:paraId="3A2600C5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CPU数量≥1个，单CPU核数≥4核，每核主频≥1.5GHz，每CPU板载64位DDR4内存≥4GB。</w:t>
                  </w:r>
                </w:p>
                <w:p w14:paraId="2FACBD49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3. TEE可信执行环境（满足技术指标要求1）</w:t>
                  </w:r>
                </w:p>
                <w:p w14:paraId="4ADA13F4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3.1 ▲提供TEE可信执行环境软件著作权复印件和测试机构提供TEE可信执行环境的测试证明（加盖投标单位公章）。</w:t>
                  </w:r>
                </w:p>
                <w:p w14:paraId="181E3CCF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3.2 提供可开发TEE 安全应用的 SDK 工具包及配套编译工具要求：</w:t>
                  </w:r>
                </w:p>
                <w:p w14:paraId="3F0BA996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① 展示基于 AES256 算法的 TEE 安全应用示例源码；</w:t>
                  </w:r>
                </w:p>
                <w:p w14:paraId="0E01CCE8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② 现场导入 TEE SDK 依赖库、头文件及安全应用示例源码；</w:t>
                  </w:r>
                </w:p>
                <w:p w14:paraId="55C0E772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③ 采用配套交叉编译工具链完成工程编译，生成 TEE 安全应用镜像文件；</w:t>
                  </w:r>
                </w:p>
                <w:p w14:paraId="1805CF18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④ 将安全应用镜像部署至目标硬件 TEE 可信执行环境平台；</w:t>
                  </w:r>
                </w:p>
                <w:p w14:paraId="40B23D08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⑤ ●现场调取TEE 运行日志，核查应用加载及 AES 加解密全过程日志，核验明文加密、解密还原全过程数据一致性。</w:t>
                  </w:r>
                </w:p>
                <w:p w14:paraId="08CBB07D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3.3 ▲提供该环境详细使用说明文档。</w:t>
                  </w:r>
                </w:p>
                <w:p w14:paraId="5628CDD9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3.4 提供TEE可信执行环境教学资料，含教学课件、实验手册、实验例程、教学视频、课后习题，需覆盖以下安全应用，且至少提供1类应用的全套教学资料：</w:t>
                  </w:r>
                </w:p>
                <w:p w14:paraId="73516CB9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① ▲安全存储应用：加密存储实验数据，具备隔离能力，不可破解；</w:t>
                  </w:r>
                </w:p>
                <w:p w14:paraId="7DD20A74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② ▲国密加解密算法应用：支持技术指标要求6的算法，符合国密标准；</w:t>
                  </w:r>
                </w:p>
                <w:p w14:paraId="3BEFD9DF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③ ▲国际加解密算法应用：支持技术指标要求6的算法，符合国际标准；</w:t>
                  </w:r>
                </w:p>
                <w:p w14:paraId="6B42EB64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④ ▲设备认证应用：支持TEE与教学终端双向认证；</w:t>
                  </w:r>
                </w:p>
                <w:p w14:paraId="6B839751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⑤ 密钥管理应用：支持密钥全生命周期管理及密钥的安全存储；</w:t>
                  </w:r>
                </w:p>
                <w:p w14:paraId="623C4163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⑥ 密码解锁应用：TEE保护开机密码，支持密码自定义；</w:t>
                  </w:r>
                </w:p>
                <w:p w14:paraId="55B1FF85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⑦ 保密柜应用：基于TEE实现，安全保护文件/图片，不可破解；</w:t>
                  </w:r>
                </w:p>
                <w:p w14:paraId="5C5F5264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⑧ SPI安全驱动应用：支持TEE与SPI安全通信；</w:t>
                  </w:r>
                </w:p>
                <w:p w14:paraId="015E9038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⑨ SE安全芯片应用：支持TEE与SE芯片联动，实现硬件级密钥存储及加解密。</w:t>
                  </w:r>
                </w:p>
                <w:p w14:paraId="63663A13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4. ▲SE安全芯片证书</w:t>
                  </w:r>
                </w:p>
                <w:p w14:paraId="32384799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提供国家密码管理局颁发的SE安全芯片国密证书（证书复印件）。</w:t>
                  </w:r>
                </w:p>
                <w:p w14:paraId="743A9A7F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5. 加密算法支持</w:t>
                  </w:r>
                </w:p>
                <w:p w14:paraId="05566182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实验系统需支持DES、3DES、AES/256、RSA1024、SHA1、SHA256、SM1、SM2、SM3、SM4算法。</w:t>
                  </w:r>
                </w:p>
                <w:p w14:paraId="58C0F555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6. 操作系统支持</w:t>
                  </w:r>
                </w:p>
                <w:p w14:paraId="5F503221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支持国产操作系统≥3种（必含OpenKylin、统信OS、OpenHarmony）；支持国外操作系统≥4种（必含Linux、Ubuntu、Armbian、OpenWRT），均能正常运行。</w:t>
                  </w:r>
                </w:p>
                <w:p w14:paraId="4E75F080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7. 外设集成</w:t>
                  </w:r>
                </w:p>
                <w:p w14:paraId="129CBFC9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提供国产嵌入式eSE安全芯片外设、人脸识别摄像头。</w:t>
                  </w:r>
                </w:p>
                <w:p w14:paraId="674073A3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8. 外设接口</w:t>
                  </w:r>
                </w:p>
                <w:p w14:paraId="123DA74C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支持外设接口≥7种（必含千兆以太网、USB、UART、CAN、HDMI、音频、miniPCIe），具体要求：</w:t>
                  </w:r>
                </w:p>
                <w:p w14:paraId="5003FE42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8.1 千兆以太网：板载≥2路千兆以太网（RJ45）接口；</w:t>
                  </w:r>
                </w:p>
                <w:p w14:paraId="564319DC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8.2 USB接口：板载≥2路USB3.0 Host接口，向下兼容USB2.0设备，可稳定外接U盘、鼠标等常用外设；</w:t>
                  </w:r>
                </w:p>
                <w:p w14:paraId="4FE3BF70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8.3 UART接口：板载≥1路专用调试串口，同时支持≥2路MIO配置为UART模式，可实现日志输出与设备调试；</w:t>
                  </w:r>
                </w:p>
                <w:p w14:paraId="28698D5C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8.4 CAN：板载≥1路CANFD接口，兼容标准CAN 2.0协议，支持CAN总线通信；</w:t>
                  </w:r>
                </w:p>
                <w:p w14:paraId="610247AE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8.5 HDMI：板载≥1路HDMI视频输出接口，最高支持1920×1080分辨率，可直接连接显示器；</w:t>
                  </w:r>
                </w:p>
                <w:p w14:paraId="60EF53C4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8.6 音频：板载≥1路3.5mm音频输出接口，支持耳机/扬声器输出；</w:t>
                  </w:r>
                </w:p>
                <w:p w14:paraId="2C3A621B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8.7 miniPCIe：板载≥1路Mini-PCIe扩展接口，支持外接4G/5G通信模块、AI加速模块及SATA转换模块等扩展外设；</w:t>
                  </w:r>
                </w:p>
                <w:p w14:paraId="025B9C51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9. 无线通信功能</w:t>
                  </w:r>
                </w:p>
                <w:p w14:paraId="7E012E9F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板载2.4GHz + 5GHz双频WiFi模块，兼容IEEE 802.11a/b/g/n/ac协议，可稳定连接无线局域网。</w:t>
                  </w:r>
                </w:p>
                <w:p w14:paraId="4188FDCB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10. 蓝牙功能</w:t>
                  </w:r>
                </w:p>
                <w:p w14:paraId="4C162CC8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板载蓝牙模块，支持Bluetooth 4.2及以上与BLE 4.2（低功耗蓝牙）协议。</w:t>
                  </w:r>
                </w:p>
                <w:p w14:paraId="0EDCEE7F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11. 智能攻防测试系统</w:t>
                  </w:r>
                </w:p>
                <w:p w14:paraId="6256D6A1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11.1 ▲安全测试用例：提供≥50个，覆盖系统安全场景，可直接运行测试。</w:t>
                  </w:r>
                </w:p>
                <w:p w14:paraId="33B17171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11.2 显示器：2块，单块尺寸≥50寸，可显示测试及实验内容。</w:t>
                  </w:r>
                </w:p>
                <w:p w14:paraId="10C03B7B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11.3 具备智能漏洞探测、攻击能力。</w:t>
                  </w:r>
                </w:p>
              </w:tc>
            </w:tr>
          </w:tbl>
          <w:p w14:paraId="273E0E14"/>
        </w:tc>
      </w:tr>
    </w:tbl>
    <w:p w14:paraId="2C518D17">
      <w:pPr>
        <w:pStyle w:val="17"/>
      </w:pPr>
      <w:bookmarkStart w:id="0" w:name="_GoBack"/>
      <w:bookmarkEnd w:id="0"/>
    </w:p>
    <w:sectPr>
      <w:headerReference r:id="rId5" w:type="default"/>
      <w:footerReference r:id="rId6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宋体-简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29B717">
    <w:pPr>
      <w:pStyle w:val="10"/>
      <w:ind w:right="360" w:firstLine="90" w:firstLineChars="5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9728273">
                          <w:pPr>
                            <w:pStyle w:val="10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9728273">
                    <w:pPr>
                      <w:pStyle w:val="10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4C29CA">
    <w:pPr>
      <w:pStyle w:val="11"/>
      <w:pBdr>
        <w:bottom w:val="single" w:color="auto" w:sz="6" w:space="2"/>
      </w:pBdr>
      <w:jc w:val="left"/>
    </w:pPr>
    <w:r>
      <w:rPr>
        <w:rFonts w:hint="eastAsia"/>
        <w:lang w:val="en-US" w:eastAsia="zh-CN"/>
      </w:rPr>
      <w:t xml:space="preserve">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mZTUzNTgxYzEzYTRhMWM4ODc2MTE5ZjVmNzIzNDEifQ=="/>
  </w:docVars>
  <w:rsids>
    <w:rsidRoot w:val="00000000"/>
    <w:rsid w:val="0067008A"/>
    <w:rsid w:val="00B24485"/>
    <w:rsid w:val="025D1695"/>
    <w:rsid w:val="03124449"/>
    <w:rsid w:val="035C6062"/>
    <w:rsid w:val="03E1456A"/>
    <w:rsid w:val="06EF5394"/>
    <w:rsid w:val="095A1470"/>
    <w:rsid w:val="0A9E23BD"/>
    <w:rsid w:val="0DBC5E01"/>
    <w:rsid w:val="108E0B4A"/>
    <w:rsid w:val="12120B1B"/>
    <w:rsid w:val="12814146"/>
    <w:rsid w:val="160C74E6"/>
    <w:rsid w:val="179C1CBE"/>
    <w:rsid w:val="1C7F6FB0"/>
    <w:rsid w:val="1E786385"/>
    <w:rsid w:val="1ECA384D"/>
    <w:rsid w:val="21685574"/>
    <w:rsid w:val="220A1E96"/>
    <w:rsid w:val="22C87245"/>
    <w:rsid w:val="22E00E2D"/>
    <w:rsid w:val="25F86AF1"/>
    <w:rsid w:val="37FF2D77"/>
    <w:rsid w:val="3B1038C1"/>
    <w:rsid w:val="3EFA5C6C"/>
    <w:rsid w:val="40F82EF9"/>
    <w:rsid w:val="469F763F"/>
    <w:rsid w:val="49105DC9"/>
    <w:rsid w:val="49B76F52"/>
    <w:rsid w:val="4C977055"/>
    <w:rsid w:val="4F406CC7"/>
    <w:rsid w:val="51150C7F"/>
    <w:rsid w:val="550A1873"/>
    <w:rsid w:val="56A4373E"/>
    <w:rsid w:val="56AB5230"/>
    <w:rsid w:val="5A612985"/>
    <w:rsid w:val="5D2E4085"/>
    <w:rsid w:val="672226E7"/>
    <w:rsid w:val="68993E8A"/>
    <w:rsid w:val="68FB4800"/>
    <w:rsid w:val="6CCC3552"/>
    <w:rsid w:val="6D415667"/>
    <w:rsid w:val="706439B2"/>
    <w:rsid w:val="723956D2"/>
    <w:rsid w:val="728B13DD"/>
    <w:rsid w:val="765F6058"/>
    <w:rsid w:val="76D17E0A"/>
    <w:rsid w:val="79DB4340"/>
    <w:rsid w:val="7B140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4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line="600" w:lineRule="exact"/>
      <w:outlineLvl w:val="1"/>
    </w:pPr>
    <w:rPr>
      <w:rFonts w:ascii="Arial" w:hAnsi="Arial" w:eastAsia="黑体" w:cs="Times New Roman"/>
      <w:bCs/>
      <w:sz w:val="24"/>
      <w:szCs w:val="32"/>
    </w:rPr>
  </w:style>
  <w:style w:type="character" w:default="1" w:styleId="15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ind w:firstLine="420"/>
    </w:pPr>
    <w:rPr>
      <w:szCs w:val="20"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Body Text"/>
    <w:basedOn w:val="1"/>
    <w:next w:val="1"/>
    <w:qFormat/>
    <w:uiPriority w:val="0"/>
    <w:pPr>
      <w:spacing w:after="120"/>
    </w:pPr>
  </w:style>
  <w:style w:type="paragraph" w:styleId="7">
    <w:name w:val="Body Text Indent"/>
    <w:basedOn w:val="1"/>
    <w:next w:val="8"/>
    <w:qFormat/>
    <w:uiPriority w:val="0"/>
    <w:pPr>
      <w:tabs>
        <w:tab w:val="left" w:pos="480"/>
      </w:tabs>
      <w:spacing w:line="540" w:lineRule="exact"/>
      <w:ind w:firstLine="480" w:firstLineChars="200"/>
    </w:pPr>
    <w:rPr>
      <w:sz w:val="24"/>
    </w:rPr>
  </w:style>
  <w:style w:type="paragraph" w:styleId="8">
    <w:name w:val="Body Text First Indent 2"/>
    <w:basedOn w:val="7"/>
    <w:qFormat/>
    <w:uiPriority w:val="0"/>
    <w:pPr>
      <w:spacing w:after="120" w:line="240" w:lineRule="auto"/>
      <w:ind w:left="420" w:leftChars="200" w:firstLine="420"/>
    </w:pPr>
    <w:rPr>
      <w:sz w:val="21"/>
    </w:rPr>
  </w:style>
  <w:style w:type="paragraph" w:styleId="9">
    <w:name w:val="Plain Text"/>
    <w:basedOn w:val="1"/>
    <w:qFormat/>
    <w:uiPriority w:val="99"/>
    <w:rPr>
      <w:rFonts w:ascii="宋体" w:hAnsi="Courier New" w:cs="Courier New"/>
      <w:szCs w:val="21"/>
    </w:rPr>
  </w:style>
  <w:style w:type="paragraph" w:styleId="10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2">
    <w:name w:val="Normal (Web)"/>
    <w:basedOn w:val="1"/>
    <w:qFormat/>
    <w:uiPriority w:val="0"/>
    <w:pPr>
      <w:widowControl/>
      <w:spacing w:beforeAutospacing="1" w:after="0" w:afterAutospacing="1"/>
      <w:jc w:val="left"/>
    </w:pPr>
    <w:rPr>
      <w:rFonts w:ascii="宋体" w:hAnsi="宋体"/>
      <w:kern w:val="0"/>
      <w:sz w:val="24"/>
      <w:szCs w:val="24"/>
    </w:rPr>
  </w:style>
  <w:style w:type="table" w:styleId="14">
    <w:name w:val="Table Grid"/>
    <w:basedOn w:val="1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6">
    <w:name w:val="列出段落1"/>
    <w:basedOn w:val="1"/>
    <w:qFormat/>
    <w:uiPriority w:val="99"/>
    <w:pPr>
      <w:ind w:firstLine="420" w:firstLineChars="200"/>
    </w:pPr>
    <w:rPr>
      <w:rFonts w:ascii="Calibri" w:hAnsi="Calibri" w:cs="Calibri"/>
    </w:rPr>
  </w:style>
  <w:style w:type="paragraph" w:customStyle="1" w:styleId="17">
    <w:name w:val="null3"/>
    <w:autoRedefine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styleId="18">
    <w:name w:val="List Paragraph"/>
    <w:basedOn w:val="1"/>
    <w:autoRedefine/>
    <w:qFormat/>
    <w:uiPriority w:val="34"/>
    <w:pPr>
      <w:ind w:firstLine="420"/>
    </w:pPr>
  </w:style>
  <w:style w:type="character" w:customStyle="1" w:styleId="19">
    <w:name w:val="font71"/>
    <w:basedOn w:val="15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20">
    <w:name w:val="font91"/>
    <w:basedOn w:val="15"/>
    <w:qFormat/>
    <w:uiPriority w:val="0"/>
    <w:rPr>
      <w:rFonts w:ascii="宋体-简" w:hAnsi="宋体-简" w:eastAsia="宋体-简" w:cs="宋体-简"/>
      <w:color w:val="000000"/>
      <w:sz w:val="22"/>
      <w:szCs w:val="22"/>
      <w:u w:val="none"/>
    </w:rPr>
  </w:style>
  <w:style w:type="character" w:customStyle="1" w:styleId="21">
    <w:name w:val="font21"/>
    <w:basedOn w:val="15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paragraph" w:customStyle="1" w:styleId="22">
    <w:name w:val="No Spacing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23">
    <w:name w:val="font11"/>
    <w:basedOn w:val="15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24">
    <w:name w:val="标题 1 Char"/>
    <w:link w:val="2"/>
    <w:qFormat/>
    <w:uiPriority w:val="0"/>
    <w:rPr>
      <w:b/>
      <w:kern w:val="44"/>
      <w:sz w:val="44"/>
    </w:rPr>
  </w:style>
  <w:style w:type="paragraph" w:customStyle="1" w:styleId="25">
    <w:name w:val="Table Text"/>
    <w:basedOn w:val="1"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  <w:style w:type="table" w:customStyle="1" w:styleId="2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列表段落1"/>
    <w:basedOn w:val="1"/>
    <w:qFormat/>
    <w:uiPriority w:val="0"/>
    <w:pPr>
      <w:spacing w:after="0"/>
      <w:ind w:firstLine="420" w:firstLineChars="200"/>
    </w:pPr>
    <w:rPr>
      <w:szCs w:val="21"/>
    </w:rPr>
  </w:style>
  <w:style w:type="paragraph" w:customStyle="1" w:styleId="28">
    <w:name w:val="正文_段"/>
    <w:qFormat/>
    <w:uiPriority w:val="0"/>
    <w:pPr>
      <w:adjustRightInd w:val="0"/>
      <w:snapToGrid w:val="0"/>
      <w:spacing w:line="360" w:lineRule="auto"/>
      <w:ind w:firstLine="200" w:firstLineChars="200"/>
    </w:pPr>
    <w:rPr>
      <w:rFonts w:ascii="Times New Roman" w:hAnsi="Times New Roman" w:eastAsia="宋体" w:cs="Times New Roman"/>
      <w:sz w:val="28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3807</Words>
  <Characters>4053</Characters>
  <Lines>0</Lines>
  <Paragraphs>0</Paragraphs>
  <TotalTime>0</TotalTime>
  <ScaleCrop>false</ScaleCrop>
  <LinksUpToDate>false</LinksUpToDate>
  <CharactersWithSpaces>4070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2024-11-07T06:12:00Z</dcterms:created>
  <dc:creator>Administrator</dc:creator>
  <cp:lastModifiedBy>国创招标</cp:lastModifiedBy>
  <dcterms:modified xsi:type="dcterms:W3CDTF">2026-07-10T10:43:45Z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93527D60A6C247DCA3BA1443F2DA3974_12</vt:lpwstr>
  </property>
  <property fmtid="{D5CDD505-2E9C-101B-9397-08002B2CF9AE}" pid="4" name="KSOTemplateDocerSaveRecord">
    <vt:lpwstr>eyJoZGlkIjoiNzFmZTUzNTgxYzEzYTRhMWM4ODc2MTE5ZjVmNzIzNDEiLCJ1c2VySWQiOiIxMTQ2NDU0OTA0In0=</vt:lpwstr>
  </property>
</Properties>
</file>