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版本号：SYCG-ZB-202600620260715001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政府购买分散供养特困人员照料护理服务项目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SYCG-ZB-2026006</w:t>
      </w:r>
      <w:r>
        <w:br/>
      </w:r>
      <w:r>
        <w:br/>
      </w:r>
      <w:r>
        <w:br/>
      </w:r>
    </w:p>
    <w:p>
      <w:pPr>
        <w:pStyle w:val="null3"/>
        <w:jc w:val="center"/>
        <w:outlineLvl w:val="2"/>
      </w:pPr>
      <w:r>
        <w:rPr>
          <w:rFonts w:ascii="仿宋_GB2312" w:hAnsi="仿宋_GB2312" w:cs="仿宋_GB2312" w:eastAsia="仿宋_GB2312"/>
          <w:sz w:val="28"/>
          <w:b/>
        </w:rPr>
        <w:t>山阳县民政局（本级）</w:t>
      </w:r>
    </w:p>
    <w:p>
      <w:pPr>
        <w:pStyle w:val="null3"/>
        <w:jc w:val="center"/>
        <w:outlineLvl w:val="2"/>
      </w:pPr>
      <w:r>
        <w:rPr>
          <w:rFonts w:ascii="仿宋_GB2312" w:hAnsi="仿宋_GB2312" w:cs="仿宋_GB2312" w:eastAsia="仿宋_GB2312"/>
          <w:sz w:val="28"/>
          <w:b/>
        </w:rPr>
        <w:t>山阳县政府采购中心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山阳县政府采购中心</w:t>
      </w:r>
      <w:r>
        <w:rPr>
          <w:rFonts w:ascii="仿宋_GB2312" w:hAnsi="仿宋_GB2312" w:cs="仿宋_GB2312" w:eastAsia="仿宋_GB2312"/>
        </w:rPr>
        <w:t>（以下简称“代理机构”）受</w:t>
      </w:r>
      <w:r>
        <w:rPr>
          <w:rFonts w:ascii="仿宋_GB2312" w:hAnsi="仿宋_GB2312" w:cs="仿宋_GB2312" w:eastAsia="仿宋_GB2312"/>
        </w:rPr>
        <w:t>山阳县民政局（本级）</w:t>
      </w:r>
      <w:r>
        <w:rPr>
          <w:rFonts w:ascii="仿宋_GB2312" w:hAnsi="仿宋_GB2312" w:cs="仿宋_GB2312" w:eastAsia="仿宋_GB2312"/>
        </w:rPr>
        <w:t>委托，拟对</w:t>
      </w:r>
      <w:r>
        <w:rPr>
          <w:rFonts w:ascii="仿宋_GB2312" w:hAnsi="仿宋_GB2312" w:cs="仿宋_GB2312" w:eastAsia="仿宋_GB2312"/>
        </w:rPr>
        <w:t>政府购买分散供养特困人员照料护理服务项目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SYCG-ZB-2026006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政府购买分散供养特困人员照料护理服务项目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健全特困人员救助供养体系，落实分散供养特困人员照料护理政策，补齐居家照护短板，防范独居特困对象意外风险，山阳县民政局拟通过政府购买服务方式，引入专业第三方服务机构，为辖区内分散供养特困人员提供规范化、专业化上门照料护理服务。项目资金纳入财政预算，通过公开招标选定服务承接主体。</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采购包1（社会救助服务）：属于专门面向小微企业采购。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山阳县民政局（本级）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山阳县丰塔路172号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山阳县民政局（本级）经办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18992486106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山阳县政府采购中心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陕西省商洛市山阳县城关街道西河新区城投综合楼七楼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0914-8866538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山阳县财政局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樊老师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0914-8322477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采购包1：4,225,180.00元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任一</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任一</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任一</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本采购包履约保证金为合同金额的2%</w:t>
            </w:r>
          </w:p>
          <w:p>
            <w:pPr>
              <w:pStyle w:val="null3"/>
            </w:pPr>
            <w:r>
              <w:rPr>
                <w:rFonts w:ascii="仿宋_GB2312" w:hAnsi="仿宋_GB2312" w:cs="仿宋_GB2312" w:eastAsia="仿宋_GB2312"/>
              </w:rPr>
              <w:t>说明：1、收取：合同签订前，中标人须向采购人交纳履约保证金（履约保证金应采取支票、本票、汇票、保函等非现金形式提交），履约保证金的数额为合同金额的2%（取整，具体金额由采购人与中标人商定）。 2、退还：中标人在合同期内未出现任何安全事故和较重质量问题，合同履约完成后，采购人在10 个工作日内，全额无息退还履约保证金。 3、其他不予退还的情形和逾期退还的违约责任由采购人与中标人在政府采购合同中进一步明确。</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山阳县民政局（本级）</w:t>
      </w:r>
      <w:r>
        <w:rPr>
          <w:rFonts w:ascii="仿宋_GB2312" w:hAnsi="仿宋_GB2312" w:cs="仿宋_GB2312" w:eastAsia="仿宋_GB2312"/>
        </w:rPr>
        <w:t>和</w:t>
      </w:r>
      <w:r>
        <w:rPr>
          <w:rFonts w:ascii="仿宋_GB2312" w:hAnsi="仿宋_GB2312" w:cs="仿宋_GB2312" w:eastAsia="仿宋_GB2312"/>
        </w:rPr>
        <w:t>山阳县政府采购中心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山阳县民政局（本级）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山阳县政府采购中心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山阳县民政局（本级）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山阳县政府采购中心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达到合同约定的服务要求及标准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山阳县政府采购中心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山阳县政府采购中心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山阳县政府采购中心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联系人：韩老师</w:t>
      </w:r>
    </w:p>
    <w:p>
      <w:pPr>
        <w:pStyle w:val="null3"/>
      </w:pPr>
      <w:r>
        <w:rPr>
          <w:rFonts w:ascii="仿宋_GB2312" w:hAnsi="仿宋_GB2312" w:cs="仿宋_GB2312" w:eastAsia="仿宋_GB2312"/>
        </w:rPr>
        <w:t>联系电话：18992438229</w:t>
      </w:r>
    </w:p>
    <w:p>
      <w:pPr>
        <w:pStyle w:val="null3"/>
      </w:pPr>
      <w:r>
        <w:rPr>
          <w:rFonts w:ascii="仿宋_GB2312" w:hAnsi="仿宋_GB2312" w:cs="仿宋_GB2312" w:eastAsia="仿宋_GB2312"/>
        </w:rPr>
        <w:t>地址：陕西省商洛市山阳县城关街道丰塔路172号</w:t>
      </w:r>
    </w:p>
    <w:p>
      <w:pPr>
        <w:pStyle w:val="null3"/>
      </w:pPr>
      <w:r>
        <w:rPr>
          <w:rFonts w:ascii="仿宋_GB2312" w:hAnsi="仿宋_GB2312" w:cs="仿宋_GB2312" w:eastAsia="仿宋_GB2312"/>
        </w:rPr>
        <w:t>邮编：726400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联系人：杨老师</w:t>
      </w:r>
    </w:p>
    <w:p>
      <w:pPr>
        <w:pStyle w:val="null3"/>
      </w:pPr>
      <w:r>
        <w:rPr>
          <w:rFonts w:ascii="仿宋_GB2312" w:hAnsi="仿宋_GB2312" w:cs="仿宋_GB2312" w:eastAsia="仿宋_GB2312"/>
        </w:rPr>
        <w:t>联系电话：18992451689</w:t>
      </w:r>
    </w:p>
    <w:p>
      <w:pPr>
        <w:pStyle w:val="null3"/>
      </w:pPr>
      <w:r>
        <w:rPr>
          <w:rFonts w:ascii="仿宋_GB2312" w:hAnsi="仿宋_GB2312" w:cs="仿宋_GB2312" w:eastAsia="仿宋_GB2312"/>
        </w:rPr>
        <w:t>地址：陕西省商洛市山阳县城关街道西河新区城投综合楼七楼</w:t>
      </w:r>
    </w:p>
    <w:p>
      <w:pPr>
        <w:pStyle w:val="null3"/>
      </w:pPr>
      <w:r>
        <w:rPr>
          <w:rFonts w:ascii="仿宋_GB2312" w:hAnsi="仿宋_GB2312" w:cs="仿宋_GB2312" w:eastAsia="仿宋_GB2312"/>
        </w:rPr>
        <w:t>邮编：726400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分散供养特困人员自理能力，主要提供四项服务。一是基本生活照料。协助个人卫生、家庭卫生、助餐、健康监测、代办等；二是住院护理服务。在服务对象生病住院期间，提供必要的看护和照料；三是精神慰藉服务。通过沟通交流、陪伴等方式，给予心理支持和情感关怀；四是安全保障服务。定期探访，排查居住环境安全、基本生活保障等情况，防范意外风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4,225,180.00</w:t>
      </w:r>
    </w:p>
    <w:p>
      <w:pPr>
        <w:pStyle w:val="null3"/>
      </w:pPr>
      <w:r>
        <w:rPr>
          <w:rFonts w:ascii="仿宋_GB2312" w:hAnsi="仿宋_GB2312" w:cs="仿宋_GB2312" w:eastAsia="仿宋_GB2312"/>
        </w:rPr>
        <w:t>采购包最高限价（元）: 4,225,180.00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基本生活照料住院护理精神慰藉安全保障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4,225,180.00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标的名称：基本生活照料住院护理精神慰藉安全保障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ind w:firstLine="640"/>
              <w:jc w:val="both"/>
            </w:pPr>
            <w:r>
              <w:rPr>
                <w:rFonts w:ascii="仿宋_GB2312" w:hAnsi="仿宋_GB2312" w:cs="仿宋_GB2312" w:eastAsia="仿宋_GB2312"/>
                <w:sz w:val="21"/>
                <w:b/>
                <w:color w:val="000000"/>
              </w:rPr>
              <w:t>为</w:t>
            </w:r>
            <w:r>
              <w:rPr>
                <w:rFonts w:ascii="仿宋_GB2312" w:hAnsi="仿宋_GB2312" w:cs="仿宋_GB2312" w:eastAsia="仿宋_GB2312"/>
                <w:sz w:val="21"/>
                <w:b/>
                <w:color w:val="000000"/>
              </w:rPr>
              <w:t>深入贯彻落实《陕西省民政厅办公室关于进一步加强和规范分散供养特困人员照料服务工作的通知》（陕民发〔</w:t>
            </w:r>
            <w:r>
              <w:rPr>
                <w:rFonts w:ascii="仿宋_GB2312" w:hAnsi="仿宋_GB2312" w:cs="仿宋_GB2312" w:eastAsia="仿宋_GB2312"/>
                <w:sz w:val="21"/>
                <w:b/>
                <w:color w:val="000000"/>
              </w:rPr>
              <w:t>2020〕80号）和《商洛市民政局商洛市财政局关于印发〈开展服务类社会救助工作的实施方案〉的通知》（商民发〔2023〕136号）文件精神，切实提高分散供养特困人员照料护理水平，依据商洛市民政局《关于推广分散供养特困人员照料护理购买服务的通知》（商民发〔2024〕120号）及县政府办《关于印发‹山阳县全面开展政府购买分散供养特困人员照料护理服务工作实施方案›的通知》（山政办发〔2025〕18号）相关规定，特制定本项目相关技术指标要求。</w:t>
            </w:r>
          </w:p>
          <w:p>
            <w:pPr>
              <w:pStyle w:val="null3"/>
              <w:spacing w:before="105" w:after="105"/>
              <w:ind w:firstLine="643"/>
              <w:jc w:val="both"/>
            </w:pPr>
            <w:r>
              <w:rPr>
                <w:rFonts w:ascii="仿宋_GB2312" w:hAnsi="仿宋_GB2312" w:cs="仿宋_GB2312" w:eastAsia="仿宋_GB2312"/>
                <w:sz w:val="21"/>
                <w:b/>
                <w:color w:val="000000"/>
              </w:rPr>
              <w:t>一、服务对象及数量</w:t>
            </w:r>
          </w:p>
          <w:p>
            <w:pPr>
              <w:pStyle w:val="null3"/>
              <w:spacing w:before="105" w:after="105"/>
              <w:ind w:firstLine="640"/>
              <w:jc w:val="both"/>
            </w:pPr>
            <w:r>
              <w:rPr>
                <w:rFonts w:ascii="仿宋_GB2312" w:hAnsi="仿宋_GB2312" w:cs="仿宋_GB2312" w:eastAsia="仿宋_GB2312"/>
                <w:sz w:val="21"/>
                <w:b/>
                <w:color w:val="000000"/>
              </w:rPr>
              <w:t>符合以下列条件之一的分散供养特困人员，必须纳入政府购买第三方照料服务范围：</w:t>
            </w:r>
            <w:r>
              <w:rPr>
                <w:rFonts w:ascii="仿宋_GB2312" w:hAnsi="仿宋_GB2312" w:cs="仿宋_GB2312" w:eastAsia="仿宋_GB2312"/>
                <w:sz w:val="21"/>
                <w:b/>
                <w:color w:val="000000"/>
              </w:rPr>
              <w:t>1.原照料护理人履职不到位、不符合法定照护条件，或照料护理服务质量未达标准的；2.原照料护理人虽已依规正常履行照料护理职责，但分散供养特困人员（或监护人）自愿申请选择政府购买照料护理服务的。</w:t>
            </w:r>
          </w:p>
          <w:p>
            <w:pPr>
              <w:pStyle w:val="null3"/>
              <w:spacing w:before="105" w:after="105"/>
              <w:ind w:firstLine="640"/>
              <w:jc w:val="both"/>
            </w:pPr>
            <w:r>
              <w:rPr>
                <w:rFonts w:ascii="仿宋_GB2312" w:hAnsi="仿宋_GB2312" w:cs="仿宋_GB2312" w:eastAsia="仿宋_GB2312"/>
                <w:sz w:val="21"/>
                <w:b/>
                <w:color w:val="000000"/>
              </w:rPr>
              <w:t>根据前期全县</w:t>
            </w:r>
            <w:r>
              <w:rPr>
                <w:rFonts w:ascii="仿宋_GB2312" w:hAnsi="仿宋_GB2312" w:cs="仿宋_GB2312" w:eastAsia="仿宋_GB2312"/>
                <w:sz w:val="21"/>
                <w:b/>
                <w:color w:val="000000"/>
              </w:rPr>
              <w:t>4个试点镇与第三方服务机构签约照料协议情况测算，全县18个镇（街）预计纳入政府购买第三方服务机构开展照料护理服务人数为1445人（测算基数按照65%意向签约率核定），最终以第三方实际服务分散供养特困人员人数为准。由中标第三方服务机构为分散供养特困人员提供居家上门照料和住院陪护服务。</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left="645"/>
              <w:jc w:val="both"/>
            </w:pPr>
            <w:r>
              <w:rPr>
                <w:rFonts w:ascii="仿宋_GB2312" w:hAnsi="仿宋_GB2312" w:cs="仿宋_GB2312" w:eastAsia="仿宋_GB2312"/>
                <w:sz w:val="21"/>
                <w:b/>
                <w:color w:val="000000"/>
              </w:rPr>
              <w:t>二、服务内容</w:t>
            </w:r>
          </w:p>
          <w:p>
            <w:pPr>
              <w:pStyle w:val="null3"/>
              <w:ind w:firstLine="640"/>
              <w:jc w:val="both"/>
            </w:pPr>
            <w:r>
              <w:rPr>
                <w:rFonts w:ascii="仿宋_GB2312" w:hAnsi="仿宋_GB2312" w:cs="仿宋_GB2312" w:eastAsia="仿宋_GB2312"/>
                <w:sz w:val="21"/>
                <w:b/>
                <w:color w:val="000000"/>
              </w:rPr>
              <w:t>服务机构须按照</w:t>
            </w:r>
            <w:r>
              <w:rPr>
                <w:rFonts w:ascii="仿宋_GB2312" w:hAnsi="仿宋_GB2312" w:cs="仿宋_GB2312" w:eastAsia="仿宋_GB2312"/>
                <w:sz w:val="21"/>
                <w:b/>
                <w:color w:val="000000"/>
              </w:rPr>
              <w:t>服务对象自理能力等级（全自理、半自理、全护理）</w:t>
            </w:r>
            <w:r>
              <w:rPr>
                <w:rFonts w:ascii="仿宋_GB2312" w:hAnsi="仿宋_GB2312" w:cs="仿宋_GB2312" w:eastAsia="仿宋_GB2312"/>
                <w:sz w:val="21"/>
                <w:b/>
                <w:color w:val="000000"/>
              </w:rPr>
              <w:t>、身体状况</w:t>
            </w:r>
            <w:r>
              <w:rPr>
                <w:rFonts w:ascii="仿宋_GB2312" w:hAnsi="仿宋_GB2312" w:cs="仿宋_GB2312" w:eastAsia="仿宋_GB2312"/>
                <w:sz w:val="21"/>
                <w:b/>
                <w:color w:val="000000"/>
              </w:rPr>
              <w:t>及</w:t>
            </w:r>
            <w:r>
              <w:rPr>
                <w:rFonts w:ascii="仿宋_GB2312" w:hAnsi="仿宋_GB2312" w:cs="仿宋_GB2312" w:eastAsia="仿宋_GB2312"/>
                <w:sz w:val="21"/>
                <w:b/>
                <w:color w:val="000000"/>
              </w:rPr>
              <w:t>个性化</w:t>
            </w:r>
            <w:r>
              <w:rPr>
                <w:rFonts w:ascii="仿宋_GB2312" w:hAnsi="仿宋_GB2312" w:cs="仿宋_GB2312" w:eastAsia="仿宋_GB2312"/>
                <w:sz w:val="21"/>
                <w:b/>
                <w:color w:val="000000"/>
              </w:rPr>
              <w:t>实际需求，对照</w:t>
            </w:r>
            <w:r>
              <w:rPr>
                <w:rFonts w:ascii="仿宋_GB2312" w:hAnsi="仿宋_GB2312" w:cs="仿宋_GB2312" w:eastAsia="仿宋_GB2312"/>
                <w:sz w:val="21"/>
                <w:b/>
                <w:color w:val="000000"/>
              </w:rPr>
              <w:t>附件</w:t>
            </w:r>
            <w:r>
              <w:rPr>
                <w:rFonts w:ascii="仿宋_GB2312" w:hAnsi="仿宋_GB2312" w:cs="仿宋_GB2312" w:eastAsia="仿宋_GB2312"/>
                <w:sz w:val="21"/>
                <w:b/>
                <w:color w:val="000000"/>
              </w:rPr>
              <w:t>《政府购买分散供养特困人员照料护理服务项目明细表》</w:t>
            </w:r>
            <w:r>
              <w:rPr>
                <w:rFonts w:ascii="仿宋_GB2312" w:hAnsi="仿宋_GB2312" w:cs="仿宋_GB2312" w:eastAsia="仿宋_GB2312"/>
                <w:sz w:val="21"/>
                <w:b/>
                <w:color w:val="000000"/>
              </w:rPr>
              <w:t>，科学</w:t>
            </w:r>
            <w:r>
              <w:rPr>
                <w:rFonts w:ascii="仿宋_GB2312" w:hAnsi="仿宋_GB2312" w:cs="仿宋_GB2312" w:eastAsia="仿宋_GB2312"/>
                <w:sz w:val="21"/>
                <w:b/>
                <w:color w:val="000000"/>
              </w:rPr>
              <w:t>选</w:t>
            </w:r>
            <w:r>
              <w:rPr>
                <w:rFonts w:ascii="仿宋_GB2312" w:hAnsi="仿宋_GB2312" w:cs="仿宋_GB2312" w:eastAsia="仿宋_GB2312"/>
                <w:sz w:val="21"/>
                <w:b/>
                <w:color w:val="000000"/>
              </w:rPr>
              <w:t>定</w:t>
            </w:r>
            <w:r>
              <w:rPr>
                <w:rFonts w:ascii="仿宋_GB2312" w:hAnsi="仿宋_GB2312" w:cs="仿宋_GB2312" w:eastAsia="仿宋_GB2312"/>
                <w:sz w:val="21"/>
                <w:b/>
                <w:color w:val="000000"/>
              </w:rPr>
              <w:t>服务项目、频次及标准，重点提供以下四类服务：</w:t>
            </w:r>
          </w:p>
          <w:p>
            <w:pPr>
              <w:pStyle w:val="null3"/>
              <w:ind w:firstLine="640"/>
              <w:jc w:val="both"/>
            </w:pPr>
            <w:r>
              <w:rPr>
                <w:rFonts w:ascii="仿宋_GB2312" w:hAnsi="仿宋_GB2312" w:cs="仿宋_GB2312" w:eastAsia="仿宋_GB2312"/>
                <w:sz w:val="21"/>
                <w:b/>
                <w:color w:val="000000"/>
              </w:rPr>
              <w:t>1.基本生活照料</w:t>
            </w:r>
            <w:r>
              <w:rPr>
                <w:rFonts w:ascii="仿宋_GB2312" w:hAnsi="仿宋_GB2312" w:cs="仿宋_GB2312" w:eastAsia="仿宋_GB2312"/>
                <w:sz w:val="21"/>
                <w:b/>
                <w:color w:val="000000"/>
              </w:rPr>
              <w:t>服务：</w:t>
            </w:r>
            <w:r>
              <w:rPr>
                <w:rFonts w:ascii="仿宋_GB2312" w:hAnsi="仿宋_GB2312" w:cs="仿宋_GB2312" w:eastAsia="仿宋_GB2312"/>
                <w:sz w:val="21"/>
                <w:b/>
                <w:color w:val="000000"/>
              </w:rPr>
              <w:t>协助个人卫生、家庭卫生、助餐、健康监测、代办等；</w:t>
            </w:r>
          </w:p>
          <w:p>
            <w:pPr>
              <w:pStyle w:val="null3"/>
              <w:ind w:firstLine="640"/>
              <w:jc w:val="both"/>
            </w:pPr>
            <w:r>
              <w:rPr>
                <w:rFonts w:ascii="仿宋_GB2312" w:hAnsi="仿宋_GB2312" w:cs="仿宋_GB2312" w:eastAsia="仿宋_GB2312"/>
                <w:sz w:val="21"/>
                <w:b/>
                <w:color w:val="000000"/>
              </w:rPr>
              <w:t>2.住院</w:t>
            </w:r>
            <w:r>
              <w:rPr>
                <w:rFonts w:ascii="仿宋_GB2312" w:hAnsi="仿宋_GB2312" w:cs="仿宋_GB2312" w:eastAsia="仿宋_GB2312"/>
                <w:sz w:val="21"/>
                <w:b/>
                <w:color w:val="000000"/>
              </w:rPr>
              <w:t>陪护</w:t>
            </w:r>
            <w:r>
              <w:rPr>
                <w:rFonts w:ascii="仿宋_GB2312" w:hAnsi="仿宋_GB2312" w:cs="仿宋_GB2312" w:eastAsia="仿宋_GB2312"/>
                <w:sz w:val="21"/>
                <w:b/>
                <w:color w:val="000000"/>
              </w:rPr>
              <w:t>服务</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在服务对象生病住院期间，提供必要的看护和照料；</w:t>
            </w:r>
          </w:p>
          <w:p>
            <w:pPr>
              <w:pStyle w:val="null3"/>
              <w:ind w:firstLine="640"/>
              <w:jc w:val="both"/>
            </w:pPr>
            <w:r>
              <w:rPr>
                <w:rFonts w:ascii="仿宋_GB2312" w:hAnsi="仿宋_GB2312" w:cs="仿宋_GB2312" w:eastAsia="仿宋_GB2312"/>
                <w:sz w:val="21"/>
                <w:b/>
                <w:color w:val="000000"/>
              </w:rPr>
              <w:t>3.精神慰藉服务</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通过沟通交流、陪伴等方式，给予心理支持和情感关怀；</w:t>
            </w:r>
          </w:p>
          <w:p>
            <w:pPr>
              <w:pStyle w:val="null3"/>
              <w:ind w:firstLine="640"/>
              <w:jc w:val="both"/>
            </w:pPr>
            <w:r>
              <w:rPr>
                <w:rFonts w:ascii="仿宋_GB2312" w:hAnsi="仿宋_GB2312" w:cs="仿宋_GB2312" w:eastAsia="仿宋_GB2312"/>
                <w:sz w:val="21"/>
                <w:b/>
                <w:color w:val="000000"/>
              </w:rPr>
              <w:t>4.安全保障</w:t>
            </w:r>
            <w:r>
              <w:rPr>
                <w:rFonts w:ascii="仿宋_GB2312" w:hAnsi="仿宋_GB2312" w:cs="仿宋_GB2312" w:eastAsia="仿宋_GB2312"/>
                <w:sz w:val="21"/>
                <w:b/>
                <w:color w:val="000000"/>
              </w:rPr>
              <w:t>巡访</w:t>
            </w:r>
            <w:r>
              <w:rPr>
                <w:rFonts w:ascii="仿宋_GB2312" w:hAnsi="仿宋_GB2312" w:cs="仿宋_GB2312" w:eastAsia="仿宋_GB2312"/>
                <w:sz w:val="21"/>
                <w:b/>
                <w:color w:val="000000"/>
              </w:rPr>
              <w:t>服务</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定期探访，排查居住环境安全、基本生活保障等情况，防范意外风险。</w:t>
            </w:r>
          </w:p>
          <w:tbl>
            <w:tblPr>
              <w:tblBorders>
                <w:top w:val="single"/>
                <w:left w:val="single"/>
                <w:bottom w:val="single"/>
                <w:right w:val="single"/>
                <w:insideH w:val="single"/>
                <w:insideV w:val="single"/>
              </w:tblBorders>
            </w:tblPr>
            <w:tblGrid>
              <w:gridCol w:w="161"/>
              <w:gridCol w:w="187"/>
              <w:gridCol w:w="475"/>
              <w:gridCol w:w="1349"/>
              <w:gridCol w:w="338"/>
              <w:gridCol w:w="338"/>
              <w:gridCol w:w="338"/>
            </w:tblGrid>
            <w:tr>
              <w:tc>
                <w:tcPr>
                  <w:tcW w:type="dxa" w:w="3186"/>
                  <w:gridSpan w:val="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政府购买分散供养特困人员照料护理服务项目明细表</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1"/>
                      <w:b/>
                      <w:color w:val="000000"/>
                    </w:rPr>
                    <w:t>服务</w:t>
                  </w:r>
                  <w:r>
                    <w:br/>
                  </w:r>
                  <w:r>
                    <w:rPr>
                      <w:rFonts w:ascii="仿宋_GB2312" w:hAnsi="仿宋_GB2312" w:cs="仿宋_GB2312" w:eastAsia="仿宋_GB2312"/>
                      <w:sz w:val="21"/>
                      <w:b/>
                      <w:color w:val="000000"/>
                    </w:rPr>
                    <w:t xml:space="preserve"> 项目</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1"/>
                      <w:b/>
                      <w:color w:val="000000"/>
                    </w:rPr>
                    <w:t>服务</w:t>
                  </w:r>
                  <w:r>
                    <w:br/>
                  </w:r>
                  <w:r>
                    <w:rPr>
                      <w:rFonts w:ascii="仿宋_GB2312" w:hAnsi="仿宋_GB2312" w:cs="仿宋_GB2312" w:eastAsia="仿宋_GB2312"/>
                      <w:sz w:val="21"/>
                      <w:b/>
                      <w:color w:val="000000"/>
                    </w:rPr>
                    <w:t xml:space="preserve"> 类别</w:t>
                  </w:r>
                </w:p>
              </w:tc>
              <w:tc>
                <w:tcPr>
                  <w:tcW w:type="dxa" w:w="4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1"/>
                      <w:b/>
                      <w:color w:val="000000"/>
                    </w:rPr>
                    <w:t>基础性服务内容</w:t>
                  </w:r>
                  <w:r>
                    <w:br/>
                  </w:r>
                  <w:r>
                    <w:rPr>
                      <w:rFonts w:ascii="仿宋_GB2312" w:hAnsi="仿宋_GB2312" w:cs="仿宋_GB2312" w:eastAsia="仿宋_GB2312"/>
                      <w:sz w:val="21"/>
                      <w:b/>
                      <w:color w:val="000000"/>
                    </w:rPr>
                    <w:t xml:space="preserve"> （必须服务项目）</w:t>
                  </w:r>
                </w:p>
              </w:tc>
              <w:tc>
                <w:tcPr>
                  <w:tcW w:type="dxa" w:w="2363"/>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br/>
                  </w:r>
                  <w:r>
                    <w:rPr>
                      <w:rFonts w:ascii="仿宋_GB2312" w:hAnsi="仿宋_GB2312" w:cs="仿宋_GB2312" w:eastAsia="仿宋_GB2312"/>
                      <w:sz w:val="21"/>
                      <w:b/>
                      <w:color w:val="000000"/>
                    </w:rPr>
                    <w:t xml:space="preserve"> 选择性服务内容（由照护对象根据自身自理能力等级自主选择服务项目）</w:t>
                  </w:r>
                  <w:r>
                    <w:br/>
                  </w:r>
                  <w:r>
                    <w:br/>
                  </w:r>
                  <w:r>
                    <w:rPr>
                      <w:rFonts w:ascii="仿宋_GB2312" w:hAnsi="仿宋_GB2312" w:cs="仿宋_GB2312" w:eastAsia="仿宋_GB2312"/>
                    </w:rPr>
                    <w:t xml:space="preserve">  </w:t>
                  </w:r>
                </w:p>
              </w:tc>
            </w:tr>
            <w:tr>
              <w:tc>
                <w:tcPr>
                  <w:tcW w:type="dxa" w:w="16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居家照料护理服务</w:t>
                  </w:r>
                </w:p>
              </w:tc>
              <w:tc>
                <w:tcPr>
                  <w:tcW w:type="dxa" w:w="18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个人</w:t>
                  </w:r>
                  <w:r>
                    <w:br/>
                  </w:r>
                  <w:r>
                    <w:rPr>
                      <w:rFonts w:ascii="仿宋_GB2312" w:hAnsi="仿宋_GB2312" w:cs="仿宋_GB2312" w:eastAsia="仿宋_GB2312"/>
                      <w:sz w:val="21"/>
                      <w:color w:val="000000"/>
                    </w:rPr>
                    <w:t xml:space="preserve"> 卫生</w:t>
                  </w:r>
                  <w:r>
                    <w:br/>
                  </w:r>
                  <w:r>
                    <w:rPr>
                      <w:rFonts w:ascii="仿宋_GB2312" w:hAnsi="仿宋_GB2312" w:cs="仿宋_GB2312" w:eastAsia="仿宋_GB2312"/>
                      <w:sz w:val="21"/>
                      <w:color w:val="000000"/>
                    </w:rPr>
                    <w:t xml:space="preserve"> 服务</w:t>
                  </w:r>
                </w:p>
              </w:tc>
              <w:tc>
                <w:tcPr>
                  <w:tcW w:type="dxa" w:w="47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1.理发</w:t>
                  </w:r>
                  <w:r>
                    <w:br/>
                  </w:r>
                  <w:r>
                    <w:rPr>
                      <w:rFonts w:ascii="仿宋_GB2312" w:hAnsi="仿宋_GB2312" w:cs="仿宋_GB2312" w:eastAsia="仿宋_GB2312"/>
                      <w:sz w:val="21"/>
                      <w:color w:val="000000"/>
                    </w:rPr>
                    <w:t xml:space="preserve"> 2.剃须</w:t>
                  </w:r>
                </w:p>
              </w:tc>
              <w:tc>
                <w:tcPr>
                  <w:tcW w:type="dxa" w:w="1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1.洗头</w:t>
                  </w:r>
                </w:p>
              </w:tc>
              <w:tc>
                <w:tcPr>
                  <w:tcW w:type="dxa" w:w="1014"/>
                  <w:gridSpan w:val="3"/>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全自理对象可从中选择</w:t>
                  </w:r>
                  <w:r>
                    <w:br/>
                  </w:r>
                  <w:r>
                    <w:rPr>
                      <w:rFonts w:ascii="仿宋_GB2312" w:hAnsi="仿宋_GB2312" w:cs="仿宋_GB2312" w:eastAsia="仿宋_GB2312"/>
                      <w:sz w:val="21"/>
                      <w:color w:val="000000"/>
                    </w:rPr>
                    <w:t xml:space="preserve"> 3项；半自理对象可从中选择</w:t>
                  </w:r>
                  <w:r>
                    <w:br/>
                  </w:r>
                  <w:r>
                    <w:rPr>
                      <w:rFonts w:ascii="仿宋_GB2312" w:hAnsi="仿宋_GB2312" w:cs="仿宋_GB2312" w:eastAsia="仿宋_GB2312"/>
                      <w:sz w:val="21"/>
                      <w:color w:val="000000"/>
                    </w:rPr>
                    <w:t xml:space="preserve"> 4项；全护理对象5项均可选择。</w:t>
                  </w:r>
                </w:p>
              </w:tc>
            </w:tr>
            <w:tr>
              <w:tc>
                <w:tcPr>
                  <w:tcW w:type="dxa" w:w="161"/>
                  <w:vMerge/>
                  <w:tcBorders>
                    <w:top w:val="single" w:color="000000" w:sz="4"/>
                    <w:left w:val="single" w:color="000000" w:sz="4"/>
                    <w:bottom w:val="single" w:color="000000" w:sz="4"/>
                    <w:right w:val="single" w:color="000000" w:sz="4"/>
                  </w:tcBorders>
                </w:tcPr>
                <w:p/>
              </w:tc>
              <w:tc>
                <w:tcPr>
                  <w:tcW w:type="dxa" w:w="187"/>
                  <w:vMerge/>
                  <w:tcBorders>
                    <w:top w:val="single" w:color="000000" w:sz="4"/>
                    <w:left w:val="single" w:color="000000" w:sz="4"/>
                    <w:bottom w:val="single" w:color="000000" w:sz="4"/>
                    <w:right w:val="single" w:color="000000" w:sz="4"/>
                  </w:tcBorders>
                </w:tcPr>
                <w:p/>
              </w:tc>
              <w:tc>
                <w:tcPr>
                  <w:tcW w:type="dxa" w:w="475"/>
                  <w:vMerge/>
                  <w:tcBorders>
                    <w:top w:val="single" w:color="000000" w:sz="4"/>
                    <w:left w:val="single" w:color="000000" w:sz="4"/>
                    <w:bottom w:val="single" w:color="000000" w:sz="4"/>
                    <w:right w:val="single" w:color="000000" w:sz="4"/>
                  </w:tcBorders>
                </w:tcPr>
                <w:p/>
              </w:tc>
              <w:tc>
                <w:tcPr>
                  <w:tcW w:type="dxa" w:w="1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2.洁面</w:t>
                  </w:r>
                </w:p>
              </w:tc>
            </w:tr>
            <w:tr>
              <w:tc>
                <w:tcPr>
                  <w:tcW w:type="dxa" w:w="161"/>
                  <w:vMerge/>
                  <w:tcBorders>
                    <w:top w:val="single" w:color="000000" w:sz="4"/>
                    <w:left w:val="single" w:color="000000" w:sz="4"/>
                    <w:bottom w:val="single" w:color="000000" w:sz="4"/>
                    <w:right w:val="single" w:color="000000" w:sz="4"/>
                  </w:tcBorders>
                </w:tcPr>
                <w:p/>
              </w:tc>
              <w:tc>
                <w:tcPr>
                  <w:tcW w:type="dxa" w:w="187"/>
                  <w:vMerge/>
                  <w:tcBorders>
                    <w:top w:val="single" w:color="000000" w:sz="4"/>
                    <w:left w:val="single" w:color="000000" w:sz="4"/>
                    <w:bottom w:val="single" w:color="000000" w:sz="4"/>
                    <w:right w:val="single" w:color="000000" w:sz="4"/>
                  </w:tcBorders>
                </w:tcPr>
                <w:p/>
              </w:tc>
              <w:tc>
                <w:tcPr>
                  <w:tcW w:type="dxa" w:w="475"/>
                  <w:vMerge/>
                  <w:tcBorders>
                    <w:top w:val="single" w:color="000000" w:sz="4"/>
                    <w:left w:val="single" w:color="000000" w:sz="4"/>
                    <w:bottom w:val="single" w:color="000000" w:sz="4"/>
                    <w:right w:val="single" w:color="000000" w:sz="4"/>
                  </w:tcBorders>
                </w:tcPr>
                <w:p/>
              </w:tc>
              <w:tc>
                <w:tcPr>
                  <w:tcW w:type="dxa" w:w="1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3.洗脚</w:t>
                  </w:r>
                </w:p>
              </w:tc>
            </w:tr>
            <w:tr>
              <w:tc>
                <w:tcPr>
                  <w:tcW w:type="dxa" w:w="161"/>
                  <w:vMerge/>
                  <w:tcBorders>
                    <w:top w:val="single" w:color="000000" w:sz="4"/>
                    <w:left w:val="single" w:color="000000" w:sz="4"/>
                    <w:bottom w:val="single" w:color="000000" w:sz="4"/>
                    <w:right w:val="single" w:color="000000" w:sz="4"/>
                  </w:tcBorders>
                </w:tcPr>
                <w:p/>
              </w:tc>
              <w:tc>
                <w:tcPr>
                  <w:tcW w:type="dxa" w:w="187"/>
                  <w:vMerge/>
                  <w:tcBorders>
                    <w:top w:val="single" w:color="000000" w:sz="4"/>
                    <w:left w:val="single" w:color="000000" w:sz="4"/>
                    <w:bottom w:val="single" w:color="000000" w:sz="4"/>
                    <w:right w:val="single" w:color="000000" w:sz="4"/>
                  </w:tcBorders>
                </w:tcPr>
                <w:p/>
              </w:tc>
              <w:tc>
                <w:tcPr>
                  <w:tcW w:type="dxa" w:w="475"/>
                  <w:vMerge/>
                  <w:tcBorders>
                    <w:top w:val="single" w:color="000000" w:sz="4"/>
                    <w:left w:val="single" w:color="000000" w:sz="4"/>
                    <w:bottom w:val="single" w:color="000000" w:sz="4"/>
                    <w:right w:val="single" w:color="000000" w:sz="4"/>
                  </w:tcBorders>
                </w:tcPr>
                <w:p/>
              </w:tc>
              <w:tc>
                <w:tcPr>
                  <w:tcW w:type="dxa" w:w="1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4.修剪指（趾）甲</w:t>
                  </w:r>
                </w:p>
              </w:tc>
            </w:tr>
            <w:tr>
              <w:tc>
                <w:tcPr>
                  <w:tcW w:type="dxa" w:w="161"/>
                  <w:vMerge/>
                  <w:tcBorders>
                    <w:top w:val="single" w:color="000000" w:sz="4"/>
                    <w:left w:val="single" w:color="000000" w:sz="4"/>
                    <w:bottom w:val="single" w:color="000000" w:sz="4"/>
                    <w:right w:val="single" w:color="000000" w:sz="4"/>
                  </w:tcBorders>
                </w:tcPr>
                <w:p/>
              </w:tc>
              <w:tc>
                <w:tcPr>
                  <w:tcW w:type="dxa" w:w="187"/>
                  <w:vMerge/>
                  <w:tcBorders>
                    <w:top w:val="single" w:color="000000" w:sz="4"/>
                    <w:left w:val="single" w:color="000000" w:sz="4"/>
                    <w:bottom w:val="single" w:color="000000" w:sz="4"/>
                    <w:right w:val="single" w:color="000000" w:sz="4"/>
                  </w:tcBorders>
                </w:tcPr>
                <w:p/>
              </w:tc>
              <w:tc>
                <w:tcPr>
                  <w:tcW w:type="dxa" w:w="475"/>
                  <w:vMerge/>
                  <w:tcBorders>
                    <w:top w:val="single" w:color="000000" w:sz="4"/>
                    <w:left w:val="single" w:color="000000" w:sz="4"/>
                    <w:bottom w:val="single" w:color="000000" w:sz="4"/>
                    <w:right w:val="single" w:color="000000" w:sz="4"/>
                  </w:tcBorders>
                </w:tcPr>
                <w:p/>
              </w:tc>
              <w:tc>
                <w:tcPr>
                  <w:tcW w:type="dxa" w:w="1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5.帮助洗澡或擦身</w:t>
                  </w:r>
                </w:p>
              </w:tc>
            </w:tr>
            <w:tr>
              <w:tc>
                <w:tcPr>
                  <w:tcW w:type="dxa" w:w="161"/>
                  <w:vMerge/>
                  <w:tcBorders>
                    <w:top w:val="single" w:color="000000" w:sz="4"/>
                    <w:left w:val="single" w:color="000000" w:sz="4"/>
                    <w:bottom w:val="single" w:color="000000" w:sz="4"/>
                    <w:right w:val="single" w:color="000000" w:sz="4"/>
                  </w:tcBorders>
                </w:tcPr>
                <w:p/>
              </w:tc>
              <w:tc>
                <w:tcPr>
                  <w:tcW w:type="dxa" w:w="18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家庭</w:t>
                  </w:r>
                  <w:r>
                    <w:br/>
                  </w:r>
                  <w:r>
                    <w:rPr>
                      <w:rFonts w:ascii="仿宋_GB2312" w:hAnsi="仿宋_GB2312" w:cs="仿宋_GB2312" w:eastAsia="仿宋_GB2312"/>
                      <w:sz w:val="21"/>
                      <w:color w:val="000000"/>
                    </w:rPr>
                    <w:t xml:space="preserve"> 卫生</w:t>
                  </w:r>
                  <w:r>
                    <w:br/>
                  </w:r>
                  <w:r>
                    <w:rPr>
                      <w:rFonts w:ascii="仿宋_GB2312" w:hAnsi="仿宋_GB2312" w:cs="仿宋_GB2312" w:eastAsia="仿宋_GB2312"/>
                      <w:sz w:val="21"/>
                      <w:color w:val="000000"/>
                    </w:rPr>
                    <w:t xml:space="preserve"> 服务</w:t>
                  </w:r>
                </w:p>
              </w:tc>
              <w:tc>
                <w:tcPr>
                  <w:tcW w:type="dxa" w:w="47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1.院落及室内保洁</w:t>
                  </w:r>
                  <w:r>
                    <w:br/>
                  </w:r>
                  <w:r>
                    <w:rPr>
                      <w:rFonts w:ascii="仿宋_GB2312" w:hAnsi="仿宋_GB2312" w:cs="仿宋_GB2312" w:eastAsia="仿宋_GB2312"/>
                      <w:sz w:val="21"/>
                      <w:color w:val="000000"/>
                    </w:rPr>
                    <w:t xml:space="preserve"> 2.清洗床单、被罩等床上用品</w:t>
                  </w:r>
                </w:p>
              </w:tc>
              <w:tc>
                <w:tcPr>
                  <w:tcW w:type="dxa" w:w="1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1.洗厚（大）外衣（裤）</w:t>
                  </w:r>
                </w:p>
              </w:tc>
              <w:tc>
                <w:tcPr>
                  <w:tcW w:type="dxa" w:w="1014"/>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全自理对象可从中选择</w:t>
                  </w:r>
                  <w:r>
                    <w:br/>
                  </w:r>
                  <w:r>
                    <w:rPr>
                      <w:rFonts w:ascii="仿宋_GB2312" w:hAnsi="仿宋_GB2312" w:cs="仿宋_GB2312" w:eastAsia="仿宋_GB2312"/>
                      <w:sz w:val="21"/>
                      <w:color w:val="000000"/>
                    </w:rPr>
                    <w:t xml:space="preserve"> 4项；半自理对象可从中选择</w:t>
                  </w:r>
                  <w:r>
                    <w:br/>
                  </w:r>
                  <w:r>
                    <w:rPr>
                      <w:rFonts w:ascii="仿宋_GB2312" w:hAnsi="仿宋_GB2312" w:cs="仿宋_GB2312" w:eastAsia="仿宋_GB2312"/>
                      <w:sz w:val="21"/>
                      <w:color w:val="000000"/>
                    </w:rPr>
                    <w:t xml:space="preserve"> 5项；全护理对象7项均可选择。</w:t>
                  </w:r>
                </w:p>
              </w:tc>
            </w:tr>
            <w:tr>
              <w:tc>
                <w:tcPr>
                  <w:tcW w:type="dxa" w:w="161"/>
                  <w:vMerge/>
                  <w:tcBorders>
                    <w:top w:val="single" w:color="000000" w:sz="4"/>
                    <w:left w:val="single" w:color="000000" w:sz="4"/>
                    <w:bottom w:val="single" w:color="000000" w:sz="4"/>
                    <w:right w:val="single" w:color="000000" w:sz="4"/>
                  </w:tcBorders>
                </w:tcPr>
                <w:p/>
              </w:tc>
              <w:tc>
                <w:tcPr>
                  <w:tcW w:type="dxa" w:w="187"/>
                  <w:vMerge/>
                  <w:tcBorders>
                    <w:top w:val="single" w:color="000000" w:sz="4"/>
                    <w:left w:val="single" w:color="000000" w:sz="4"/>
                    <w:bottom w:val="single" w:color="000000" w:sz="4"/>
                    <w:right w:val="single" w:color="000000" w:sz="4"/>
                  </w:tcBorders>
                </w:tcPr>
                <w:p/>
              </w:tc>
              <w:tc>
                <w:tcPr>
                  <w:tcW w:type="dxa" w:w="475"/>
                  <w:vMerge/>
                  <w:tcBorders>
                    <w:top w:val="single" w:color="000000" w:sz="4"/>
                    <w:left w:val="single" w:color="000000" w:sz="4"/>
                    <w:bottom w:val="single" w:color="000000" w:sz="4"/>
                    <w:right w:val="single" w:color="000000" w:sz="4"/>
                  </w:tcBorders>
                </w:tcPr>
                <w:p/>
              </w:tc>
              <w:tc>
                <w:tcPr>
                  <w:tcW w:type="dxa" w:w="1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2.屋内外杂物收拾整理</w:t>
                  </w:r>
                </w:p>
              </w:tc>
            </w:tr>
            <w:tr>
              <w:tc>
                <w:tcPr>
                  <w:tcW w:type="dxa" w:w="161"/>
                  <w:vMerge/>
                  <w:tcBorders>
                    <w:top w:val="single" w:color="000000" w:sz="4"/>
                    <w:left w:val="single" w:color="000000" w:sz="4"/>
                    <w:bottom w:val="single" w:color="000000" w:sz="4"/>
                    <w:right w:val="single" w:color="000000" w:sz="4"/>
                  </w:tcBorders>
                </w:tcPr>
                <w:p/>
              </w:tc>
              <w:tc>
                <w:tcPr>
                  <w:tcW w:type="dxa" w:w="187"/>
                  <w:vMerge/>
                  <w:tcBorders>
                    <w:top w:val="single" w:color="000000" w:sz="4"/>
                    <w:left w:val="single" w:color="000000" w:sz="4"/>
                    <w:bottom w:val="single" w:color="000000" w:sz="4"/>
                    <w:right w:val="single" w:color="000000" w:sz="4"/>
                  </w:tcBorders>
                </w:tcPr>
                <w:p/>
              </w:tc>
              <w:tc>
                <w:tcPr>
                  <w:tcW w:type="dxa" w:w="475"/>
                  <w:vMerge/>
                  <w:tcBorders>
                    <w:top w:val="single" w:color="000000" w:sz="4"/>
                    <w:left w:val="single" w:color="000000" w:sz="4"/>
                    <w:bottom w:val="single" w:color="000000" w:sz="4"/>
                    <w:right w:val="single" w:color="000000" w:sz="4"/>
                  </w:tcBorders>
                </w:tcPr>
                <w:p/>
              </w:tc>
              <w:tc>
                <w:tcPr>
                  <w:tcW w:type="dxa" w:w="1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3.擦洗门窗玻璃</w:t>
                  </w:r>
                </w:p>
              </w:tc>
            </w:tr>
            <w:tr>
              <w:tc>
                <w:tcPr>
                  <w:tcW w:type="dxa" w:w="161"/>
                  <w:vMerge/>
                  <w:tcBorders>
                    <w:top w:val="single" w:color="000000" w:sz="4"/>
                    <w:left w:val="single" w:color="000000" w:sz="4"/>
                    <w:bottom w:val="single" w:color="000000" w:sz="4"/>
                    <w:right w:val="single" w:color="000000" w:sz="4"/>
                  </w:tcBorders>
                </w:tcPr>
                <w:p/>
              </w:tc>
              <w:tc>
                <w:tcPr>
                  <w:tcW w:type="dxa" w:w="187"/>
                  <w:vMerge/>
                  <w:tcBorders>
                    <w:top w:val="single" w:color="000000" w:sz="4"/>
                    <w:left w:val="single" w:color="000000" w:sz="4"/>
                    <w:bottom w:val="single" w:color="000000" w:sz="4"/>
                    <w:right w:val="single" w:color="000000" w:sz="4"/>
                  </w:tcBorders>
                </w:tcPr>
                <w:p/>
              </w:tc>
              <w:tc>
                <w:tcPr>
                  <w:tcW w:type="dxa" w:w="475"/>
                  <w:vMerge/>
                  <w:tcBorders>
                    <w:top w:val="single" w:color="000000" w:sz="4"/>
                    <w:left w:val="single" w:color="000000" w:sz="4"/>
                    <w:bottom w:val="single" w:color="000000" w:sz="4"/>
                    <w:right w:val="single" w:color="000000" w:sz="4"/>
                  </w:tcBorders>
                </w:tcPr>
                <w:p/>
              </w:tc>
              <w:tc>
                <w:tcPr>
                  <w:tcW w:type="dxa" w:w="1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4.窗帘拆洗</w:t>
                  </w:r>
                </w:p>
              </w:tc>
            </w:tr>
            <w:tr>
              <w:tc>
                <w:tcPr>
                  <w:tcW w:type="dxa" w:w="161"/>
                  <w:vMerge/>
                  <w:tcBorders>
                    <w:top w:val="single" w:color="000000" w:sz="4"/>
                    <w:left w:val="single" w:color="000000" w:sz="4"/>
                    <w:bottom w:val="single" w:color="000000" w:sz="4"/>
                    <w:right w:val="single" w:color="000000" w:sz="4"/>
                  </w:tcBorders>
                </w:tcPr>
                <w:p/>
              </w:tc>
              <w:tc>
                <w:tcPr>
                  <w:tcW w:type="dxa" w:w="187"/>
                  <w:vMerge/>
                  <w:tcBorders>
                    <w:top w:val="single" w:color="000000" w:sz="4"/>
                    <w:left w:val="single" w:color="000000" w:sz="4"/>
                    <w:bottom w:val="single" w:color="000000" w:sz="4"/>
                    <w:right w:val="single" w:color="000000" w:sz="4"/>
                  </w:tcBorders>
                </w:tcPr>
                <w:p/>
              </w:tc>
              <w:tc>
                <w:tcPr>
                  <w:tcW w:type="dxa" w:w="475"/>
                  <w:vMerge/>
                  <w:tcBorders>
                    <w:top w:val="single" w:color="000000" w:sz="4"/>
                    <w:left w:val="single" w:color="000000" w:sz="4"/>
                    <w:bottom w:val="single" w:color="000000" w:sz="4"/>
                    <w:right w:val="single" w:color="000000" w:sz="4"/>
                  </w:tcBorders>
                </w:tcPr>
                <w:p/>
              </w:tc>
              <w:tc>
                <w:tcPr>
                  <w:tcW w:type="dxa" w:w="1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5.清洗灶台、碗筷、排气扇等厨房用品。</w:t>
                  </w:r>
                </w:p>
              </w:tc>
            </w:tr>
            <w:tr>
              <w:tc>
                <w:tcPr>
                  <w:tcW w:type="dxa" w:w="161"/>
                  <w:vMerge/>
                  <w:tcBorders>
                    <w:top w:val="single" w:color="000000" w:sz="4"/>
                    <w:left w:val="single" w:color="000000" w:sz="4"/>
                    <w:bottom w:val="single" w:color="000000" w:sz="4"/>
                    <w:right w:val="single" w:color="000000" w:sz="4"/>
                  </w:tcBorders>
                </w:tcPr>
                <w:p/>
              </w:tc>
              <w:tc>
                <w:tcPr>
                  <w:tcW w:type="dxa" w:w="187"/>
                  <w:vMerge/>
                  <w:tcBorders>
                    <w:top w:val="single" w:color="000000" w:sz="4"/>
                    <w:left w:val="single" w:color="000000" w:sz="4"/>
                    <w:bottom w:val="single" w:color="000000" w:sz="4"/>
                    <w:right w:val="single" w:color="000000" w:sz="4"/>
                  </w:tcBorders>
                </w:tcPr>
                <w:p/>
              </w:tc>
              <w:tc>
                <w:tcPr>
                  <w:tcW w:type="dxa" w:w="475"/>
                  <w:vMerge/>
                  <w:tcBorders>
                    <w:top w:val="single" w:color="000000" w:sz="4"/>
                    <w:left w:val="single" w:color="000000" w:sz="4"/>
                    <w:bottom w:val="single" w:color="000000" w:sz="4"/>
                    <w:right w:val="single" w:color="000000" w:sz="4"/>
                  </w:tcBorders>
                </w:tcPr>
                <w:p/>
              </w:tc>
              <w:tc>
                <w:tcPr>
                  <w:tcW w:type="dxa" w:w="1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6.灭除蟑螂、苍蝇、老鼠、蚊子等“四害”</w:t>
                  </w:r>
                </w:p>
              </w:tc>
            </w:tr>
            <w:tr>
              <w:tc>
                <w:tcPr>
                  <w:tcW w:type="dxa" w:w="161"/>
                  <w:vMerge/>
                  <w:tcBorders>
                    <w:top w:val="single" w:color="000000" w:sz="4"/>
                    <w:left w:val="single" w:color="000000" w:sz="4"/>
                    <w:bottom w:val="single" w:color="000000" w:sz="4"/>
                    <w:right w:val="single" w:color="000000" w:sz="4"/>
                  </w:tcBorders>
                </w:tcPr>
                <w:p/>
              </w:tc>
              <w:tc>
                <w:tcPr>
                  <w:tcW w:type="dxa" w:w="187"/>
                  <w:vMerge/>
                  <w:tcBorders>
                    <w:top w:val="single" w:color="000000" w:sz="4"/>
                    <w:left w:val="single" w:color="000000" w:sz="4"/>
                    <w:bottom w:val="single" w:color="000000" w:sz="4"/>
                    <w:right w:val="single" w:color="000000" w:sz="4"/>
                  </w:tcBorders>
                </w:tcPr>
                <w:p/>
              </w:tc>
              <w:tc>
                <w:tcPr>
                  <w:tcW w:type="dxa" w:w="475"/>
                  <w:vMerge/>
                  <w:tcBorders>
                    <w:top w:val="single" w:color="000000" w:sz="4"/>
                    <w:left w:val="single" w:color="000000" w:sz="4"/>
                    <w:bottom w:val="single" w:color="000000" w:sz="4"/>
                    <w:right w:val="single" w:color="000000" w:sz="4"/>
                  </w:tcBorders>
                </w:tcPr>
                <w:p/>
              </w:tc>
              <w:tc>
                <w:tcPr>
                  <w:tcW w:type="dxa" w:w="1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7.空气净化</w:t>
                  </w:r>
                </w:p>
              </w:tc>
            </w:tr>
            <w:tr>
              <w:tc>
                <w:tcPr>
                  <w:tcW w:type="dxa" w:w="161"/>
                  <w:vMerge/>
                  <w:tcBorders>
                    <w:top w:val="single" w:color="000000" w:sz="4"/>
                    <w:left w:val="single" w:color="000000" w:sz="4"/>
                    <w:bottom w:val="single" w:color="000000" w:sz="4"/>
                    <w:right w:val="single" w:color="000000" w:sz="4"/>
                  </w:tcBorders>
                </w:tcP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助餐</w:t>
                  </w:r>
                </w:p>
              </w:tc>
              <w:tc>
                <w:tcPr>
                  <w:tcW w:type="dxa" w:w="4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1.协助服务对象做饭</w:t>
                  </w:r>
                </w:p>
              </w:tc>
              <w:tc>
                <w:tcPr>
                  <w:tcW w:type="dxa" w:w="2363"/>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在上门开展服务时，根据照护对象实际需求提供</w:t>
                  </w:r>
                </w:p>
              </w:tc>
            </w:tr>
            <w:tr>
              <w:tc>
                <w:tcPr>
                  <w:tcW w:type="dxa" w:w="161"/>
                  <w:vMerge/>
                  <w:tcBorders>
                    <w:top w:val="single" w:color="000000" w:sz="4"/>
                    <w:left w:val="single" w:color="000000" w:sz="4"/>
                    <w:bottom w:val="single" w:color="000000" w:sz="4"/>
                    <w:right w:val="single" w:color="000000" w:sz="4"/>
                  </w:tcBorders>
                </w:tcPr>
                <w:p/>
              </w:tc>
              <w:tc>
                <w:tcPr>
                  <w:tcW w:type="dxa" w:w="18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健康</w:t>
                  </w:r>
                  <w:r>
                    <w:br/>
                  </w:r>
                  <w:r>
                    <w:rPr>
                      <w:rFonts w:ascii="仿宋_GB2312" w:hAnsi="仿宋_GB2312" w:cs="仿宋_GB2312" w:eastAsia="仿宋_GB2312"/>
                      <w:sz w:val="21"/>
                      <w:color w:val="000000"/>
                    </w:rPr>
                    <w:t xml:space="preserve"> 管理</w:t>
                  </w:r>
                </w:p>
              </w:tc>
              <w:tc>
                <w:tcPr>
                  <w:tcW w:type="dxa" w:w="47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br/>
                  </w:r>
                  <w:r>
                    <w:rPr>
                      <w:rFonts w:ascii="仿宋_GB2312" w:hAnsi="仿宋_GB2312" w:cs="仿宋_GB2312" w:eastAsia="仿宋_GB2312"/>
                      <w:sz w:val="21"/>
                      <w:color w:val="000000"/>
                    </w:rPr>
                    <w:t xml:space="preserve"> 1.健康监测，协助做好体温、血压、血糖、心率等常规性生理指数监测。</w:t>
                  </w:r>
                  <w:r>
                    <w:br/>
                  </w:r>
                  <w:r>
                    <w:rPr>
                      <w:rFonts w:ascii="仿宋_GB2312" w:hAnsi="仿宋_GB2312" w:cs="仿宋_GB2312" w:eastAsia="仿宋_GB2312"/>
                      <w:sz w:val="21"/>
                      <w:color w:val="000000"/>
                    </w:rPr>
                    <w:t xml:space="preserve"> 2.建立健康档案</w:t>
                  </w:r>
                </w:p>
              </w:tc>
              <w:tc>
                <w:tcPr>
                  <w:tcW w:type="dxa" w:w="1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1.健康咨询，为服务对象提供防跌倒、膳食营养、康复保健等指导。</w:t>
                  </w:r>
                </w:p>
              </w:tc>
              <w:tc>
                <w:tcPr>
                  <w:tcW w:type="dxa" w:w="1014"/>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全自理及半自理照护对象可从中1项，全护理对象2项均可选择。</w:t>
                  </w:r>
                </w:p>
              </w:tc>
            </w:tr>
            <w:tr>
              <w:tc>
                <w:tcPr>
                  <w:tcW w:type="dxa" w:w="161"/>
                  <w:vMerge/>
                  <w:tcBorders>
                    <w:top w:val="single" w:color="000000" w:sz="4"/>
                    <w:left w:val="single" w:color="000000" w:sz="4"/>
                    <w:bottom w:val="single" w:color="000000" w:sz="4"/>
                    <w:right w:val="single" w:color="000000" w:sz="4"/>
                  </w:tcBorders>
                </w:tcPr>
                <w:p/>
              </w:tc>
              <w:tc>
                <w:tcPr>
                  <w:tcW w:type="dxa" w:w="187"/>
                  <w:vMerge/>
                  <w:tcBorders>
                    <w:top w:val="single" w:color="000000" w:sz="4"/>
                    <w:left w:val="single" w:color="000000" w:sz="4"/>
                    <w:bottom w:val="single" w:color="000000" w:sz="4"/>
                    <w:right w:val="single" w:color="000000" w:sz="4"/>
                  </w:tcBorders>
                </w:tcPr>
                <w:p/>
              </w:tc>
              <w:tc>
                <w:tcPr>
                  <w:tcW w:type="dxa" w:w="475"/>
                  <w:vMerge/>
                  <w:tcBorders>
                    <w:top w:val="single" w:color="000000" w:sz="4"/>
                    <w:left w:val="single" w:color="000000" w:sz="4"/>
                    <w:bottom w:val="single" w:color="000000" w:sz="4"/>
                    <w:right w:val="single" w:color="000000" w:sz="4"/>
                  </w:tcBorders>
                </w:tcPr>
                <w:p/>
              </w:tc>
              <w:tc>
                <w:tcPr>
                  <w:tcW w:type="dxa" w:w="1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2.健康干预，为服务对象提供生活起居、慢病调理等指导。</w:t>
                  </w:r>
                </w:p>
              </w:tc>
            </w:tr>
            <w:tr>
              <w:tc>
                <w:tcPr>
                  <w:tcW w:type="dxa" w:w="161"/>
                  <w:vMerge/>
                  <w:tcBorders>
                    <w:top w:val="single" w:color="000000" w:sz="4"/>
                    <w:left w:val="single" w:color="000000" w:sz="4"/>
                    <w:bottom w:val="single" w:color="000000" w:sz="4"/>
                    <w:right w:val="single" w:color="000000" w:sz="4"/>
                  </w:tcBorders>
                </w:tcPr>
                <w:p/>
              </w:tc>
              <w:tc>
                <w:tcPr>
                  <w:tcW w:type="dxa" w:w="18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精神</w:t>
                  </w:r>
                  <w:r>
                    <w:br/>
                  </w:r>
                  <w:r>
                    <w:rPr>
                      <w:rFonts w:ascii="仿宋_GB2312" w:hAnsi="仿宋_GB2312" w:cs="仿宋_GB2312" w:eastAsia="仿宋_GB2312"/>
                      <w:sz w:val="21"/>
                      <w:color w:val="000000"/>
                    </w:rPr>
                    <w:t xml:space="preserve"> 慰藉</w:t>
                  </w:r>
                </w:p>
              </w:tc>
              <w:tc>
                <w:tcPr>
                  <w:tcW w:type="dxa" w:w="47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br/>
                  </w:r>
                  <w:r>
                    <w:br/>
                  </w:r>
                  <w:r>
                    <w:br/>
                  </w:r>
                  <w:r>
                    <w:rPr>
                      <w:rFonts w:ascii="仿宋_GB2312" w:hAnsi="仿宋_GB2312" w:cs="仿宋_GB2312" w:eastAsia="仿宋_GB2312"/>
                      <w:sz w:val="21"/>
                      <w:color w:val="000000"/>
                    </w:rPr>
                    <w:t xml:space="preserve"> 1.情绪疏导，开展谈心、交流等服务</w:t>
                  </w:r>
                </w:p>
              </w:tc>
              <w:tc>
                <w:tcPr>
                  <w:tcW w:type="dxa" w:w="1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1.交流支持，协助有交流意愿的服务对象参加集体活动及与亲戚朋友交流。</w:t>
                  </w:r>
                </w:p>
              </w:tc>
              <w:tc>
                <w:tcPr>
                  <w:tcW w:type="dxa" w:w="1014"/>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全自理及半自理照护对象可从中选择1项，全护理2项均可选择。</w:t>
                  </w:r>
                </w:p>
              </w:tc>
            </w:tr>
            <w:tr>
              <w:tc>
                <w:tcPr>
                  <w:tcW w:type="dxa" w:w="161"/>
                  <w:vMerge/>
                  <w:tcBorders>
                    <w:top w:val="single" w:color="000000" w:sz="4"/>
                    <w:left w:val="single" w:color="000000" w:sz="4"/>
                    <w:bottom w:val="single" w:color="000000" w:sz="4"/>
                    <w:right w:val="single" w:color="000000" w:sz="4"/>
                  </w:tcBorders>
                </w:tcPr>
                <w:p/>
              </w:tc>
              <w:tc>
                <w:tcPr>
                  <w:tcW w:type="dxa" w:w="187"/>
                  <w:vMerge/>
                  <w:tcBorders>
                    <w:top w:val="single" w:color="000000" w:sz="4"/>
                    <w:left w:val="single" w:color="000000" w:sz="4"/>
                    <w:bottom w:val="single" w:color="000000" w:sz="4"/>
                    <w:right w:val="single" w:color="000000" w:sz="4"/>
                  </w:tcBorders>
                </w:tcPr>
                <w:p/>
              </w:tc>
              <w:tc>
                <w:tcPr>
                  <w:tcW w:type="dxa" w:w="475"/>
                  <w:vMerge/>
                  <w:tcBorders>
                    <w:top w:val="single" w:color="000000" w:sz="4"/>
                    <w:left w:val="single" w:color="000000" w:sz="4"/>
                    <w:bottom w:val="single" w:color="000000" w:sz="4"/>
                    <w:right w:val="single" w:color="000000" w:sz="4"/>
                  </w:tcBorders>
                </w:tcPr>
                <w:p/>
              </w:tc>
              <w:tc>
                <w:tcPr>
                  <w:tcW w:type="dxa" w:w="1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2.心理慰藉，通过心理教育、心理干预等方式调整老人心态。</w:t>
                  </w:r>
                </w:p>
              </w:tc>
            </w:tr>
            <w:tr>
              <w:tc>
                <w:tcPr>
                  <w:tcW w:type="dxa" w:w="161"/>
                  <w:vMerge/>
                  <w:tcBorders>
                    <w:top w:val="single" w:color="000000" w:sz="4"/>
                    <w:left w:val="single" w:color="000000" w:sz="4"/>
                    <w:bottom w:val="single" w:color="000000" w:sz="4"/>
                    <w:right w:val="single" w:color="000000" w:sz="4"/>
                  </w:tcBorders>
                </w:tcP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助急</w:t>
                  </w:r>
                </w:p>
              </w:tc>
              <w:tc>
                <w:tcPr>
                  <w:tcW w:type="dxa" w:w="4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1.受理转介防汛、防诈骗等紧急呼叫</w:t>
                  </w:r>
                </w:p>
              </w:tc>
              <w:tc>
                <w:tcPr>
                  <w:tcW w:type="dxa" w:w="2363"/>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在上门开展服务时，根据对象实际需求提供</w:t>
                  </w:r>
                </w:p>
              </w:tc>
            </w:tr>
            <w:tr>
              <w:tc>
                <w:tcPr>
                  <w:tcW w:type="dxa" w:w="161"/>
                  <w:vMerge/>
                  <w:tcBorders>
                    <w:top w:val="single" w:color="000000" w:sz="4"/>
                    <w:left w:val="single" w:color="000000" w:sz="4"/>
                    <w:bottom w:val="single" w:color="000000" w:sz="4"/>
                    <w:right w:val="single" w:color="000000" w:sz="4"/>
                  </w:tcBorders>
                </w:tcPr>
                <w:p/>
              </w:tc>
              <w:tc>
                <w:tcPr>
                  <w:tcW w:type="dxa" w:w="18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代办</w:t>
                  </w:r>
                </w:p>
              </w:tc>
              <w:tc>
                <w:tcPr>
                  <w:tcW w:type="dxa" w:w="47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1.代购米、面、油等日常生活用品</w:t>
                  </w:r>
                </w:p>
              </w:tc>
              <w:tc>
                <w:tcPr>
                  <w:tcW w:type="dxa" w:w="1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1.代办，协助申领养老保险等各种惠民政策补助救助及快递送取。</w:t>
                  </w:r>
                </w:p>
              </w:tc>
              <w:tc>
                <w:tcPr>
                  <w:tcW w:type="dxa" w:w="1014"/>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全自理及半自理可选择</w:t>
                  </w:r>
                  <w:r>
                    <w:br/>
                  </w:r>
                  <w:r>
                    <w:rPr>
                      <w:rFonts w:ascii="仿宋_GB2312" w:hAnsi="仿宋_GB2312" w:cs="仿宋_GB2312" w:eastAsia="仿宋_GB2312"/>
                      <w:sz w:val="21"/>
                      <w:color w:val="000000"/>
                    </w:rPr>
                    <w:t xml:space="preserve"> 其中1项，全护理全部2项。</w:t>
                  </w:r>
                </w:p>
              </w:tc>
            </w:tr>
            <w:tr>
              <w:tc>
                <w:tcPr>
                  <w:tcW w:type="dxa" w:w="161"/>
                  <w:vMerge/>
                  <w:tcBorders>
                    <w:top w:val="single" w:color="000000" w:sz="4"/>
                    <w:left w:val="single" w:color="000000" w:sz="4"/>
                    <w:bottom w:val="single" w:color="000000" w:sz="4"/>
                    <w:right w:val="single" w:color="000000" w:sz="4"/>
                  </w:tcBorders>
                </w:tcPr>
                <w:p/>
              </w:tc>
              <w:tc>
                <w:tcPr>
                  <w:tcW w:type="dxa" w:w="187"/>
                  <w:vMerge/>
                  <w:tcBorders>
                    <w:top w:val="single" w:color="000000" w:sz="4"/>
                    <w:left w:val="single" w:color="000000" w:sz="4"/>
                    <w:bottom w:val="single" w:color="000000" w:sz="4"/>
                    <w:right w:val="single" w:color="000000" w:sz="4"/>
                  </w:tcBorders>
                </w:tcPr>
                <w:p/>
              </w:tc>
              <w:tc>
                <w:tcPr>
                  <w:tcW w:type="dxa" w:w="475"/>
                  <w:vMerge/>
                  <w:tcBorders>
                    <w:top w:val="single" w:color="000000" w:sz="4"/>
                    <w:left w:val="single" w:color="000000" w:sz="4"/>
                    <w:bottom w:val="single" w:color="000000" w:sz="4"/>
                    <w:right w:val="single" w:color="000000" w:sz="4"/>
                  </w:tcBorders>
                </w:tcPr>
                <w:p/>
              </w:tc>
              <w:tc>
                <w:tcPr>
                  <w:tcW w:type="dxa" w:w="1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2.代缴，协助代缴水、电、气、讯等费用。</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住护</w:t>
                  </w:r>
                  <w:r>
                    <w:br/>
                  </w:r>
                  <w:r>
                    <w:rPr>
                      <w:rFonts w:ascii="仿宋_GB2312" w:hAnsi="仿宋_GB2312" w:cs="仿宋_GB2312" w:eastAsia="仿宋_GB2312"/>
                      <w:sz w:val="21"/>
                      <w:color w:val="000000"/>
                    </w:rPr>
                    <w:t xml:space="preserve"> 院理</w:t>
                  </w:r>
                  <w:r>
                    <w:br/>
                  </w:r>
                  <w:r>
                    <w:rPr>
                      <w:rFonts w:ascii="仿宋_GB2312" w:hAnsi="仿宋_GB2312" w:cs="仿宋_GB2312" w:eastAsia="仿宋_GB2312"/>
                      <w:sz w:val="21"/>
                      <w:color w:val="000000"/>
                    </w:rPr>
                    <w:t xml:space="preserve"> 照服</w:t>
                  </w:r>
                  <w:r>
                    <w:br/>
                  </w:r>
                  <w:r>
                    <w:rPr>
                      <w:rFonts w:ascii="仿宋_GB2312" w:hAnsi="仿宋_GB2312" w:cs="仿宋_GB2312" w:eastAsia="仿宋_GB2312"/>
                      <w:sz w:val="21"/>
                      <w:color w:val="000000"/>
                    </w:rPr>
                    <w:t xml:space="preserve"> 料务</w:t>
                  </w:r>
                </w:p>
              </w:tc>
              <w:tc>
                <w:tcPr>
                  <w:tcW w:type="dxa" w:w="3025"/>
                  <w:gridSpan w:val="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br/>
                  </w:r>
                  <w:r>
                    <w:rPr>
                      <w:rFonts w:ascii="仿宋_GB2312" w:hAnsi="仿宋_GB2312" w:cs="仿宋_GB2312" w:eastAsia="仿宋_GB2312"/>
                      <w:sz w:val="21"/>
                      <w:color w:val="000000"/>
                    </w:rPr>
                    <w:t xml:space="preserve"> （1）协助更衣；（2）如厕协助；（3）日常洗脸、洗手、洗头、泡脚、剪指甲等服务；（4）喂饭喂水服务；（5）协助翻身、擦浴；（6）压疮的预防护理；（7）睡眠照料；（8）洗涤衣物；（9）轮椅移动护理；（10）步行辅助护理；（11）视觉障碍护理；（12）服药指导及给药服务；（13）机能康复辅助护理；（14）精神心理慰藉；（15）协助出入院手续服务；（16）住院期间安全监管服务。</w:t>
                  </w:r>
                </w:p>
              </w:tc>
            </w:tr>
          </w:tbl>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spacing w:after="120"/>
              <w:ind w:firstLine="643"/>
              <w:jc w:val="both"/>
            </w:pPr>
            <w:r>
              <w:rPr>
                <w:rFonts w:ascii="仿宋_GB2312" w:hAnsi="仿宋_GB2312" w:cs="仿宋_GB2312" w:eastAsia="仿宋_GB2312"/>
                <w:sz w:val="21"/>
                <w:b/>
                <w:color w:val="000000"/>
              </w:rPr>
              <w:t>三、服务标准</w:t>
            </w:r>
          </w:p>
          <w:p>
            <w:pPr>
              <w:pStyle w:val="null3"/>
            </w:pPr>
            <w:r>
              <w:rPr>
                <w:rFonts w:ascii="仿宋_GB2312" w:hAnsi="仿宋_GB2312" w:cs="仿宋_GB2312" w:eastAsia="仿宋_GB2312"/>
                <w:sz w:val="21"/>
                <w:b/>
                <w:color w:val="000000"/>
              </w:rPr>
              <w:t>第三方开展分散供养特困人员居家和住院服务，须参照《政府购买分散供养特困人员照料护理服务项目明细表》内容，根据服务对象自理类别执行以下服务标准：</w:t>
            </w:r>
          </w:p>
          <w:p>
            <w:pPr>
              <w:pStyle w:val="null3"/>
            </w:pPr>
            <w:r>
              <w:rPr>
                <w:rFonts w:ascii="仿宋_GB2312" w:hAnsi="仿宋_GB2312" w:cs="仿宋_GB2312" w:eastAsia="仿宋_GB2312"/>
                <w:sz w:val="21"/>
                <w:b/>
                <w:color w:val="000000"/>
              </w:rPr>
              <w:t>（一）居家上门照料护理</w:t>
            </w:r>
          </w:p>
          <w:p>
            <w:pPr>
              <w:pStyle w:val="null3"/>
            </w:pPr>
            <w:r>
              <w:rPr>
                <w:rFonts w:ascii="仿宋_GB2312" w:hAnsi="仿宋_GB2312" w:cs="仿宋_GB2312" w:eastAsia="仿宋_GB2312"/>
                <w:sz w:val="21"/>
                <w:b/>
                <w:color w:val="000000"/>
              </w:rPr>
              <w:t>1.全自理对象（每月上门服务不少于1次）：</w:t>
            </w:r>
          </w:p>
          <w:p>
            <w:pPr>
              <w:pStyle w:val="null3"/>
            </w:pPr>
            <w:r>
              <w:rPr>
                <w:rFonts w:ascii="仿宋_GB2312" w:hAnsi="仿宋_GB2312" w:cs="仿宋_GB2312" w:eastAsia="仿宋_GB2312"/>
                <w:sz w:val="21"/>
                <w:b/>
                <w:color w:val="000000"/>
              </w:rPr>
              <w:t>①做好个人卫生服务，每月开展理发剃须服务不少于1次。选择开展洗脚剪指（趾）甲、洗头洁面服务每月不少于1次。具备条件的每月帮助洗澡或擦身不少于1次，夏季要适时增加次数。服务对象实现精神面貌焕然一新，身体无异味。</w:t>
            </w:r>
          </w:p>
          <w:p>
            <w:pPr>
              <w:pStyle w:val="null3"/>
            </w:pPr>
            <w:r>
              <w:rPr>
                <w:rFonts w:ascii="仿宋_GB2312" w:hAnsi="仿宋_GB2312" w:cs="仿宋_GB2312" w:eastAsia="仿宋_GB2312"/>
                <w:sz w:val="21"/>
                <w:b/>
                <w:color w:val="000000"/>
              </w:rPr>
              <w:t>②做好家庭卫生服务，开展居住房屋室内外保洁服务、清洗床单被罩等床上用品服务每月不少于1次。选择开展洗厚（大）外衣（裤），屋内外杂物收拾整理，擦洗门窗玻璃，窗帘拆洗，清洗灶台、碗筷、排气扇等厨房用品，灭除蟑螂、苍蝇、老鼠、蚊子等“四害”，空气净化等服务每月不少于1次。居住环境实现地面及墙壁清洁无积尘，厨房无明显污渍、灶具洁净、地面无卫生死角。</w:t>
            </w:r>
          </w:p>
          <w:p>
            <w:pPr>
              <w:pStyle w:val="null3"/>
            </w:pPr>
            <w:r>
              <w:rPr>
                <w:rFonts w:ascii="仿宋_GB2312" w:hAnsi="仿宋_GB2312" w:cs="仿宋_GB2312" w:eastAsia="仿宋_GB2312"/>
                <w:sz w:val="21"/>
                <w:b/>
                <w:color w:val="000000"/>
              </w:rPr>
              <w:t>③开展助餐服务，在上门开展服务时，根据服务对象实际需求每月开展助餐服务不于1次。达到餐食符合对象品味，对象满意。</w:t>
            </w:r>
          </w:p>
          <w:p>
            <w:pPr>
              <w:pStyle w:val="null3"/>
            </w:pPr>
            <w:r>
              <w:rPr>
                <w:rFonts w:ascii="仿宋_GB2312" w:hAnsi="仿宋_GB2312" w:cs="仿宋_GB2312" w:eastAsia="仿宋_GB2312"/>
                <w:sz w:val="21"/>
                <w:b/>
                <w:color w:val="000000"/>
              </w:rPr>
              <w:t>④健康管理服务，协助建立服务对象健康档案。协助规范做好体温、血压、血糖及心率等常规性生理指数监测服务每月不少于1次。选择提供服务对象提供防跌倒、膳食营养、康复保健等指导服务，为服务对象提供生活起居、慢病调理等指导服务每月不少于1次。达到健康档案齐全，服务记录祥实要求。</w:t>
            </w:r>
          </w:p>
          <w:p>
            <w:pPr>
              <w:pStyle w:val="null3"/>
            </w:pPr>
            <w:r>
              <w:rPr>
                <w:rFonts w:ascii="仿宋_GB2312" w:hAnsi="仿宋_GB2312" w:cs="仿宋_GB2312" w:eastAsia="仿宋_GB2312"/>
                <w:sz w:val="21"/>
                <w:b/>
                <w:color w:val="000000"/>
              </w:rPr>
              <w:t>⑤精神慰藉服务，开展谈心、交流等情绪疏导服务每月不少于1次。选择开展有交流意愿的服务对象参加集体活动与亲戚朋友交流服务，通过心教育、心理干预等方式调整老人心态开心理慰藉服务每月不少于1次。及时了解掌握服务对象思想、心理等变化，发现异常情况及时向监护人及村（居）委员会报告；</w:t>
            </w:r>
          </w:p>
          <w:p>
            <w:pPr>
              <w:pStyle w:val="null3"/>
            </w:pPr>
            <w:r>
              <w:rPr>
                <w:rFonts w:ascii="仿宋_GB2312" w:hAnsi="仿宋_GB2312" w:cs="仿宋_GB2312" w:eastAsia="仿宋_GB2312"/>
                <w:sz w:val="21"/>
                <w:b/>
                <w:color w:val="000000"/>
              </w:rPr>
              <w:t>⑥助急服务，在上门开展服务时，根据实际，可受理转介防汛、防诈骗等紧急呼叫服务。</w:t>
            </w:r>
          </w:p>
          <w:p>
            <w:pPr>
              <w:pStyle w:val="null3"/>
            </w:pPr>
            <w:r>
              <w:rPr>
                <w:rFonts w:ascii="仿宋_GB2312" w:hAnsi="仿宋_GB2312" w:cs="仿宋_GB2312" w:eastAsia="仿宋_GB2312"/>
                <w:sz w:val="21"/>
                <w:b/>
                <w:color w:val="000000"/>
              </w:rPr>
              <w:t>⑦代办服务，开展代购米、</w:t>
            </w:r>
          </w:p>
          <w:p>
            <w:pPr>
              <w:pStyle w:val="null3"/>
              <w:spacing w:after="120"/>
              <w:ind w:firstLine="643"/>
              <w:jc w:val="both"/>
            </w:pPr>
            <w:r>
              <w:rPr>
                <w:rFonts w:ascii="仿宋_GB2312" w:hAnsi="仿宋_GB2312" w:cs="仿宋_GB2312" w:eastAsia="仿宋_GB2312"/>
                <w:sz w:val="21"/>
                <w:b/>
                <w:color w:val="000000"/>
              </w:rPr>
              <w:t>面、油等日常生活用品服务每月不少于</w:t>
            </w:r>
            <w:r>
              <w:rPr>
                <w:rFonts w:ascii="仿宋_GB2312" w:hAnsi="仿宋_GB2312" w:cs="仿宋_GB2312" w:eastAsia="仿宋_GB2312"/>
                <w:sz w:val="21"/>
                <w:b/>
                <w:color w:val="000000"/>
              </w:rPr>
              <w:t>1次。选择开展协助对象申领养老保险等各种惠民政策补贴、快递送取等代办服务，协助代缴水、电、气、讯等费用代缴服务每月不少于1次。</w:t>
            </w:r>
          </w:p>
          <w:p>
            <w:pPr>
              <w:pStyle w:val="null3"/>
              <w:ind w:firstLine="736"/>
              <w:jc w:val="both"/>
            </w:pPr>
            <w:r>
              <w:rPr>
                <w:rFonts w:ascii="仿宋_GB2312" w:hAnsi="仿宋_GB2312" w:cs="仿宋_GB2312" w:eastAsia="仿宋_GB2312"/>
                <w:sz w:val="21"/>
                <w:b/>
                <w:color w:val="000000"/>
              </w:rPr>
              <w:t>2.半护理对象（</w:t>
            </w:r>
            <w:r>
              <w:rPr>
                <w:rFonts w:ascii="仿宋_GB2312" w:hAnsi="仿宋_GB2312" w:cs="仿宋_GB2312" w:eastAsia="仿宋_GB2312"/>
                <w:sz w:val="21"/>
                <w:b/>
                <w:color w:val="000000"/>
              </w:rPr>
              <w:t>每月上门</w:t>
            </w:r>
            <w:r>
              <w:rPr>
                <w:rFonts w:ascii="仿宋_GB2312" w:hAnsi="仿宋_GB2312" w:cs="仿宋_GB2312" w:eastAsia="仿宋_GB2312"/>
                <w:sz w:val="21"/>
                <w:b/>
                <w:color w:val="000000"/>
              </w:rPr>
              <w:t>服务不少于</w:t>
            </w:r>
            <w:r>
              <w:rPr>
                <w:rFonts w:ascii="仿宋_GB2312" w:hAnsi="仿宋_GB2312" w:cs="仿宋_GB2312" w:eastAsia="仿宋_GB2312"/>
                <w:sz w:val="21"/>
                <w:b/>
                <w:color w:val="000000"/>
              </w:rPr>
              <w:t>2</w:t>
            </w:r>
            <w:r>
              <w:rPr>
                <w:rFonts w:ascii="仿宋_GB2312" w:hAnsi="仿宋_GB2312" w:cs="仿宋_GB2312" w:eastAsia="仿宋_GB2312"/>
                <w:sz w:val="21"/>
                <w:b/>
                <w:color w:val="000000"/>
              </w:rPr>
              <w:t>次</w:t>
            </w:r>
            <w:r>
              <w:rPr>
                <w:rFonts w:ascii="仿宋_GB2312" w:hAnsi="仿宋_GB2312" w:cs="仿宋_GB2312" w:eastAsia="仿宋_GB2312"/>
                <w:sz w:val="21"/>
                <w:b/>
                <w:color w:val="000000"/>
              </w:rPr>
              <w:t>）</w:t>
            </w:r>
          </w:p>
          <w:p>
            <w:pPr>
              <w:pStyle w:val="null3"/>
              <w:spacing w:after="120"/>
              <w:ind w:firstLine="632"/>
              <w:jc w:val="both"/>
            </w:pPr>
            <w:r>
              <w:rPr>
                <w:rFonts w:ascii="仿宋_GB2312" w:hAnsi="仿宋_GB2312" w:cs="仿宋_GB2312" w:eastAsia="仿宋_GB2312"/>
                <w:sz w:val="21"/>
                <w:b/>
                <w:color w:val="000000"/>
              </w:rPr>
              <w:t>①做好个人卫生服务，每月开展理发服务不少于1次。选择开展洗脚剪指（趾）甲、洗头洁面剃须服务每月不少于2次。具备条件的每月帮助洗澡或擦身不少于2次，夏季要适时增加次数。服务对象实现精神面貌焕然一新，身体无异味。</w:t>
            </w:r>
          </w:p>
          <w:p>
            <w:pPr>
              <w:pStyle w:val="null3"/>
              <w:spacing w:after="120"/>
              <w:ind w:firstLine="632"/>
              <w:jc w:val="both"/>
            </w:pPr>
            <w:r>
              <w:rPr>
                <w:rFonts w:ascii="仿宋_GB2312" w:hAnsi="仿宋_GB2312" w:cs="仿宋_GB2312" w:eastAsia="仿宋_GB2312"/>
                <w:sz w:val="21"/>
                <w:b/>
                <w:color w:val="000000"/>
              </w:rPr>
              <w:t>②做好家庭卫生服务，开展居住房屋室内外保洁服务、清洗床单被罩等床上用品服务每月不少于2次。选择开展洗厚（大）外衣（裤），屋内外杂物收拾整理，擦洗门窗玻璃，窗帘拆洗，清洗灶台、碗筷、排气扇等厨房用品，灭除蟑螂、苍蝇、老鼠、蚊子等</w:t>
            </w:r>
            <w:r>
              <w:rPr>
                <w:rFonts w:ascii="仿宋_GB2312" w:hAnsi="仿宋_GB2312" w:cs="仿宋_GB2312" w:eastAsia="仿宋_GB2312"/>
                <w:sz w:val="21"/>
                <w:b/>
                <w:color w:val="000000"/>
              </w:rPr>
              <w:t>病媒生物消杀</w:t>
            </w:r>
            <w:r>
              <w:rPr>
                <w:rFonts w:ascii="仿宋_GB2312" w:hAnsi="仿宋_GB2312" w:cs="仿宋_GB2312" w:eastAsia="仿宋_GB2312"/>
                <w:sz w:val="21"/>
                <w:b/>
                <w:color w:val="000000"/>
              </w:rPr>
              <w:t>，空气净化等服务每月不少于</w:t>
            </w:r>
            <w:r>
              <w:rPr>
                <w:rFonts w:ascii="仿宋_GB2312" w:hAnsi="仿宋_GB2312" w:cs="仿宋_GB2312" w:eastAsia="仿宋_GB2312"/>
                <w:sz w:val="21"/>
                <w:b/>
                <w:color w:val="000000"/>
              </w:rPr>
              <w:t>2次。居住环境实现地面及墙壁清洁无积尘，厨房无明显污渍、灶具洁净、地面无卫生死角。</w:t>
            </w:r>
          </w:p>
          <w:p>
            <w:pPr>
              <w:pStyle w:val="null3"/>
              <w:spacing w:after="120"/>
              <w:ind w:firstLine="632"/>
              <w:jc w:val="both"/>
            </w:pPr>
            <w:r>
              <w:rPr>
                <w:rFonts w:ascii="仿宋_GB2312" w:hAnsi="仿宋_GB2312" w:cs="仿宋_GB2312" w:eastAsia="仿宋_GB2312"/>
                <w:sz w:val="21"/>
                <w:b/>
                <w:color w:val="000000"/>
              </w:rPr>
              <w:t>③开展助餐服务，在上门开展服务时，根据服务对象实际需求每月开展助餐服务</w:t>
            </w:r>
            <w:r>
              <w:rPr>
                <w:rFonts w:ascii="仿宋_GB2312" w:hAnsi="仿宋_GB2312" w:cs="仿宋_GB2312" w:eastAsia="仿宋_GB2312"/>
                <w:sz w:val="21"/>
                <w:b/>
                <w:color w:val="000000"/>
              </w:rPr>
              <w:t>不少于</w:t>
            </w:r>
            <w:r>
              <w:rPr>
                <w:rFonts w:ascii="仿宋_GB2312" w:hAnsi="仿宋_GB2312" w:cs="仿宋_GB2312" w:eastAsia="仿宋_GB2312"/>
                <w:sz w:val="21"/>
                <w:b/>
                <w:color w:val="000000"/>
              </w:rPr>
              <w:t>2次。达到餐食符合对象品味，对象满意。</w:t>
            </w:r>
          </w:p>
          <w:p>
            <w:pPr>
              <w:pStyle w:val="null3"/>
              <w:ind w:firstLine="553"/>
              <w:jc w:val="both"/>
            </w:pPr>
            <w:r>
              <w:rPr>
                <w:rFonts w:ascii="仿宋_GB2312" w:hAnsi="仿宋_GB2312" w:cs="仿宋_GB2312" w:eastAsia="仿宋_GB2312"/>
                <w:sz w:val="21"/>
                <w:b/>
                <w:color w:val="000000"/>
              </w:rPr>
              <w:t>④</w:t>
            </w:r>
            <w:r>
              <w:rPr>
                <w:rFonts w:ascii="仿宋_GB2312" w:hAnsi="仿宋_GB2312" w:cs="仿宋_GB2312" w:eastAsia="仿宋_GB2312"/>
                <w:sz w:val="21"/>
                <w:b/>
                <w:color w:val="000000"/>
              </w:rPr>
              <w:t>健康管理服务，协助建立服务对象健康档案</w:t>
            </w:r>
            <w:r>
              <w:rPr>
                <w:rFonts w:ascii="仿宋_GB2312" w:hAnsi="仿宋_GB2312" w:cs="仿宋_GB2312" w:eastAsia="仿宋_GB2312"/>
                <w:sz w:val="21"/>
                <w:b/>
                <w:color w:val="000000"/>
              </w:rPr>
              <w:t>并动态更新</w:t>
            </w:r>
            <w:r>
              <w:rPr>
                <w:rFonts w:ascii="仿宋_GB2312" w:hAnsi="仿宋_GB2312" w:cs="仿宋_GB2312" w:eastAsia="仿宋_GB2312"/>
                <w:sz w:val="21"/>
                <w:b/>
                <w:color w:val="000000"/>
              </w:rPr>
              <w:t>。协助规范做好体温、血压、血糖及心率等常规性生理指数监测服务每月不少于</w:t>
            </w:r>
            <w:r>
              <w:rPr>
                <w:rFonts w:ascii="仿宋_GB2312" w:hAnsi="仿宋_GB2312" w:cs="仿宋_GB2312" w:eastAsia="仿宋_GB2312"/>
                <w:sz w:val="21"/>
                <w:b/>
                <w:color w:val="000000"/>
              </w:rPr>
              <w:t>2次。选择提供服务对象提供防跌倒、膳食营养、康复保健等指导服务，为服务对象提供生活起居、慢病调理等指导服务每月不少于2次。达到健康档案齐全，服务记录祥实要求。</w:t>
            </w:r>
          </w:p>
          <w:p>
            <w:pPr>
              <w:pStyle w:val="null3"/>
              <w:spacing w:after="120"/>
              <w:ind w:firstLine="632"/>
              <w:jc w:val="both"/>
            </w:pPr>
            <w:r>
              <w:rPr>
                <w:rFonts w:ascii="仿宋_GB2312" w:hAnsi="仿宋_GB2312" w:cs="仿宋_GB2312" w:eastAsia="仿宋_GB2312"/>
                <w:sz w:val="21"/>
                <w:b/>
                <w:color w:val="000000"/>
              </w:rPr>
              <w:t>⑤</w:t>
            </w:r>
            <w:r>
              <w:rPr>
                <w:rFonts w:ascii="仿宋_GB2312" w:hAnsi="仿宋_GB2312" w:cs="仿宋_GB2312" w:eastAsia="仿宋_GB2312"/>
                <w:sz w:val="21"/>
                <w:b/>
                <w:color w:val="000000"/>
              </w:rPr>
              <w:t>精神慰藉服务，开展谈心、交流等情绪疏导服务每月不少于</w:t>
            </w:r>
            <w:r>
              <w:rPr>
                <w:rFonts w:ascii="仿宋_GB2312" w:hAnsi="仿宋_GB2312" w:cs="仿宋_GB2312" w:eastAsia="仿宋_GB2312"/>
                <w:sz w:val="21"/>
                <w:b/>
                <w:color w:val="000000"/>
              </w:rPr>
              <w:t>2次。选择开展有交流意愿的服务对象参加集体活动与亲戚朋友交流服务，通过心</w:t>
            </w:r>
            <w:r>
              <w:rPr>
                <w:rFonts w:ascii="仿宋_GB2312" w:hAnsi="仿宋_GB2312" w:cs="仿宋_GB2312" w:eastAsia="仿宋_GB2312"/>
                <w:sz w:val="21"/>
                <w:b/>
                <w:color w:val="000000"/>
              </w:rPr>
              <w:t>理</w:t>
            </w:r>
            <w:r>
              <w:rPr>
                <w:rFonts w:ascii="仿宋_GB2312" w:hAnsi="仿宋_GB2312" w:cs="仿宋_GB2312" w:eastAsia="仿宋_GB2312"/>
                <w:sz w:val="21"/>
                <w:b/>
                <w:color w:val="000000"/>
              </w:rPr>
              <w:t>干预方式调整老人心态开心理慰藉服务每月不少于</w:t>
            </w:r>
            <w:r>
              <w:rPr>
                <w:rFonts w:ascii="仿宋_GB2312" w:hAnsi="仿宋_GB2312" w:cs="仿宋_GB2312" w:eastAsia="仿宋_GB2312"/>
                <w:sz w:val="21"/>
                <w:b/>
                <w:color w:val="000000"/>
              </w:rPr>
              <w:t>2次。及时了解掌握服务对象思想、心理等变化，发现异常情况及时向监护人及村（居）委员会报告。</w:t>
            </w:r>
          </w:p>
          <w:p>
            <w:pPr>
              <w:pStyle w:val="null3"/>
              <w:ind w:firstLine="553"/>
              <w:jc w:val="both"/>
            </w:pPr>
            <w:r>
              <w:rPr>
                <w:rFonts w:ascii="仿宋_GB2312" w:hAnsi="仿宋_GB2312" w:cs="仿宋_GB2312" w:eastAsia="仿宋_GB2312"/>
                <w:sz w:val="21"/>
                <w:b/>
                <w:color w:val="000000"/>
              </w:rPr>
              <w:t>⑥</w:t>
            </w:r>
            <w:r>
              <w:rPr>
                <w:rFonts w:ascii="仿宋_GB2312" w:hAnsi="仿宋_GB2312" w:cs="仿宋_GB2312" w:eastAsia="仿宋_GB2312"/>
                <w:sz w:val="21"/>
                <w:b/>
                <w:color w:val="000000"/>
              </w:rPr>
              <w:t>助急服务，在上门开展服务时，根据实际，可受理转介防汛、防诈骗等紧急呼叫服务。</w:t>
            </w:r>
          </w:p>
          <w:p>
            <w:pPr>
              <w:pStyle w:val="null3"/>
              <w:ind w:firstLine="553"/>
              <w:jc w:val="both"/>
            </w:pPr>
            <w:r>
              <w:rPr>
                <w:rFonts w:ascii="仿宋_GB2312" w:hAnsi="仿宋_GB2312" w:cs="仿宋_GB2312" w:eastAsia="仿宋_GB2312"/>
                <w:sz w:val="21"/>
                <w:b/>
                <w:color w:val="000000"/>
              </w:rPr>
              <w:t>⑦</w:t>
            </w:r>
            <w:r>
              <w:rPr>
                <w:rFonts w:ascii="仿宋_GB2312" w:hAnsi="仿宋_GB2312" w:cs="仿宋_GB2312" w:eastAsia="仿宋_GB2312"/>
                <w:sz w:val="21"/>
                <w:b/>
                <w:color w:val="000000"/>
              </w:rPr>
              <w:t>代办服务，开展代购米、面、油等日常生活用品服务每月不少于</w:t>
            </w:r>
            <w:r>
              <w:rPr>
                <w:rFonts w:ascii="仿宋_GB2312" w:hAnsi="仿宋_GB2312" w:cs="仿宋_GB2312" w:eastAsia="仿宋_GB2312"/>
                <w:sz w:val="21"/>
                <w:b/>
                <w:color w:val="000000"/>
              </w:rPr>
              <w:t>1次。选择开展协助对象申领养老保险等各种惠民政策补贴、快递送取等代办服务，协助代缴水、电、</w:t>
            </w:r>
            <w:r>
              <w:rPr>
                <w:rFonts w:ascii="仿宋_GB2312" w:hAnsi="仿宋_GB2312" w:cs="仿宋_GB2312" w:eastAsia="仿宋_GB2312"/>
                <w:sz w:val="21"/>
                <w:b/>
                <w:color w:val="000000"/>
              </w:rPr>
              <w:t>燃气</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通讯</w:t>
            </w:r>
            <w:r>
              <w:rPr>
                <w:rFonts w:ascii="仿宋_GB2312" w:hAnsi="仿宋_GB2312" w:cs="仿宋_GB2312" w:eastAsia="仿宋_GB2312"/>
                <w:sz w:val="21"/>
                <w:b/>
                <w:color w:val="000000"/>
              </w:rPr>
              <w:t>等费用服务每月不少于</w:t>
            </w:r>
            <w:r>
              <w:rPr>
                <w:rFonts w:ascii="仿宋_GB2312" w:hAnsi="仿宋_GB2312" w:cs="仿宋_GB2312" w:eastAsia="仿宋_GB2312"/>
                <w:sz w:val="21"/>
                <w:b/>
                <w:color w:val="000000"/>
              </w:rPr>
              <w:t>1次。</w:t>
            </w:r>
          </w:p>
          <w:p>
            <w:pPr>
              <w:pStyle w:val="null3"/>
              <w:ind w:firstLine="640"/>
              <w:jc w:val="both"/>
            </w:pPr>
            <w:r>
              <w:rPr>
                <w:rFonts w:ascii="仿宋_GB2312" w:hAnsi="仿宋_GB2312" w:cs="仿宋_GB2312" w:eastAsia="仿宋_GB2312"/>
                <w:sz w:val="21"/>
                <w:b/>
                <w:color w:val="000000"/>
              </w:rPr>
              <w:t>3.全护理对象（</w:t>
            </w:r>
            <w:r>
              <w:rPr>
                <w:rFonts w:ascii="仿宋_GB2312" w:hAnsi="仿宋_GB2312" w:cs="仿宋_GB2312" w:eastAsia="仿宋_GB2312"/>
                <w:sz w:val="21"/>
                <w:b/>
                <w:color w:val="000000"/>
              </w:rPr>
              <w:t>每月上门</w:t>
            </w:r>
            <w:r>
              <w:rPr>
                <w:rFonts w:ascii="仿宋_GB2312" w:hAnsi="仿宋_GB2312" w:cs="仿宋_GB2312" w:eastAsia="仿宋_GB2312"/>
                <w:sz w:val="21"/>
                <w:b/>
                <w:color w:val="000000"/>
              </w:rPr>
              <w:t>服务不少于</w:t>
            </w:r>
            <w:r>
              <w:rPr>
                <w:rFonts w:ascii="仿宋_GB2312" w:hAnsi="仿宋_GB2312" w:cs="仿宋_GB2312" w:eastAsia="仿宋_GB2312"/>
                <w:sz w:val="21"/>
                <w:b/>
                <w:color w:val="000000"/>
              </w:rPr>
              <w:t>4</w:t>
            </w:r>
            <w:r>
              <w:rPr>
                <w:rFonts w:ascii="仿宋_GB2312" w:hAnsi="仿宋_GB2312" w:cs="仿宋_GB2312" w:eastAsia="仿宋_GB2312"/>
                <w:sz w:val="21"/>
                <w:b/>
                <w:color w:val="000000"/>
              </w:rPr>
              <w:t>次</w:t>
            </w:r>
            <w:r>
              <w:rPr>
                <w:rFonts w:ascii="仿宋_GB2312" w:hAnsi="仿宋_GB2312" w:cs="仿宋_GB2312" w:eastAsia="仿宋_GB2312"/>
                <w:sz w:val="21"/>
                <w:b/>
                <w:color w:val="000000"/>
              </w:rPr>
              <w:t>）</w:t>
            </w:r>
          </w:p>
          <w:p>
            <w:pPr>
              <w:pStyle w:val="null3"/>
              <w:spacing w:after="120"/>
              <w:ind w:firstLine="632"/>
              <w:jc w:val="both"/>
            </w:pPr>
            <w:r>
              <w:rPr>
                <w:rFonts w:ascii="仿宋_GB2312" w:hAnsi="仿宋_GB2312" w:cs="仿宋_GB2312" w:eastAsia="仿宋_GB2312"/>
                <w:sz w:val="21"/>
                <w:b/>
                <w:color w:val="000000"/>
              </w:rPr>
              <w:t>①做好个人卫生服务，每月开展理发服务不少于1次。选择开展洗脚剪指（趾）甲、洗头洁面剃须服务每月不少于4次。具备条件的每月帮助洗澡或擦身不少于4次，夏季要适时增加次数。服务对象精神面貌焕然一新，身体无异味。</w:t>
            </w:r>
          </w:p>
          <w:p>
            <w:pPr>
              <w:pStyle w:val="null3"/>
              <w:spacing w:after="120"/>
              <w:ind w:firstLine="632"/>
              <w:jc w:val="both"/>
            </w:pPr>
            <w:r>
              <w:rPr>
                <w:rFonts w:ascii="仿宋_GB2312" w:hAnsi="仿宋_GB2312" w:cs="仿宋_GB2312" w:eastAsia="仿宋_GB2312"/>
                <w:sz w:val="21"/>
                <w:b/>
                <w:color w:val="000000"/>
              </w:rPr>
              <w:t>②做好家庭卫生服务，开展居住房屋室内外保洁服务、清洗床单被罩等床上用品服务每月不少于3次。选择开展洗厚（大）外衣（裤），屋内外杂物收拾整理，擦洗门窗玻璃，窗帘拆洗，清洗灶台、碗筷、排气扇等厨房用品，灭除蟑螂、苍蝇、老鼠、蚊子等“四害”，空气净化等服务每月不少于3次。居住环境实现地面及墙壁清洁无积尘，厨房无明显污渍、灶具洁净、地面无卫生死角。</w:t>
            </w:r>
          </w:p>
          <w:p>
            <w:pPr>
              <w:pStyle w:val="null3"/>
              <w:spacing w:after="120"/>
              <w:ind w:firstLine="632"/>
              <w:jc w:val="both"/>
            </w:pPr>
            <w:r>
              <w:rPr>
                <w:rFonts w:ascii="仿宋_GB2312" w:hAnsi="仿宋_GB2312" w:cs="仿宋_GB2312" w:eastAsia="仿宋_GB2312"/>
                <w:sz w:val="21"/>
                <w:b/>
                <w:color w:val="000000"/>
              </w:rPr>
              <w:t>③开展助餐服务，在上门开展服务时，根据服务对象实际需求每月开展助餐服务不于4次。达到餐食符合对象品味，对象满意。</w:t>
            </w:r>
          </w:p>
          <w:p>
            <w:pPr>
              <w:pStyle w:val="null3"/>
              <w:ind w:firstLine="553"/>
              <w:jc w:val="both"/>
            </w:pPr>
            <w:r>
              <w:rPr>
                <w:rFonts w:ascii="仿宋_GB2312" w:hAnsi="仿宋_GB2312" w:cs="仿宋_GB2312" w:eastAsia="仿宋_GB2312"/>
                <w:sz w:val="21"/>
                <w:b/>
                <w:color w:val="000000"/>
              </w:rPr>
              <w:t>④</w:t>
            </w:r>
            <w:r>
              <w:rPr>
                <w:rFonts w:ascii="仿宋_GB2312" w:hAnsi="仿宋_GB2312" w:cs="仿宋_GB2312" w:eastAsia="仿宋_GB2312"/>
                <w:sz w:val="21"/>
                <w:b/>
                <w:color w:val="000000"/>
              </w:rPr>
              <w:t>健康管理服务，协助建立服务对象健康档案。协助规范做好体温、血压、血糖及心率等常规性生理指数监测服务每月不少于</w:t>
            </w:r>
            <w:r>
              <w:rPr>
                <w:rFonts w:ascii="仿宋_GB2312" w:hAnsi="仿宋_GB2312" w:cs="仿宋_GB2312" w:eastAsia="仿宋_GB2312"/>
                <w:sz w:val="21"/>
                <w:b/>
                <w:color w:val="000000"/>
              </w:rPr>
              <w:t>2次。选择提供服务对象提供防跌倒、膳食营养、康复保健等指导服务，为服务对象提供生活起居、慢病调理等指导服务每月不少于4次。达到健康档案齐全，服务记录</w:t>
            </w:r>
            <w:r>
              <w:rPr>
                <w:rFonts w:ascii="仿宋_GB2312" w:hAnsi="仿宋_GB2312" w:cs="仿宋_GB2312" w:eastAsia="仿宋_GB2312"/>
                <w:sz w:val="21"/>
                <w:b/>
                <w:color w:val="000000"/>
              </w:rPr>
              <w:t>详</w:t>
            </w:r>
            <w:r>
              <w:rPr>
                <w:rFonts w:ascii="仿宋_GB2312" w:hAnsi="仿宋_GB2312" w:cs="仿宋_GB2312" w:eastAsia="仿宋_GB2312"/>
                <w:sz w:val="21"/>
                <w:b/>
                <w:color w:val="000000"/>
              </w:rPr>
              <w:t>实要求。</w:t>
            </w:r>
          </w:p>
          <w:p>
            <w:pPr>
              <w:pStyle w:val="null3"/>
              <w:spacing w:after="120"/>
              <w:ind w:firstLine="632"/>
              <w:jc w:val="both"/>
            </w:pPr>
            <w:r>
              <w:rPr>
                <w:rFonts w:ascii="仿宋_GB2312" w:hAnsi="仿宋_GB2312" w:cs="仿宋_GB2312" w:eastAsia="仿宋_GB2312"/>
                <w:sz w:val="21"/>
                <w:b/>
                <w:color w:val="000000"/>
              </w:rPr>
              <w:t>⑤</w:t>
            </w:r>
            <w:r>
              <w:rPr>
                <w:rFonts w:ascii="仿宋_GB2312" w:hAnsi="仿宋_GB2312" w:cs="仿宋_GB2312" w:eastAsia="仿宋_GB2312"/>
                <w:sz w:val="21"/>
                <w:b/>
                <w:color w:val="000000"/>
              </w:rPr>
              <w:t>精神慰藉服务，开展谈心、交流等情绪疏导服务每月不少于</w:t>
            </w:r>
            <w:r>
              <w:rPr>
                <w:rFonts w:ascii="仿宋_GB2312" w:hAnsi="仿宋_GB2312" w:cs="仿宋_GB2312" w:eastAsia="仿宋_GB2312"/>
                <w:sz w:val="21"/>
                <w:b/>
                <w:color w:val="000000"/>
              </w:rPr>
              <w:t>2次。选择开展有交流意愿的服务对象参加集体活动与亲戚朋友交流服务，通过心教育、心理干预等方式调整老人心态开心理慰藉服务每月不少于4次。及时了解掌握服务对象思想、心理等变化，发现异常情况及时向监护人及村（居）委员会报告。</w:t>
            </w:r>
          </w:p>
          <w:p>
            <w:pPr>
              <w:pStyle w:val="null3"/>
              <w:ind w:firstLine="553"/>
              <w:jc w:val="both"/>
            </w:pPr>
            <w:r>
              <w:rPr>
                <w:rFonts w:ascii="仿宋_GB2312" w:hAnsi="仿宋_GB2312" w:cs="仿宋_GB2312" w:eastAsia="仿宋_GB2312"/>
                <w:sz w:val="21"/>
                <w:b/>
                <w:color w:val="000000"/>
              </w:rPr>
              <w:t>⑥</w:t>
            </w:r>
            <w:r>
              <w:rPr>
                <w:rFonts w:ascii="仿宋_GB2312" w:hAnsi="仿宋_GB2312" w:cs="仿宋_GB2312" w:eastAsia="仿宋_GB2312"/>
                <w:sz w:val="21"/>
                <w:b/>
                <w:color w:val="000000"/>
              </w:rPr>
              <w:t>助急服务，在上门开展服务时，根据实际，可受理转介防汛、防诈骗等紧急呼叫服务。</w:t>
            </w:r>
          </w:p>
          <w:p>
            <w:pPr>
              <w:pStyle w:val="null3"/>
              <w:ind w:firstLine="553"/>
              <w:jc w:val="both"/>
            </w:pPr>
            <w:r>
              <w:rPr>
                <w:rFonts w:ascii="仿宋_GB2312" w:hAnsi="仿宋_GB2312" w:cs="仿宋_GB2312" w:eastAsia="仿宋_GB2312"/>
                <w:sz w:val="21"/>
                <w:b/>
                <w:color w:val="000000"/>
              </w:rPr>
              <w:t>⑦</w:t>
            </w:r>
            <w:r>
              <w:rPr>
                <w:rFonts w:ascii="仿宋_GB2312" w:hAnsi="仿宋_GB2312" w:cs="仿宋_GB2312" w:eastAsia="仿宋_GB2312"/>
                <w:sz w:val="21"/>
                <w:b/>
                <w:color w:val="000000"/>
              </w:rPr>
              <w:t>代办服务，开展代购米、面、油等日常生活用品服务每月不少于</w:t>
            </w:r>
            <w:r>
              <w:rPr>
                <w:rFonts w:ascii="仿宋_GB2312" w:hAnsi="仿宋_GB2312" w:cs="仿宋_GB2312" w:eastAsia="仿宋_GB2312"/>
                <w:sz w:val="21"/>
                <w:b/>
                <w:color w:val="000000"/>
              </w:rPr>
              <w:t>1次。选择开展协助对象申领养老保险等各种惠民政策补贴、快递送取等代办服务，协助代缴水、电、气、讯等费用代缴服务每月不少于1次。</w:t>
            </w:r>
          </w:p>
          <w:p>
            <w:pPr>
              <w:pStyle w:val="null3"/>
              <w:ind w:firstLine="640"/>
              <w:jc w:val="both"/>
            </w:pPr>
            <w:r>
              <w:rPr>
                <w:rFonts w:ascii="仿宋_GB2312" w:hAnsi="仿宋_GB2312" w:cs="仿宋_GB2312" w:eastAsia="仿宋_GB2312"/>
                <w:sz w:val="21"/>
                <w:b/>
                <w:color w:val="000000"/>
              </w:rPr>
              <w:t>（二）住院照料护理（住院期间根据医嘱提供全方位服务）</w:t>
            </w:r>
          </w:p>
          <w:p>
            <w:pPr>
              <w:pStyle w:val="null3"/>
              <w:ind w:firstLine="640"/>
              <w:jc w:val="left"/>
            </w:pPr>
            <w:r>
              <w:rPr>
                <w:rFonts w:ascii="仿宋_GB2312" w:hAnsi="仿宋_GB2312" w:cs="仿宋_GB2312" w:eastAsia="仿宋_GB2312"/>
                <w:sz w:val="21"/>
                <w:color w:val="000000"/>
              </w:rPr>
              <w:t>从以下项目中根据服务对象需求开展服务：（</w:t>
            </w:r>
            <w:r>
              <w:rPr>
                <w:rFonts w:ascii="仿宋_GB2312" w:hAnsi="仿宋_GB2312" w:cs="仿宋_GB2312" w:eastAsia="仿宋_GB2312"/>
                <w:sz w:val="21"/>
                <w:color w:val="000000"/>
              </w:rPr>
              <w:t>1）协助更衣服务；（2）如厕服务；（3）日常洗脸、洗手、刮胡子、洗头、泡脚、剪指甲等服务；（4）喂饭喂水服务；（5）协助翻身、擦浴服务；（6）压疮的预防；（7）睡眠照料；（8）洗涤衣物；（9）轮椅移动护理；（10）步行护理；（11）视觉障碍护理；（12）服药指导及喂药服务；（13）机能康复护理；（14）精神慰藉；（15）配合出入院手续服务；（16）住院安全监管服务。</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b/>
              </w:rPr>
              <w:t>四、服务费标准</w:t>
            </w:r>
          </w:p>
          <w:p>
            <w:pPr>
              <w:pStyle w:val="null3"/>
            </w:pPr>
            <w:r>
              <w:rPr>
                <w:rFonts w:ascii="仿宋_GB2312" w:hAnsi="仿宋_GB2312" w:cs="仿宋_GB2312" w:eastAsia="仿宋_GB2312"/>
                <w:b/>
              </w:rPr>
              <w:t>甲方依据购买服务相关政策规定，将购买服务对象照料护理补贴资金做为服务费购买乙方服务，服务费标准依据山阳县分散供养特困人员照料护理费补助标准执行（即：全自理214元/人月，半自理321元/人月，全失能535元/人月），若省市标准变化，以新标准为准。各镇（街）联合村（社）通过入户调查探视巡访、邻里评价等方式对照料护理服务质量按月开展考核验收，考核验收结果作为向兑付乙方服务费的核心依据。</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b/>
              </w:rPr>
              <w:t>五、人员基础准入条件</w:t>
            </w:r>
          </w:p>
          <w:p>
            <w:pPr>
              <w:pStyle w:val="null3"/>
            </w:pPr>
            <w:r>
              <w:rPr>
                <w:rFonts w:ascii="仿宋_GB2312" w:hAnsi="仿宋_GB2312" w:cs="仿宋_GB2312" w:eastAsia="仿宋_GB2312"/>
              </w:rPr>
              <w:t>（1）年龄18–60周岁，身体健康，无传染病、精神病史、重大犯罪记录，上岗前提供有效健康证，每年统一体检；</w:t>
            </w:r>
          </w:p>
          <w:p>
            <w:pPr>
              <w:pStyle w:val="null3"/>
            </w:pPr>
            <w:r>
              <w:rPr>
                <w:rFonts w:ascii="仿宋_GB2312" w:hAnsi="仿宋_GB2312" w:cs="仿宋_GB2312" w:eastAsia="仿宋_GB2312"/>
              </w:rPr>
              <w:t>（2）统一签订劳动合同，缴纳保险，薪酬不低于山阳县最低工资标准，合法规范用工；</w:t>
            </w:r>
          </w:p>
          <w:p>
            <w:pPr>
              <w:pStyle w:val="null3"/>
            </w:pPr>
            <w:r>
              <w:rPr>
                <w:rFonts w:ascii="仿宋_GB2312" w:hAnsi="仿宋_GB2312" w:cs="仿宋_GB2312" w:eastAsia="仿宋_GB2312"/>
              </w:rPr>
              <w:t>（3）全员岗前培训不少于40课时，每年继续教育不少于2次，内容包含特困救助政策、分级照护操作、应急急救、消防安全、防跌倒、心理沟通；</w:t>
            </w:r>
          </w:p>
          <w:p>
            <w:pPr>
              <w:pStyle w:val="null3"/>
            </w:pPr>
            <w:r>
              <w:rPr>
                <w:rFonts w:ascii="仿宋_GB2312" w:hAnsi="仿宋_GB2312" w:cs="仿宋_GB2312" w:eastAsia="仿宋_GB2312"/>
              </w:rPr>
              <w:t>（4）统一工装、工作证、服务背包，入户亮证服务，全程留存服务影像记录；</w:t>
            </w:r>
          </w:p>
          <w:p>
            <w:pPr>
              <w:pStyle w:val="null3"/>
            </w:pPr>
            <w:r>
              <w:rPr>
                <w:rFonts w:ascii="仿宋_GB2312" w:hAnsi="仿宋_GB2312" w:cs="仿宋_GB2312" w:eastAsia="仿宋_GB2312"/>
              </w:rPr>
              <w:t>（5）无虐待、遗弃、歧视服务对象不良从业记录，投标时承诺人员无失信、无民政行业处罚记录；</w:t>
            </w:r>
          </w:p>
          <w:p>
            <w:pPr>
              <w:pStyle w:val="null3"/>
            </w:pPr>
            <w:r>
              <w:rPr>
                <w:rFonts w:ascii="仿宋_GB2312" w:hAnsi="仿宋_GB2312" w:cs="仿宋_GB2312" w:eastAsia="仿宋_GB2312"/>
              </w:rPr>
              <w:t>（6）项目负责人需持有养老护理员中级及以上证书或社会工作者职业资格证，驻山阳县常态化办公，保证工作日8小时在岗，24 小时应急联络畅通；</w:t>
            </w:r>
          </w:p>
          <w:p>
            <w:pPr>
              <w:pStyle w:val="null3"/>
            </w:pPr>
            <w:r>
              <w:rPr>
                <w:rFonts w:ascii="仿宋_GB2312" w:hAnsi="仿宋_GB2312" w:cs="仿宋_GB2312" w:eastAsia="仿宋_GB2312"/>
              </w:rPr>
              <w:t>（7）心理慰藉专员持有社会工作者证或心理咨询相关培训证书；</w:t>
            </w:r>
          </w:p>
          <w:p>
            <w:pPr>
              <w:pStyle w:val="null3"/>
            </w:pPr>
            <w:r>
              <w:rPr>
                <w:rFonts w:ascii="仿宋_GB2312" w:hAnsi="仿宋_GB2312" w:cs="仿宋_GB2312" w:eastAsia="仿宋_GB2312"/>
              </w:rPr>
              <w:t>（8）普通护理员需持证上岗。</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b/>
              </w:rPr>
              <w:t>六、人员管理硬性约束</w:t>
            </w:r>
          </w:p>
          <w:p>
            <w:pPr>
              <w:pStyle w:val="null3"/>
            </w:pPr>
            <w:r>
              <w:rPr>
                <w:rFonts w:ascii="仿宋_GB2312" w:hAnsi="仿宋_GB2312" w:cs="仿宋_GB2312" w:eastAsia="仿宋_GB2312"/>
              </w:rPr>
              <w:t>（1）服务期内更换项目负责人、质控督导须提前15日书面报山阳县民政局审核同意，未经许可不得随意调换核心管理人员；</w:t>
            </w:r>
          </w:p>
          <w:p>
            <w:pPr>
              <w:pStyle w:val="null3"/>
            </w:pPr>
            <w:r>
              <w:rPr>
                <w:rFonts w:ascii="仿宋_GB2312" w:hAnsi="仿宋_GB2312" w:cs="仿宋_GB2312" w:eastAsia="仿宋_GB2312"/>
              </w:rPr>
              <w:t>（2）建立护理员绩效考核制度，与月度服务考核、群众满意度直接挂钩，对服务缺位、态度恶劣、漏访少访人员予以清退；</w:t>
            </w:r>
          </w:p>
          <w:p>
            <w:pPr>
              <w:pStyle w:val="null3"/>
            </w:pPr>
            <w:r>
              <w:rPr>
                <w:rFonts w:ascii="仿宋_GB2312" w:hAnsi="仿宋_GB2312" w:cs="仿宋_GB2312" w:eastAsia="仿宋_GB2312"/>
              </w:rPr>
              <w:t>（3）全部人员留存身份证、健康证、资质证书、劳动合同复印件，建档备查，民政部门可随时调阅。</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（1）项目管理团队（专职在岗，不得兼职其他项目）不少于6人。其中，项目负责人 1 名，专职质控督导 2 名，健康管理专员 1 名，行政档案专员 1 名，心理慰藉专员 1 名。 （2）一线上门照料护理人员不少于30人。其中，服务对象在30人以内的街镇至少配备 1 名常驻护理员，服务对象超过30人的街镇至少配备2名常驻护理员，机动护理专班不少于5人，供偏远村组机动调配，住院陪护专班不少于6人。 （3）建立不少于总一线人员20%的机动替补库。</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（1）有合理规模的固定办公场地，具备独立接待区、档案库房、值班室等。 （2）电脑、打印机、监控、档案柜等办公设施设备配置齐全。 （3）服务工具包、监控监测设备、安全巡查工具、影像采集设备、记录设备、应急物资等上门服务统一便携设备或工具全员配齐。 （4）住院陪护专项设备、交通保障专用车辆等装备齐全。</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（一）制度体系建设（投标文件须完整提供全套制度文本） 1.人员管理制度：招聘、培训、考勤、绩效考核、离职替补、奖惩制度； 2.分级照料服务操作规范：全自理/半护理/全护理上门服务流程、住院陪护操作细则； 3.档案管理制度：一人一档建立、更新、保管、查阅规范； 4.安全管理制度：入户安全排查、用火用电防滑防跌倒、突发事件应急处置制度； 5.投诉与回访制度：特困对象、村居委会投诉受理、24小时响应、回访整改闭环机制； 6.财务管理制度：服务资金专款专用、人员薪酬发放、耗材采购台账； 7.应急管理制度：突发疾病、意外摔伤、火情、走失、极端天气、人员短缺应急预案。 （二）服务台账与信息化管理要求 1.实行一户一档、一人一档，纸质档案包含：特困人员认定资料、自理能力评估表、四方照料协议、月度服务记录、影像照片、健康监测记录、满意度评价、整改记录； 2.建立电子台账数据库，所有服务信息按月同步报送县民政局； 3.入户服务必须定位留痕，每次服务留存不少于3张现场照片（入户前、服务过程、服务完成），影像资料保存至服务期满后2年。 （三）培训体系要求 1.岗前全员培训：特困救助政策、分级照护实操、急救、心理沟通、消防安全、服务礼仪； 2.常态化月度集中培训，季度技能考核，年度技能提升培训； 3.建立培训签到、课件、考核试卷、培训影像完整台账，供民政部门核查。 （四）考核与履约保障要求 1.主动配合县民政局、各镇街、村（居）委会开展月度入户考核、季度全覆盖满意度调查； 2.对考核不合格服务事项，3日内完成整改并提交整改报告，连续两月片区服务不达标，接受甲方约谈、扣减服务费处置； 3.服务实行动态调整，根据全县新增、退出特困人员实时增减护理人员与服务频次，不得推诿新增服务对象； 4.严格执行本项目收费标准（全自理214元/人/月、半自理321元/人/月、全失能535元/人/月），不得向特困对象收取任何服务费用。 （五）政策合规附加要求 1.本项目100%专门面向小微企业，投标单位须符合小微企业认定标准，监狱企业、残疾人福利性单位视同小微企业； 2.用工、服务实施、档案管理严格遵守《政府购买服务管理办法》《陕西省财政厅陕财办采〔2024〕9号》、省市县分散供养特困照料相关文件； 3.严禁转包、分包本项目全部或部分服务，所有服务人员、设备、运营工作由投标单位独立承担，不得委托第三方机构实施。</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山阳县各镇街</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由镇村按照合同约定的服务内容开展验收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按照合同约定，验收达标后付款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1.除不可抗力外，甲方无故终止项目、不按期委托评估项目、不按约定付款等故意违反约定的行为视为违约； 2.除不可抗力外，乙方未按约定完成目标任务、不能达到服务要求视为违约。 3.违约解决办法：在合同履行过程中，发生违约，各方应进行平等协商，协商不成的，可以向有管辖权的人民法院提起诉讼。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投标人必须提供的方案有：（1）整体服务实施方案；（2）质量管控与回访考核方案；（3）突发事件应急预案；（4）人员培训及储备管理方案；（5）项目合理化提升建议。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 （2）财务状况报告：（以下两种资料提供任意一种即可）①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赋予的验证码；②其开标前三个月内基本开户银行出具的资信证明。 （3）书面声明：提供书面声明，包括声明具有履行合同所必需的设备和专业技术能力；未为本项目提供整体设计、规范编制或者项目管理、监理、检测等服务。 （4）社保缴纳证明：提供递交投标文件截止之日前一年内任意一个月的社会保障资金缴存单据或社保机构开具的社会保险参保缴费情况证明。依法不需要缴纳社会保障资金的投标人应提供相关文件证明。 （5）税收缴纳证明：提供递交投标文件截止之日前一年内任意一个月的依法缴纳税收的完税证明，完税证明应有税务机关或代收机关的公章或业务专用章。依法免税或无须缴纳税收的投标人，应提供相应证明文件。 （6）信用记录：提供《投标人信用记录书面声明函》。经查，投标人未被列入“信用中国”网站记录的“失信被执行人”或“重大税收违法案件当事人”名单；不处于“中国政府采购网”记录的“政府采购严重违法失信行为记录名单”中的禁止参加政府采购活动期间。 （7）控股管理关系：提供直接控股和管理关系清单。若与其他投标人存在单位负责人为同一人或者存在直接控股、管理关系的，则投标无效。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供应商信用记录书面声明函 控股管理关系 书面声明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招标文件中凡是需要法定代表人盖章之处，非法人单位的负责人均参照执行。 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法定代表人授权委托书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联合体投标及分包要求</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本项目不接受联合体投标，不允许分包。投标人应提供《非联合体不分包投标声明》，视为独立投标，不分包。</w:t>
            </w:r>
          </w:p>
        </w:tc>
        <w:tc>
          <w:tcPr>
            <w:tcW w:type="dxa" w:w="1661"/>
          </w:tcPr>
          <w:p>
            <w:pPr>
              <w:pStyle w:val="null3"/>
            </w:pPr>
            <w:r>
              <w:rPr>
                <w:rFonts w:ascii="仿宋_GB2312" w:hAnsi="仿宋_GB2312" w:cs="仿宋_GB2312" w:eastAsia="仿宋_GB2312"/>
              </w:rPr>
              <w:t>非联合体不分包响应声明</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投标文件封面、语言及有效期</w:t>
            </w:r>
          </w:p>
        </w:tc>
        <w:tc>
          <w:tcPr>
            <w:tcW w:type="dxa" w:w="3322"/>
          </w:tcPr>
          <w:p>
            <w:pPr>
              <w:pStyle w:val="null3"/>
            </w:pPr>
            <w:r>
              <w:rPr>
                <w:rFonts w:ascii="仿宋_GB2312" w:hAnsi="仿宋_GB2312" w:cs="仿宋_GB2312" w:eastAsia="仿宋_GB2312"/>
              </w:rPr>
              <w:t>投标文件封面、语言及有效期满足招标文件的要求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（1）投标报价符合唯一性要求：（2）开标一览表填写符合要求；（3）计量单位、报价货币均符合招标文件要求；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投标人承诺书</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拒绝政府采购领域商业贿赂承诺书 质量安全责任承诺书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技术、服务、商务及其他要求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完全理解并接受对合格投标人、合格的货物、工程或服务要求，根据投标人投标文件《服务内容及服务要求应答表》、《商务应答表》，结合招标文件“★”标识的实质性要求没有负偏离。</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固定办公场地配置</w:t>
            </w:r>
          </w:p>
        </w:tc>
        <w:tc>
          <w:tcPr>
            <w:tcW w:type="dxa" w:w="2492"/>
          </w:tcPr>
          <w:p>
            <w:pPr>
              <w:pStyle w:val="null3"/>
            </w:pPr>
            <w:r>
              <w:rPr>
                <w:rFonts w:ascii="仿宋_GB2312" w:hAnsi="仿宋_GB2312" w:cs="仿宋_GB2312" w:eastAsia="仿宋_GB2312"/>
              </w:rPr>
              <w:t>具备合理规模固定办公场地，内设独立接待区、档案库房、值班室，提供产权证明或有效租赁合同、场地实拍图/效果图得16分；缺少任一功能区域扣4分；无固定办公场地不得分。需提供场地租赁合同/产权证明、场地实景照片/效果图。</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项目管理团队及一线护理人员配置</w:t>
            </w:r>
          </w:p>
        </w:tc>
        <w:tc>
          <w:tcPr>
            <w:tcW w:type="dxa" w:w="2492"/>
          </w:tcPr>
          <w:p>
            <w:pPr>
              <w:pStyle w:val="null3"/>
            </w:pPr>
            <w:r>
              <w:rPr>
                <w:rFonts w:ascii="仿宋_GB2312" w:hAnsi="仿宋_GB2312" w:cs="仿宋_GB2312" w:eastAsia="仿宋_GB2312"/>
              </w:rPr>
              <w:t>1. 管理团队专职在岗、不兼职其他项目，足额配置6人（项目负责人1名、质控督导2名、健康管理专员1名、行政档案专员1名、心理慰藉专员1名），得6分；每少1人扣1分，扣完为止； 2. 一线上门护理人员≥30人，按镇街标准配备常驻护理员、机动专班≥5人、住院陪护专班≥6 人，得16分；每少1人扣0.5分，扣完为止； 3. 建立一线人员20%以上替补人员储备库，提供人员储备承诺，得2分；未承诺不得分。以上三项需提供人员配置清单、劳动合同/社保承诺、岗位分工说明、人员储备承诺书、人员无兼职承诺函。缺对应人员配置，该项对应分值不予计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全套服务设施设备配置</w:t>
            </w:r>
          </w:p>
        </w:tc>
        <w:tc>
          <w:tcPr>
            <w:tcW w:type="dxa" w:w="2492"/>
          </w:tcPr>
          <w:p>
            <w:pPr>
              <w:pStyle w:val="null3"/>
            </w:pPr>
            <w:r>
              <w:rPr>
                <w:rFonts w:ascii="仿宋_GB2312" w:hAnsi="仿宋_GB2312" w:cs="仿宋_GB2312" w:eastAsia="仿宋_GB2312"/>
              </w:rPr>
              <w:t>本项共16分，分4项逐项计分，每缺一项/一项不达标扣4分： （1）电脑、打印机、监控、档案柜等基础办公设施齐全； （2）全员配齐统一便携服务工具包、健康监测设备、安全巡查工具、影像采集设备、记录台账工具、应急物资； （3）配齐轮椅、翻身垫、擦浴套装等住院陪护专用护理设备； （4）配备统一标识服务专用车辆，手续、保险齐全。 需提供设备明细清单、车辆行驶证、保险单、设备配置承诺函。</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同类项目业绩</w:t>
            </w:r>
          </w:p>
        </w:tc>
        <w:tc>
          <w:tcPr>
            <w:tcW w:type="dxa" w:w="2492"/>
          </w:tcPr>
          <w:p>
            <w:pPr>
              <w:pStyle w:val="null3"/>
            </w:pPr>
            <w:r>
              <w:rPr>
                <w:rFonts w:ascii="仿宋_GB2312" w:hAnsi="仿宋_GB2312" w:cs="仿宋_GB2312" w:eastAsia="仿宋_GB2312"/>
              </w:rPr>
              <w:t>截止开标之日起前三年内，具备1份及以上分散供养特困人员照料护理/居家养老政府购买服务业绩（合同+中标通知书齐全）得5分；无同类业绩不得分。单纯日间照料、养老驿站项目不计分。需提供合同、中标通知书加盖公章，合同须包含上门照料、特困护理服务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整体服务实施方案</w:t>
            </w:r>
          </w:p>
        </w:tc>
        <w:tc>
          <w:tcPr>
            <w:tcW w:type="dxa" w:w="2492"/>
          </w:tcPr>
          <w:p>
            <w:pPr>
              <w:pStyle w:val="null3"/>
            </w:pPr>
            <w:r>
              <w:rPr>
                <w:rFonts w:ascii="仿宋_GB2312" w:hAnsi="仿宋_GB2312" w:cs="仿宋_GB2312" w:eastAsia="仿宋_GB2312"/>
              </w:rPr>
              <w:t>方案完整覆盖全县18个镇街全部服务对象，分级区分全自理/半护理/全护理服务频次，四类服务内容落地性强，贴合山区实际：9-12分； 方案框架完整，部分细节简略：5-8分； 内容简单照搬采购需求，无落地措施：1-4分；无方案0分。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质量管控与回访考核方案</w:t>
            </w:r>
          </w:p>
        </w:tc>
        <w:tc>
          <w:tcPr>
            <w:tcW w:type="dxa" w:w="2492"/>
          </w:tcPr>
          <w:p>
            <w:pPr>
              <w:pStyle w:val="null3"/>
            </w:pPr>
            <w:r>
              <w:rPr>
                <w:rFonts w:ascii="仿宋_GB2312" w:hAnsi="仿宋_GB2312" w:cs="仿宋_GB2312" w:eastAsia="仿宋_GB2312"/>
              </w:rPr>
              <w:t>具备分片督导巡查、一人一档双台账、GPS影像留痕、月度镇村考核、投诉24小时闭环整改全流程机制，量化清晰：7-9分； 管控措施缺失部分环节：3-6分； 仅简单提及管控无细则：1-2分；无方案0分。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覆盖突发疾病、摔伤、消防安全、极端天气、人员短缺、情绪危机、舆论处置，明确镇村机构三方联动处置流程：6-8分； 预案类型不全、处置流程模糊：3-5分； 预案简略无实操流程：1-2分；无预案0分。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人员培训及储备管理方案</w:t>
            </w:r>
          </w:p>
        </w:tc>
        <w:tc>
          <w:tcPr>
            <w:tcW w:type="dxa" w:w="2492"/>
          </w:tcPr>
          <w:p>
            <w:pPr>
              <w:pStyle w:val="null3"/>
            </w:pPr>
            <w:r>
              <w:rPr>
                <w:rFonts w:ascii="仿宋_GB2312" w:hAnsi="仿宋_GB2312" w:cs="仿宋_GB2312" w:eastAsia="仿宋_GB2312"/>
              </w:rPr>
              <w:t>包含岗前培训、月度常态化培训、季度技能考核、20%护理员储备、绩效考核奖惩机制，制度完整可行：4-5分； 培训/储备制度不完善：1-3分；无方案0分。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项目合理化提升建议</w:t>
            </w:r>
          </w:p>
        </w:tc>
        <w:tc>
          <w:tcPr>
            <w:tcW w:type="dxa" w:w="2492"/>
          </w:tcPr>
          <w:p>
            <w:pPr>
              <w:pStyle w:val="null3"/>
            </w:pPr>
            <w:r>
              <w:rPr>
                <w:rFonts w:ascii="仿宋_GB2312" w:hAnsi="仿宋_GB2312" w:cs="仿宋_GB2312" w:eastAsia="仿宋_GB2312"/>
              </w:rPr>
              <w:t>结合山阳县山区特困照料实际提出针对性、可落地优化服务举措，能有效提升服务质量得4-5分；建议通用但缺乏本地适配性得1-3分；无合理化建议0分。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详见附件：供应商信用记录书面声明函</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详见附件：非联合体不分包响应声明</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详见附件：质量安全责任承诺书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