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50576">
      <w:pPr>
        <w:jc w:val="center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Hans"/>
        </w:rPr>
        <w:t>工程进度计划与保证措施</w:t>
      </w:r>
      <w:bookmarkStart w:id="0" w:name="_GoBack"/>
      <w:bookmarkEnd w:id="0"/>
    </w:p>
    <w:p w14:paraId="3E3FC11A">
      <w:r>
        <w:rPr>
          <w:rFonts w:hint="eastAsia"/>
          <w:b/>
          <w:bCs/>
          <w:sz w:val="32"/>
          <w:szCs w:val="36"/>
        </w:rPr>
        <w:t>供应商按照招标文件评审办法编写技术方案，格式不限。</w:t>
      </w:r>
    </w:p>
    <w:p w14:paraId="61B16A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56170"/>
    <w:rsid w:val="7EA5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2026-05-20T09:03:00Z</dcterms:created>
  <dc:creator>Arian</dc:creator>
  <cp:lastModifiedBy>Arian</cp:lastModifiedBy>
  <dcterms:modified xsi:type="dcterms:W3CDTF">2026-05-20T09:04:06Z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C1889E0581D7480C980FD1164E97155F_11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