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版本号：SXWZ2026ZB-XJD-07620260520001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雁塔校区教学大楼公区、南阶局部环境提升项目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SXWZ2026ZB-XJD-076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雁塔校区教学大楼公区、南阶局部环境提升项目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SXWZ2026ZB-XJD-076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雁塔校区教学大楼公区、南阶局部环境提升项目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雁塔校区教学大楼公区、南阶局部环境提升项目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采购包1（雁塔校区教学大楼公区、南阶局部环境提升项目）：属于专门面向中小企业采购。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2、法定代表人证明书及法定代表人授权书：非法定代表人参加投标，须提供法定代表人授权委托书及被授权人身份证原件；法定代表人参加投标时,只须提供法定代表人身份证原件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3、社会保障资金缴纳证明：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具有依法缴纳税收的良好记录，提供2025年05月至今已缴纳的至少一个月的纳税证明或完税证明（至少包含增值税或企业所得税）；依法免税的单位应提供相关证明材料；（以税款所属日期为准）</w:t>
      </w:r>
    </w:p>
    <w:p>
      <w:pPr>
        <w:pStyle w:val="null3"/>
      </w:pPr>
      <w:r>
        <w:rPr>
          <w:rFonts w:ascii="仿宋_GB2312" w:hAnsi="仿宋_GB2312" w:cs="仿宋_GB2312" w:eastAsia="仿宋_GB2312"/>
        </w:rPr>
        <w:t>5、财务状况证明：具有良好的商业信誉和健全的财务会计制度，提供2024年或2025年度经审计的财务报告或开标前六个月内其基本账户银行出具的资信证明（附开户许可证或基本账户证明）</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7、供应商特殊资格要求：供应商具备建筑工程施工总承包叁级及以上资质或建筑装饰装修工程专业承包贰级及以上资质，并提供有效的安全生产许可证</w:t>
      </w:r>
    </w:p>
    <w:p>
      <w:pPr>
        <w:pStyle w:val="null3"/>
      </w:pPr>
      <w:r>
        <w:rPr>
          <w:rFonts w:ascii="仿宋_GB2312" w:hAnsi="仿宋_GB2312" w:cs="仿宋_GB2312" w:eastAsia="仿宋_GB2312"/>
        </w:rPr>
        <w:t>8、项目经理：拟派项目经理具有建筑工程专业二级及以上注册建造师资格及有效的安全生产考核合格证书（B证），且无其他在建项目及不良行为记录（提供承诺函）</w:t>
      </w:r>
    </w:p>
    <w:p>
      <w:pPr>
        <w:pStyle w:val="null3"/>
      </w:pPr>
      <w:r>
        <w:rPr>
          <w:rFonts w:ascii="仿宋_GB2312" w:hAnsi="仿宋_GB2312" w:cs="仿宋_GB2312" w:eastAsia="仿宋_GB2312"/>
        </w:rPr>
        <w:t>9、陕西省建筑市场监管与诚信信息一体化平台备案：外省企业须在“陕西省建筑市场监管与诚信信息一体化平台”备案</w:t>
      </w:r>
    </w:p>
    <w:p>
      <w:pPr>
        <w:pStyle w:val="null3"/>
      </w:pPr>
      <w:r>
        <w:rPr>
          <w:rFonts w:ascii="仿宋_GB2312" w:hAnsi="仿宋_GB2312" w:cs="仿宋_GB2312" w:eastAsia="仿宋_GB2312"/>
        </w:rPr>
        <w:t>10、中小企业：本项目专门面向中小企业采购，供应商应提供中小企业声明函</w:t>
      </w:r>
    </w:p>
    <w:p>
      <w:pPr>
        <w:pStyle w:val="null3"/>
      </w:pPr>
      <w:r>
        <w:rPr>
          <w:rFonts w:ascii="仿宋_GB2312" w:hAnsi="仿宋_GB2312" w:cs="仿宋_GB2312" w:eastAsia="仿宋_GB2312"/>
        </w:rPr>
        <w:t>11、非联合体投标：本项目不接受联合体参与。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 号）文件规定标准计取 1.100 万元(不含)以下的项目，按照文件标准计费收取; 2.100万元(含)以上的项目，按照文件标准上限75%计费。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踏勘时间：2026-05-28 09:30:00</w:t>
            </w:r>
          </w:p>
          <w:p>
            <w:pPr>
              <w:pStyle w:val="null3"/>
              <w:ind w:firstLine="975"/>
            </w:pPr>
            <w:r>
              <w:rPr>
                <w:rFonts w:ascii="仿宋_GB2312" w:hAnsi="仿宋_GB2312" w:cs="仿宋_GB2312" w:eastAsia="仿宋_GB2312"/>
              </w:rPr>
              <w:t>踏勘地点：雁塔校区北院南阶</w:t>
            </w:r>
          </w:p>
          <w:p>
            <w:pPr>
              <w:pStyle w:val="null3"/>
              <w:ind w:firstLine="975"/>
            </w:pPr>
            <w:r>
              <w:rPr>
                <w:rFonts w:ascii="仿宋_GB2312" w:hAnsi="仿宋_GB2312" w:cs="仿宋_GB2312" w:eastAsia="仿宋_GB2312"/>
              </w:rPr>
              <w:t>联系人：许老师</w:t>
            </w:r>
          </w:p>
          <w:p>
            <w:pPr>
              <w:pStyle w:val="null3"/>
              <w:ind w:firstLine="975"/>
            </w:pPr>
            <w:r>
              <w:rPr>
                <w:rFonts w:ascii="仿宋_GB2312" w:hAnsi="仿宋_GB2312" w:cs="仿宋_GB2312" w:eastAsia="仿宋_GB2312"/>
              </w:rPr>
              <w:t>联系电话号码：029-88319689-8004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地址：西安市雁塔区唐延路35号旺座现代城C座2502室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2,071,200.00</w:t>
      </w:r>
    </w:p>
    <w:p>
      <w:pPr>
        <w:pStyle w:val="null3"/>
      </w:pPr>
      <w:r>
        <w:rPr>
          <w:rFonts w:ascii="仿宋_GB2312" w:hAnsi="仿宋_GB2312" w:cs="仿宋_GB2312" w:eastAsia="仿宋_GB2312"/>
        </w:rPr>
        <w:t>采购包最高限价（元）: 2,071,200.00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雁塔校区教学大楼公区和南阶局部环境提升项目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2,071,200.00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标的名称：雁塔校区教学大楼公区和南阶局部环境提升项目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一、商务条款</w:t>
            </w:r>
          </w:p>
          <w:p>
            <w:pPr>
              <w:pStyle w:val="null3"/>
              <w:ind w:firstLine="480"/>
              <w:jc w:val="both"/>
            </w:pPr>
            <w:r>
              <w:rPr>
                <w:rFonts w:ascii="仿宋_GB2312" w:hAnsi="仿宋_GB2312" w:cs="仿宋_GB2312" w:eastAsia="仿宋_GB2312"/>
                <w:sz w:val="20"/>
              </w:rPr>
              <w:t>1、工期：</w:t>
            </w:r>
            <w:r>
              <w:rPr>
                <w:rFonts w:ascii="仿宋_GB2312" w:hAnsi="仿宋_GB2312" w:cs="仿宋_GB2312" w:eastAsia="仿宋_GB2312"/>
                <w:sz w:val="20"/>
              </w:rPr>
              <w:t>60</w:t>
            </w:r>
            <w:r>
              <w:rPr>
                <w:rFonts w:ascii="仿宋_GB2312" w:hAnsi="仿宋_GB2312" w:cs="仿宋_GB2312" w:eastAsia="仿宋_GB2312"/>
                <w:sz w:val="20"/>
              </w:rPr>
              <w:t>日历天</w:t>
            </w:r>
          </w:p>
          <w:p>
            <w:pPr>
              <w:pStyle w:val="null3"/>
              <w:ind w:firstLine="480"/>
              <w:jc w:val="both"/>
            </w:pPr>
            <w:r>
              <w:rPr>
                <w:rFonts w:ascii="仿宋_GB2312" w:hAnsi="仿宋_GB2312" w:cs="仿宋_GB2312" w:eastAsia="仿宋_GB2312"/>
                <w:sz w:val="20"/>
              </w:rPr>
              <w:t>2、质量保修范围：按照建筑行业及国家要求进行保修；属于保修范围和内容的项目，承包人应在接到维修通知后， 1 天内派人维修。发生紧急抢修事故（如上水管跑水、爆裂，供电设施漏、断电等），承包人应在接到事故通知后 2 小时内到达事故现场并于 4 小时内完成应急维修。</w:t>
            </w:r>
          </w:p>
          <w:p>
            <w:pPr>
              <w:pStyle w:val="null3"/>
              <w:ind w:firstLine="480"/>
              <w:jc w:val="both"/>
            </w:pPr>
            <w:r>
              <w:rPr>
                <w:rFonts w:ascii="仿宋_GB2312" w:hAnsi="仿宋_GB2312" w:cs="仿宋_GB2312" w:eastAsia="仿宋_GB2312"/>
                <w:sz w:val="20"/>
              </w:rPr>
              <w:t>3、保修期：本项目竣工验收合格通过之日起 贰 年，其中防水五年</w:t>
            </w:r>
          </w:p>
          <w:p>
            <w:pPr>
              <w:pStyle w:val="null3"/>
              <w:ind w:firstLine="480"/>
              <w:jc w:val="both"/>
            </w:pPr>
            <w:r>
              <w:rPr>
                <w:rFonts w:ascii="仿宋_GB2312" w:hAnsi="仿宋_GB2312" w:cs="仿宋_GB2312" w:eastAsia="仿宋_GB2312"/>
                <w:sz w:val="20"/>
              </w:rPr>
              <w:t>4、质量</w:t>
            </w:r>
            <w:r>
              <w:rPr>
                <w:rFonts w:ascii="仿宋_GB2312" w:hAnsi="仿宋_GB2312" w:cs="仿宋_GB2312" w:eastAsia="仿宋_GB2312"/>
                <w:sz w:val="20"/>
              </w:rPr>
              <w:t>标准</w:t>
            </w:r>
            <w:r>
              <w:rPr>
                <w:rFonts w:ascii="仿宋_GB2312" w:hAnsi="仿宋_GB2312" w:cs="仿宋_GB2312" w:eastAsia="仿宋_GB2312"/>
                <w:sz w:val="20"/>
              </w:rPr>
              <w:t>：</w:t>
            </w:r>
            <w:r>
              <w:rPr>
                <w:rFonts w:ascii="仿宋_GB2312" w:hAnsi="仿宋_GB2312" w:cs="仿宋_GB2312" w:eastAsia="仿宋_GB2312"/>
                <w:sz w:val="20"/>
              </w:rPr>
              <w:t>质量标准执行国家、陕西省、西安市现行工程质量验评标准，施工结束后提供具有</w:t>
            </w:r>
            <w:r>
              <w:rPr>
                <w:rFonts w:ascii="仿宋_GB2312" w:hAnsi="仿宋_GB2312" w:cs="仿宋_GB2312" w:eastAsia="仿宋_GB2312"/>
                <w:sz w:val="20"/>
              </w:rPr>
              <w:t>CMA/CNAS资格的第三方检测机构空气质量检测报告。</w:t>
            </w:r>
          </w:p>
          <w:p>
            <w:pPr>
              <w:pStyle w:val="null3"/>
              <w:ind w:right="60" w:firstLine="480"/>
            </w:pPr>
            <w:r>
              <w:rPr>
                <w:rFonts w:ascii="仿宋_GB2312" w:hAnsi="仿宋_GB2312" w:cs="仿宋_GB2312" w:eastAsia="仿宋_GB2312"/>
                <w:sz w:val="20"/>
              </w:rPr>
              <w:t>5、实施地点：</w:t>
            </w:r>
            <w:r>
              <w:rPr>
                <w:rFonts w:ascii="仿宋_GB2312" w:hAnsi="仿宋_GB2312" w:cs="仿宋_GB2312" w:eastAsia="仿宋_GB2312"/>
                <w:sz w:val="20"/>
              </w:rPr>
              <w:t>采购人指定地点</w:t>
            </w:r>
          </w:p>
          <w:p>
            <w:pPr>
              <w:pStyle w:val="null3"/>
              <w:ind w:right="60" w:firstLine="480"/>
            </w:pPr>
            <w:r>
              <w:rPr>
                <w:rFonts w:ascii="仿宋_GB2312" w:hAnsi="仿宋_GB2312" w:cs="仿宋_GB2312" w:eastAsia="仿宋_GB2312"/>
                <w:sz w:val="20"/>
              </w:rPr>
              <w:t>6、项目需执行的国家标准、行业标准、地方标准或者其他标准、规范等：建筑工程施工质量验收统一标准（GB50300-2013）</w:t>
            </w:r>
          </w:p>
          <w:p>
            <w:pPr>
              <w:pStyle w:val="null3"/>
              <w:ind w:right="60" w:firstLine="480"/>
            </w:pPr>
            <w:r>
              <w:rPr>
                <w:rFonts w:ascii="仿宋_GB2312" w:hAnsi="仿宋_GB2312" w:cs="仿宋_GB2312" w:eastAsia="仿宋_GB2312"/>
                <w:sz w:val="20"/>
              </w:rPr>
              <w:t>7</w:t>
            </w:r>
            <w:r>
              <w:rPr>
                <w:rFonts w:ascii="仿宋_GB2312" w:hAnsi="仿宋_GB2312" w:cs="仿宋_GB2312" w:eastAsia="仿宋_GB2312"/>
                <w:sz w:val="20"/>
              </w:rPr>
              <w:t>、付款方式：</w:t>
            </w:r>
          </w:p>
          <w:p>
            <w:pPr>
              <w:pStyle w:val="null3"/>
              <w:ind w:firstLine="400"/>
              <w:jc w:val="left"/>
            </w:pPr>
            <w:r>
              <w:rPr>
                <w:rFonts w:ascii="仿宋_GB2312" w:hAnsi="仿宋_GB2312" w:cs="仿宋_GB2312" w:eastAsia="仿宋_GB2312"/>
                <w:sz w:val="20"/>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pPr>
              <w:pStyle w:val="null3"/>
              <w:ind w:firstLine="400"/>
              <w:jc w:val="left"/>
            </w:pPr>
            <w:r>
              <w:rPr>
                <w:rFonts w:ascii="仿宋_GB2312" w:hAnsi="仿宋_GB2312" w:cs="仿宋_GB2312" w:eastAsia="仿宋_GB2312"/>
                <w:sz w:val="20"/>
              </w:rPr>
              <w:t>□签订合同完毕，供应商无法提供预付款保函，施工满一个月，且经核算完成80%改造工程内容后，支付合同额60%进度款。</w:t>
            </w:r>
          </w:p>
          <w:p>
            <w:pPr>
              <w:pStyle w:val="null3"/>
              <w:ind w:right="60" w:firstLine="480"/>
            </w:pPr>
            <w:r>
              <w:rPr>
                <w:rFonts w:ascii="仿宋_GB2312" w:hAnsi="仿宋_GB2312" w:cs="仿宋_GB2312" w:eastAsia="仿宋_GB2312"/>
                <w:sz w:val="20"/>
              </w:rPr>
              <w:t>工程竣工验收合格后经审计部门或其委托有工程造价咨询资质的机构审定结算后，缴纳施工水电费后，支付至审定结算价的</w:t>
            </w:r>
            <w:r>
              <w:rPr>
                <w:rFonts w:ascii="仿宋_GB2312" w:hAnsi="仿宋_GB2312" w:cs="仿宋_GB2312" w:eastAsia="仿宋_GB2312"/>
                <w:sz w:val="20"/>
              </w:rPr>
              <w:t>100%；但在国家规定的保修期限内，保修责任仍由承包人继续承担。</w:t>
            </w:r>
          </w:p>
          <w:p>
            <w:pPr>
              <w:pStyle w:val="null3"/>
              <w:ind w:right="60" w:firstLine="480"/>
            </w:pPr>
            <w:r>
              <w:rPr>
                <w:rFonts w:ascii="仿宋_GB2312" w:hAnsi="仿宋_GB2312" w:cs="仿宋_GB2312" w:eastAsia="仿宋_GB2312"/>
                <w:sz w:val="20"/>
              </w:rPr>
              <w:t>本工程的工程量据实结算，若乙方报送的原始结算价超出甲方审定结算价的</w:t>
            </w:r>
            <w:r>
              <w:rPr>
                <w:rFonts w:ascii="仿宋_GB2312" w:hAnsi="仿宋_GB2312" w:cs="仿宋_GB2312" w:eastAsia="仿宋_GB2312"/>
                <w:sz w:val="20"/>
              </w:rPr>
              <w:t>3％，则乙方承担全部审计费，在结算付款时一次性扣除。</w:t>
            </w:r>
          </w:p>
          <w:p>
            <w:pPr>
              <w:pStyle w:val="null3"/>
              <w:jc w:val="both"/>
            </w:pPr>
            <w:r>
              <w:rPr>
                <w:rFonts w:ascii="仿宋_GB2312" w:hAnsi="仿宋_GB2312" w:cs="仿宋_GB2312" w:eastAsia="仿宋_GB2312"/>
                <w:b/>
              </w:rPr>
              <w:t>二、</w:t>
            </w:r>
            <w:r>
              <w:rPr>
                <w:rFonts w:ascii="仿宋_GB2312" w:hAnsi="仿宋_GB2312" w:cs="仿宋_GB2312" w:eastAsia="仿宋_GB2312"/>
                <w:b/>
              </w:rPr>
              <w:t>工程概况</w:t>
            </w:r>
          </w:p>
          <w:p>
            <w:pPr>
              <w:pStyle w:val="null3"/>
              <w:ind w:firstLine="400"/>
              <w:jc w:val="both"/>
            </w:pPr>
            <w:r>
              <w:rPr>
                <w:rFonts w:ascii="仿宋_GB2312" w:hAnsi="仿宋_GB2312" w:cs="仿宋_GB2312" w:eastAsia="仿宋_GB2312"/>
              </w:rPr>
              <w:t>我校雁塔校区教学大楼整体环境及设施老化问题突出：公区走廊、中厅露台、北侧大厅等区域的墙面、天棚存在墙皮脱落、破损等现象；卫生间内装饰陈旧，给排水、电气等设施老化锈蚀严重；同时，栏杆基座、变形缝、北侧大门外立面柱面石材及部分分隔也存在不同程度的损坏。</w:t>
            </w:r>
            <w:r>
              <w:rPr>
                <w:rFonts w:ascii="仿宋_GB2312" w:hAnsi="仿宋_GB2312" w:cs="仿宋_GB2312" w:eastAsia="仿宋_GB2312"/>
              </w:rPr>
              <w:t>南阶卫生间区域老化破损问题严重：管井内部管道严重锈蚀、渗漏，天棚及管线周边存在明显的渗水、发霉和破损痕迹；洗手台支架等金属构件锈蚀严重，卫生状况不佳；同时，原有隔断、管井门等设施陈旧老化，环境及设施功能亟待提升改造。根据学校改造计划要求，现对教学大楼、南阶进行环境提升改造。质量标准执行国家、陕西省、西安市现行工程质量验评标准。项目预算</w:t>
            </w:r>
            <w:r>
              <w:rPr>
                <w:rFonts w:ascii="仿宋_GB2312" w:hAnsi="仿宋_GB2312" w:cs="仿宋_GB2312" w:eastAsia="仿宋_GB2312"/>
              </w:rPr>
              <w:t>207.12万元，施工场地满足施工需求。</w:t>
            </w:r>
          </w:p>
          <w:p>
            <w:pPr>
              <w:pStyle w:val="null3"/>
              <w:jc w:val="both"/>
            </w:pPr>
            <w:r>
              <w:rPr>
                <w:rFonts w:ascii="仿宋_GB2312" w:hAnsi="仿宋_GB2312" w:cs="仿宋_GB2312" w:eastAsia="仿宋_GB2312"/>
                <w:b/>
              </w:rPr>
              <w:t>三、技术要求</w:t>
            </w:r>
          </w:p>
          <w:p>
            <w:pPr>
              <w:pStyle w:val="null3"/>
              <w:ind w:firstLine="400"/>
              <w:jc w:val="both"/>
            </w:pPr>
            <w:r>
              <w:rPr>
                <w:rFonts w:ascii="仿宋_GB2312" w:hAnsi="仿宋_GB2312" w:cs="仿宋_GB2312" w:eastAsia="仿宋_GB2312"/>
              </w:rPr>
              <w:t>招标文件中提供的工程量清单是按照本工程施工图纸，依据《陕西省建设工程费用规则》、</w:t>
            </w:r>
            <w:r>
              <w:rPr>
                <w:rFonts w:ascii="仿宋_GB2312" w:hAnsi="仿宋_GB2312" w:cs="仿宋_GB2312" w:eastAsia="仿宋_GB2312"/>
              </w:rPr>
              <w:t>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投标人根据提供的施工图纸认真核对，并确认无误;投标人中标后，若出现招标文件中工程量清单描述与图纸不符等问题时，此部分工程量清单项的综合单价不予调整。</w:t>
            </w:r>
          </w:p>
          <w:p>
            <w:pPr>
              <w:pStyle w:val="null3"/>
              <w:jc w:val="both"/>
            </w:pPr>
            <w:r>
              <w:rPr>
                <w:rFonts w:ascii="仿宋_GB2312" w:hAnsi="仿宋_GB2312" w:cs="仿宋_GB2312" w:eastAsia="仿宋_GB2312"/>
                <w:b/>
              </w:rPr>
              <w:t>四、主要材料规格型号及技术参数要求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212"/>
              <w:gridCol w:w="227"/>
              <w:gridCol w:w="362"/>
              <w:gridCol w:w="1637"/>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材料名称</w:t>
                  </w:r>
                </w:p>
              </w:tc>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参数、标准、要求</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装饰装修</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乳胶漆</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乳胶漆挥发性有机化合物含量（60°光泽≤10）≤50g/L</w:t>
                  </w:r>
                </w:p>
                <w:p>
                  <w:pPr>
                    <w:pStyle w:val="null3"/>
                    <w:jc w:val="left"/>
                  </w:pPr>
                  <w:r>
                    <w:rPr>
                      <w:rFonts w:ascii="仿宋_GB2312" w:hAnsi="仿宋_GB2312" w:cs="仿宋_GB2312" w:eastAsia="仿宋_GB2312"/>
                      <w:sz w:val="21"/>
                    </w:rPr>
                    <w:t>2. 乳胶漆挥发性有机化合物含量（60°光泽＞10）≤80g/L</w:t>
                  </w:r>
                </w:p>
                <w:p>
                  <w:pPr>
                    <w:pStyle w:val="null3"/>
                    <w:jc w:val="left"/>
                  </w:pPr>
                  <w:r>
                    <w:rPr>
                      <w:rFonts w:ascii="仿宋_GB2312" w:hAnsi="仿宋_GB2312" w:cs="仿宋_GB2312" w:eastAsia="仿宋_GB2312"/>
                      <w:sz w:val="21"/>
                    </w:rPr>
                    <w:t>3. 乳胶漆甲醛含量（乙酰丙酮法）≤30mg/kg</w:t>
                  </w:r>
                </w:p>
                <w:p>
                  <w:pPr>
                    <w:pStyle w:val="null3"/>
                    <w:jc w:val="left"/>
                  </w:pPr>
                  <w:r>
                    <w:rPr>
                      <w:rFonts w:ascii="仿宋_GB2312" w:hAnsi="仿宋_GB2312" w:cs="仿宋_GB2312" w:eastAsia="仿宋_GB2312"/>
                      <w:sz w:val="21"/>
                    </w:rPr>
                    <w:t>4. 乳胶漆苯、甲苯、乙苯、二甲苯总和≤80mg/kg</w:t>
                  </w:r>
                </w:p>
                <w:p>
                  <w:pPr>
                    <w:pStyle w:val="null3"/>
                    <w:jc w:val="left"/>
                  </w:pPr>
                  <w:r>
                    <w:rPr>
                      <w:rFonts w:ascii="仿宋_GB2312" w:hAnsi="仿宋_GB2312" w:cs="仿宋_GB2312" w:eastAsia="仿宋_GB2312"/>
                      <w:sz w:val="21"/>
                    </w:rPr>
                    <w:t>5.耐洗刷性：≥6000 次</w:t>
                  </w:r>
                </w:p>
                <w:p>
                  <w:pPr>
                    <w:pStyle w:val="null3"/>
                    <w:jc w:val="left"/>
                  </w:pPr>
                  <w:r>
                    <w:rPr>
                      <w:rFonts w:ascii="仿宋_GB2312" w:hAnsi="仿宋_GB2312" w:cs="仿宋_GB2312" w:eastAsia="仿宋_GB2312"/>
                      <w:sz w:val="21"/>
                    </w:rPr>
                    <w:t>非工程款竹炭净味漆，</w:t>
                  </w:r>
                  <w:r>
                    <w:rPr>
                      <w:rFonts w:ascii="仿宋_GB2312" w:hAnsi="仿宋_GB2312" w:cs="仿宋_GB2312" w:eastAsia="仿宋_GB2312"/>
                      <w:sz w:val="21"/>
                    </w:rPr>
                    <w:t>甲醛净化效率</w:t>
                  </w:r>
                  <w:r>
                    <w:rPr>
                      <w:rFonts w:ascii="仿宋_GB2312" w:hAnsi="仿宋_GB2312" w:cs="仿宋_GB2312" w:eastAsia="仿宋_GB2312"/>
                      <w:sz w:val="21"/>
                    </w:rPr>
                    <w:t>≥80%，竹炭颗粒细度≤50纳米，VOC≤10g/L，符合GB18582-2020标准，未添加香精、溶剂，游离甲醛≤5mg/kg，通过CNAS认证，</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墙地瓷砖</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优等品，通过</w:t>
                  </w:r>
                  <w:r>
                    <w:rPr>
                      <w:rFonts w:ascii="仿宋_GB2312" w:hAnsi="仿宋_GB2312" w:cs="仿宋_GB2312" w:eastAsia="仿宋_GB2312"/>
                      <w:sz w:val="21"/>
                    </w:rPr>
                    <w:t>3C认证，执行标准GB/T4100-2015附录G，干压陶瓷E≤0.5%BIa类M，吸水率≤0.5%，摩擦系数≥0.5，符合GB6566-2010建筑材料放射性核素限量中放射性水平A类。</w:t>
                  </w:r>
                  <w:r>
                    <w:rPr>
                      <w:rFonts w:ascii="仿宋_GB2312" w:hAnsi="仿宋_GB2312" w:cs="仿宋_GB2312" w:eastAsia="仿宋_GB2312"/>
                      <w:sz w:val="21"/>
                    </w:rPr>
                    <w:t>产品内照射指数</w:t>
                  </w:r>
                  <w:r>
                    <w:rPr>
                      <w:rFonts w:ascii="仿宋_GB2312" w:hAnsi="仿宋_GB2312" w:cs="仿宋_GB2312" w:eastAsia="仿宋_GB2312"/>
                      <w:sz w:val="21"/>
                    </w:rPr>
                    <w:t>IRa≤0.9</w:t>
                  </w:r>
                  <w:r>
                    <w:rPr>
                      <w:rFonts w:ascii="仿宋_GB2312" w:hAnsi="仿宋_GB2312" w:cs="仿宋_GB2312" w:eastAsia="仿宋_GB2312"/>
                      <w:sz w:val="21"/>
                    </w:rPr>
                    <w:t>，</w:t>
                  </w:r>
                  <w:r>
                    <w:rPr>
                      <w:rFonts w:ascii="仿宋_GB2312" w:hAnsi="仿宋_GB2312" w:cs="仿宋_GB2312" w:eastAsia="仿宋_GB2312"/>
                      <w:sz w:val="21"/>
                    </w:rPr>
                    <w:t>外照射指数</w:t>
                  </w:r>
                  <w:r>
                    <w:rPr>
                      <w:rFonts w:ascii="仿宋_GB2312" w:hAnsi="仿宋_GB2312" w:cs="仿宋_GB2312" w:eastAsia="仿宋_GB2312"/>
                      <w:sz w:val="21"/>
                    </w:rPr>
                    <w:t>Ir≤1.2</w:t>
                  </w:r>
                  <w:r>
                    <w:rPr>
                      <w:rFonts w:ascii="仿宋_GB2312" w:hAnsi="仿宋_GB2312" w:cs="仿宋_GB2312" w:eastAsia="仿宋_GB2312"/>
                      <w:sz w:val="21"/>
                    </w:rPr>
                    <w:t>，</w:t>
                  </w:r>
                  <w:r>
                    <w:rPr>
                      <w:rFonts w:ascii="仿宋_GB2312" w:hAnsi="仿宋_GB2312" w:cs="仿宋_GB2312" w:eastAsia="仿宋_GB2312"/>
                      <w:sz w:val="21"/>
                    </w:rPr>
                    <w:t>耐污染性</w:t>
                  </w:r>
                  <w:r>
                    <w:rPr>
                      <w:rFonts w:ascii="仿宋_GB2312" w:hAnsi="仿宋_GB2312" w:cs="仿宋_GB2312" w:eastAsia="仿宋_GB2312"/>
                      <w:sz w:val="21"/>
                    </w:rPr>
                    <w:t>≥3 级</w:t>
                  </w:r>
                  <w:r>
                    <w:rPr>
                      <w:rFonts w:ascii="仿宋_GB2312" w:hAnsi="仿宋_GB2312" w:cs="仿宋_GB2312" w:eastAsia="仿宋_GB2312"/>
                      <w:sz w:val="21"/>
                    </w:rPr>
                    <w:t>，</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1.2mm厚304哑光不锈钢,节能环保产品，符合本项目工程量清单、施工图纸相关要求，符合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人造石</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18mm厚，防水、防渗、防霉，抗压≥160MPa，抗冲击≥15kg/㎡，弯曲强度≥40MPa，耐磨≤0.02g/cm</w:t>
                  </w:r>
                  <w:r>
                    <w:rPr>
                      <w:rFonts w:ascii="仿宋_GB2312" w:hAnsi="仿宋_GB2312" w:cs="仿宋_GB2312" w:eastAsia="仿宋_GB2312"/>
                      <w:sz w:val="21"/>
                      <w:vertAlign w:val="superscript"/>
                    </w:rPr>
                    <w:t>2</w:t>
                  </w:r>
                  <w:r>
                    <w:rPr>
                      <w:rFonts w:ascii="仿宋_GB2312" w:hAnsi="仿宋_GB2312" w:cs="仿宋_GB2312" w:eastAsia="仿宋_GB2312"/>
                      <w:sz w:val="21"/>
                    </w:rPr>
                    <w:t>，抗菌率</w:t>
                  </w:r>
                  <w:r>
                    <w:rPr>
                      <w:rFonts w:ascii="仿宋_GB2312" w:hAnsi="仿宋_GB2312" w:cs="仿宋_GB2312" w:eastAsia="仿宋_GB2312"/>
                      <w:sz w:val="21"/>
                    </w:rPr>
                    <w:t>≥99%，耐温差-20℃~120℃，耐酸碱10%盐酸，耐污≥4级，甲醛符合GB18580-2017，E0级≤0.05mg/m³，VOC含量≤100g/L，放射性核素内照≤1.0外照≤1.3，符合</w:t>
                  </w:r>
                  <w:r>
                    <w:rPr>
                      <w:rFonts w:ascii="仿宋_GB2312" w:hAnsi="仿宋_GB2312" w:cs="仿宋_GB2312" w:eastAsia="仿宋_GB2312"/>
                      <w:sz w:val="21"/>
                    </w:rPr>
                    <w:t>国家相关标准、规范</w:t>
                  </w:r>
                  <w:r>
                    <w:rPr>
                      <w:rFonts w:ascii="仿宋_GB2312" w:hAnsi="仿宋_GB2312" w:cs="仿宋_GB2312" w:eastAsia="仿宋_GB2312"/>
                      <w:sz w:val="21"/>
                    </w:rPr>
                    <w:t>，</w:t>
                  </w:r>
                  <w:r>
                    <w:rPr>
                      <w:rFonts w:ascii="仿宋_GB2312" w:hAnsi="仿宋_GB2312" w:cs="仿宋_GB2312" w:eastAsia="仿宋_GB2312"/>
                      <w:sz w:val="21"/>
                    </w:rPr>
                    <w:t>满足设计需求</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阻燃木工板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15mm厚，节能环保产品，符合本项目工程量清单、施工图纸相关要求，符合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复合木地板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15mm厚环保复合木地板，节能环保产品，符合本项目工程量清单、施工图纸相关要求，符合国家相关标准、规范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石膏板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9/12mm厚节能环保产品，符合本项目工程量清单、施工图纸相关要求，符合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轻钢龙骨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节能环保产品，符合本项目工程量清单、施工图纸相关要求，</w:t>
                  </w:r>
                  <w:r>
                    <w:rPr>
                      <w:rFonts w:ascii="仿宋_GB2312" w:hAnsi="仿宋_GB2312" w:cs="仿宋_GB2312" w:eastAsia="仿宋_GB2312"/>
                      <w:sz w:val="21"/>
                    </w:rPr>
                    <w:t>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钢化白浮法玻璃，</w:t>
                  </w:r>
                  <w:r>
                    <w:rPr>
                      <w:rFonts w:ascii="仿宋_GB2312" w:hAnsi="仿宋_GB2312" w:cs="仿宋_GB2312" w:eastAsia="仿宋_GB2312"/>
                      <w:sz w:val="21"/>
                    </w:rPr>
                    <w:t>符合本项目工程量清单、施工图纸相关要求，</w:t>
                  </w:r>
                  <w:r>
                    <w:rPr>
                      <w:rFonts w:ascii="仿宋_GB2312" w:hAnsi="仿宋_GB2312" w:cs="仿宋_GB2312" w:eastAsia="仿宋_GB2312"/>
                      <w:sz w:val="21"/>
                    </w:rPr>
                    <w:t>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铝扣板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1.2mm厚，节能环保产品，符合本项目工程量清单、施工图纸相关要求，符合国家相关标准、规范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防盗门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钢制乙级保温防盗门，门的传热系数</w:t>
                  </w:r>
                  <w:r>
                    <w:rPr>
                      <w:rFonts w:ascii="仿宋_GB2312" w:hAnsi="仿宋_GB2312" w:cs="仿宋_GB2312" w:eastAsia="仿宋_GB2312"/>
                      <w:sz w:val="21"/>
                    </w:rPr>
                    <w:t>K=2.1W/(m2.K)。门扇厚度不低于70，门扇钢板厚度不低于0.8mm，门框钢板厚度不低于1.5mm，C级锁芯，明装双活不锈钢把手。详见施工图纸，节能环保产品，符合本项目工程量清单、施工图纸相关要求，符合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1.单位产品总挥发性有机物（TVOC）含量≤80g/kg</w:t>
                  </w:r>
                </w:p>
                <w:p>
                  <w:pPr>
                    <w:pStyle w:val="null3"/>
                    <w:jc w:val="left"/>
                  </w:pPr>
                  <w:r>
                    <w:rPr>
                      <w:rFonts w:ascii="仿宋_GB2312" w:hAnsi="仿宋_GB2312" w:cs="仿宋_GB2312" w:eastAsia="仿宋_GB2312"/>
                      <w:sz w:val="21"/>
                    </w:rPr>
                    <w:t>2.烷烃增塑剂（红外光谱）不得检出</w:t>
                  </w:r>
                </w:p>
                <w:p>
                  <w:pPr>
                    <w:pStyle w:val="null3"/>
                    <w:jc w:val="left"/>
                  </w:pPr>
                  <w:r>
                    <w:rPr>
                      <w:rFonts w:ascii="仿宋_GB2312" w:hAnsi="仿宋_GB2312" w:cs="仿宋_GB2312" w:eastAsia="仿宋_GB2312"/>
                      <w:sz w:val="21"/>
                    </w:rPr>
                    <w:t>3. 密封胶分级达到 20HM、25HM、20LM</w:t>
                  </w:r>
                </w:p>
                <w:p>
                  <w:pPr>
                    <w:pStyle w:val="null3"/>
                    <w:jc w:val="left"/>
                  </w:pPr>
                  <w:r>
                    <w:rPr>
                      <w:rFonts w:ascii="仿宋_GB2312" w:hAnsi="仿宋_GB2312" w:cs="仿宋_GB2312" w:eastAsia="仿宋_GB2312"/>
                      <w:sz w:val="21"/>
                    </w:rPr>
                    <w:t>4.符合《胶粘剂中有害物质限量》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rPr>
                    <w:t>18583-2008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结构胶</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1.单位产品总挥发性有机物（TVOC）含量≤80g/kg</w:t>
                  </w:r>
                </w:p>
                <w:p>
                  <w:pPr>
                    <w:pStyle w:val="null3"/>
                    <w:jc w:val="left"/>
                  </w:pPr>
                  <w:r>
                    <w:rPr>
                      <w:rFonts w:ascii="仿宋_GB2312" w:hAnsi="仿宋_GB2312" w:cs="仿宋_GB2312" w:eastAsia="仿宋_GB2312"/>
                      <w:sz w:val="21"/>
                    </w:rPr>
                    <w:t>2.烷烃增塑剂（红外光谱）不得检出</w:t>
                  </w:r>
                </w:p>
                <w:p>
                  <w:pPr>
                    <w:pStyle w:val="null3"/>
                    <w:jc w:val="left"/>
                  </w:pPr>
                  <w:r>
                    <w:rPr>
                      <w:rFonts w:ascii="仿宋_GB2312" w:hAnsi="仿宋_GB2312" w:cs="仿宋_GB2312" w:eastAsia="仿宋_GB2312"/>
                      <w:sz w:val="21"/>
                    </w:rPr>
                    <w:t>3.23℃拉伸粘结强度标准值≥0.6MPa</w:t>
                  </w:r>
                </w:p>
                <w:p>
                  <w:pPr>
                    <w:pStyle w:val="null3"/>
                    <w:jc w:val="left"/>
                  </w:pPr>
                  <w:r>
                    <w:rPr>
                      <w:rFonts w:ascii="仿宋_GB2312" w:hAnsi="仿宋_GB2312" w:cs="仿宋_GB2312" w:eastAsia="仿宋_GB2312"/>
                      <w:sz w:val="21"/>
                    </w:rPr>
                    <w:t>4.粘结破坏面积≤5%</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rPr>
                    <w:t xml:space="preserve"> </w:t>
                  </w:r>
                  <w:r>
                    <w:rPr>
                      <w:rFonts w:ascii="仿宋_GB2312" w:hAnsi="仿宋_GB2312" w:cs="仿宋_GB2312" w:eastAsia="仿宋_GB2312"/>
                      <w:sz w:val="21"/>
                    </w:rPr>
                    <w:t>18583-2008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抗倍特板隔断</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防水防潮，</w:t>
                  </w:r>
                  <w:r>
                    <w:rPr>
                      <w:rFonts w:ascii="仿宋_GB2312" w:hAnsi="仿宋_GB2312" w:cs="仿宋_GB2312" w:eastAsia="仿宋_GB2312"/>
                      <w:sz w:val="21"/>
                    </w:rPr>
                    <w:t>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防水涂料</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水泥基渗透结晶型防水涂料</w:t>
                  </w:r>
                  <w:r>
                    <w:rPr>
                      <w:rFonts w:ascii="仿宋_GB2312" w:hAnsi="仿宋_GB2312" w:cs="仿宋_GB2312" w:eastAsia="仿宋_GB2312"/>
                      <w:sz w:val="21"/>
                    </w:rPr>
                    <w:t>、</w:t>
                  </w:r>
                  <w:r>
                    <w:rPr>
                      <w:rFonts w:ascii="仿宋_GB2312" w:hAnsi="仿宋_GB2312" w:cs="仿宋_GB2312" w:eastAsia="仿宋_GB2312"/>
                      <w:sz w:val="21"/>
                    </w:rPr>
                    <w:t>聚合物水泥防水涂料</w:t>
                  </w:r>
                  <w:r>
                    <w:rPr>
                      <w:rFonts w:ascii="仿宋_GB2312" w:hAnsi="仿宋_GB2312" w:cs="仿宋_GB2312" w:eastAsia="仿宋_GB2312"/>
                      <w:sz w:val="21"/>
                    </w:rPr>
                    <w:t>、</w:t>
                  </w:r>
                  <w:r>
                    <w:rPr>
                      <w:rFonts w:ascii="仿宋_GB2312" w:hAnsi="仿宋_GB2312" w:cs="仿宋_GB2312" w:eastAsia="仿宋_GB2312"/>
                      <w:sz w:val="21"/>
                    </w:rPr>
                    <w:t>聚氨酯防水涂料</w:t>
                  </w:r>
                  <w:r>
                    <w:rPr>
                      <w:rFonts w:ascii="仿宋_GB2312" w:hAnsi="仿宋_GB2312" w:cs="仿宋_GB2312" w:eastAsia="仿宋_GB2312"/>
                      <w:sz w:val="21"/>
                    </w:rPr>
                    <w:t>,</w:t>
                  </w:r>
                  <w:r>
                    <w:rPr>
                      <w:rFonts w:ascii="仿宋_GB2312" w:hAnsi="仿宋_GB2312" w:cs="仿宋_GB2312" w:eastAsia="仿宋_GB2312"/>
                      <w:sz w:val="21"/>
                    </w:rPr>
                    <w:t>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电气</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1.符合本项目工程量清单、施工图纸相关要求和国家相关标准、规范；</w:t>
                  </w:r>
                </w:p>
                <w:p>
                  <w:pPr>
                    <w:pStyle w:val="null3"/>
                    <w:jc w:val="left"/>
                  </w:pPr>
                  <w:r>
                    <w:rPr>
                      <w:rFonts w:ascii="仿宋_GB2312" w:hAnsi="仿宋_GB2312" w:cs="仿宋_GB2312" w:eastAsia="仿宋_GB2312"/>
                      <w:sz w:val="21"/>
                      <w:color w:val="000000"/>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1"/>
                      <w:color w:val="000000"/>
                    </w:rPr>
                    <w:t>3.箱内布线要分色；一次线、铜排、辅料均采用合格产品。</w:t>
                  </w:r>
                </w:p>
                <w:p>
                  <w:pPr>
                    <w:pStyle w:val="null3"/>
                    <w:jc w:val="left"/>
                  </w:pPr>
                  <w:r>
                    <w:rPr>
                      <w:rFonts w:ascii="仿宋_GB2312" w:hAnsi="仿宋_GB2312" w:cs="仿宋_GB2312" w:eastAsia="仿宋_GB2312"/>
                      <w:sz w:val="21"/>
                      <w:color w:val="000000"/>
                    </w:rPr>
                    <w:t>4.施工图纸中箱体规格尺寸仅供参考，报价不再因箱体尺寸变化而变化</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采用低烟低毒阻燃型线缆、矿物绝缘类不燃性电缆等，且导体材料采用铜芯</w:t>
                  </w:r>
                  <w:r>
                    <w:rPr>
                      <w:rFonts w:ascii="仿宋_GB2312" w:hAnsi="仿宋_GB2312" w:cs="仿宋_GB2312" w:eastAsia="仿宋_GB2312"/>
                      <w:sz w:val="21"/>
                      <w:color w:val="000000"/>
                    </w:rPr>
                    <w:t>,中国机械工业百强工厂产品，</w:t>
                  </w:r>
                  <w:r>
                    <w:rPr>
                      <w:rFonts w:ascii="仿宋_GB2312" w:hAnsi="仿宋_GB2312" w:cs="仿宋_GB2312" w:eastAsia="仿宋_GB2312"/>
                      <w:sz w:val="21"/>
                    </w:rPr>
                    <w:t>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r>
                    <w:rPr>
                      <w:rFonts w:ascii="仿宋_GB2312" w:hAnsi="仿宋_GB2312" w:cs="仿宋_GB2312" w:eastAsia="仿宋_GB2312"/>
                      <w:sz w:val="21"/>
                    </w:rPr>
                    <w:t>/插座</w:t>
                  </w:r>
                  <w:r>
                    <w:rPr>
                      <w:rFonts w:ascii="仿宋_GB2312" w:hAnsi="仿宋_GB2312" w:cs="仿宋_GB2312" w:eastAsia="仿宋_GB2312"/>
                      <w:sz w:val="21"/>
                    </w:rPr>
                    <w:t>面板</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220V，64A/32A/16A/10A等，</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空气开关</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16/32A等，带漏电保护。节能环保产品，符合本项目工程量清单、施工图纸相关要求，符合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照明灯具</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参数详见设计图纸、工程量清单，符合本项目工程量清单、施工图纸相关要求，符合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给排水</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w:t>
                  </w:r>
                  <w:r>
                    <w:rPr>
                      <w:rFonts w:ascii="仿宋_GB2312" w:hAnsi="仿宋_GB2312" w:cs="仿宋_GB2312" w:eastAsia="仿宋_GB2312"/>
                      <w:sz w:val="21"/>
                    </w:rPr>
                    <w:t>水管</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1.铅限量≤100mg/kg（适用于聚氯乙烯（PVC）类塑料管材管件）；</w:t>
                  </w:r>
                </w:p>
                <w:p>
                  <w:pPr>
                    <w:pStyle w:val="null3"/>
                    <w:jc w:val="left"/>
                  </w:pPr>
                  <w:r>
                    <w:rPr>
                      <w:rFonts w:ascii="仿宋_GB2312" w:hAnsi="仿宋_GB2312" w:cs="仿宋_GB2312" w:eastAsia="仿宋_GB2312"/>
                      <w:sz w:val="21"/>
                    </w:rPr>
                    <w:t>2.密度＜1450kg/m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3.内排水管道系统噪声＜48dB（适用于聚氯乙烯（PVC）类塑料管材管件）。</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洁具</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全部洁具的用水效率等级达到</w:t>
                  </w:r>
                  <w:r>
                    <w:rPr>
                      <w:rFonts w:ascii="仿宋_GB2312" w:hAnsi="仿宋_GB2312" w:cs="仿宋_GB2312" w:eastAsia="仿宋_GB2312"/>
                      <w:sz w:val="21"/>
                    </w:rPr>
                    <w:t>2 级（依据 GB 28377、GB 28379、GB 30717、GB/T 50378）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洗手盆</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成品台盆含柜体，</w:t>
                  </w:r>
                  <w:r>
                    <w:rPr>
                      <w:rFonts w:ascii="仿宋_GB2312" w:hAnsi="仿宋_GB2312" w:cs="仿宋_GB2312" w:eastAsia="仿宋_GB2312"/>
                      <w:sz w:val="21"/>
                    </w:rPr>
                    <w:t>含柜体、下水线、五金件、把手等</w:t>
                  </w:r>
                  <w:r>
                    <w:rPr>
                      <w:rFonts w:ascii="仿宋_GB2312" w:hAnsi="仿宋_GB2312" w:cs="仿宋_GB2312" w:eastAsia="仿宋_GB2312"/>
                      <w:sz w:val="21"/>
                    </w:rPr>
                    <w:t>；</w:t>
                  </w:r>
                  <w:r>
                    <w:rPr>
                      <w:rFonts w:ascii="仿宋_GB2312" w:hAnsi="仿宋_GB2312" w:cs="仿宋_GB2312" w:eastAsia="仿宋_GB2312"/>
                      <w:sz w:val="21"/>
                    </w:rPr>
                    <w:t>板材为</w:t>
                  </w:r>
                  <w:r>
                    <w:rPr>
                      <w:rFonts w:ascii="仿宋_GB2312" w:hAnsi="仿宋_GB2312" w:cs="仿宋_GB2312" w:eastAsia="仿宋_GB2312"/>
                      <w:sz w:val="21"/>
                    </w:rPr>
                    <w:t>E1级多层实木板；陶瓷</w:t>
                  </w:r>
                  <w:r>
                    <w:rPr>
                      <w:rFonts w:ascii="仿宋_GB2312" w:hAnsi="仿宋_GB2312" w:cs="仿宋_GB2312" w:eastAsia="仿宋_GB2312"/>
                      <w:sz w:val="21"/>
                    </w:rPr>
                    <w:t>耐污染性</w:t>
                  </w:r>
                  <w:r>
                    <w:rPr>
                      <w:rFonts w:ascii="仿宋_GB2312" w:hAnsi="仿宋_GB2312" w:cs="仿宋_GB2312" w:eastAsia="仿宋_GB2312"/>
                      <w:sz w:val="21"/>
                    </w:rPr>
                    <w:t>≥3 级</w:t>
                  </w:r>
                  <w:r>
                    <w:rPr>
                      <w:rFonts w:ascii="仿宋_GB2312" w:hAnsi="仿宋_GB2312" w:cs="仿宋_GB2312" w:eastAsia="仿宋_GB2312"/>
                      <w:sz w:val="21"/>
                    </w:rPr>
                    <w:t>；</w:t>
                  </w:r>
                  <w:r>
                    <w:rPr>
                      <w:rFonts w:ascii="仿宋_GB2312" w:hAnsi="仿宋_GB2312" w:cs="仿宋_GB2312" w:eastAsia="仿宋_GB2312"/>
                      <w:sz w:val="21"/>
                    </w:rPr>
                    <w:t>不锈钢下水线</w:t>
                  </w:r>
                  <w:r>
                    <w:rPr>
                      <w:rFonts w:ascii="仿宋_GB2312" w:hAnsi="仿宋_GB2312" w:cs="仿宋_GB2312" w:eastAsia="仿宋_GB2312"/>
                      <w:sz w:val="21"/>
                    </w:rPr>
                    <w:t>。</w:t>
                  </w:r>
                  <w:r>
                    <w:rPr>
                      <w:rFonts w:ascii="仿宋_GB2312" w:hAnsi="仿宋_GB2312" w:cs="仿宋_GB2312" w:eastAsia="仿宋_GB2312"/>
                      <w:sz w:val="21"/>
                    </w:rPr>
                    <w:t>节能环保产品，符合本项目工程量清单、施工图纸相关要求，符合</w:t>
                  </w:r>
                  <w:r>
                    <w:rPr>
                      <w:rFonts w:ascii="仿宋_GB2312" w:hAnsi="仿宋_GB2312" w:cs="仿宋_GB2312" w:eastAsia="仿宋_GB2312"/>
                      <w:sz w:val="21"/>
                    </w:rPr>
                    <w:t>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水咀</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不锈钢拉丝水咀，</w:t>
                  </w:r>
                  <w:r>
                    <w:rPr>
                      <w:rFonts w:ascii="仿宋_GB2312" w:hAnsi="仿宋_GB2312" w:cs="仿宋_GB2312" w:eastAsia="仿宋_GB2312"/>
                      <w:sz w:val="21"/>
                    </w:rPr>
                    <w:t>产品金属污染物析出统计值：</w:t>
                  </w:r>
                </w:p>
                <w:p>
                  <w:pPr>
                    <w:pStyle w:val="null3"/>
                    <w:jc w:val="left"/>
                  </w:pPr>
                  <w:r>
                    <w:rPr>
                      <w:rFonts w:ascii="仿宋_GB2312" w:hAnsi="仿宋_GB2312" w:cs="仿宋_GB2312" w:eastAsia="仿宋_GB2312"/>
                      <w:sz w:val="21"/>
                    </w:rPr>
                    <w:t>Pb≤4μg/L</w:t>
                  </w:r>
                </w:p>
                <w:p>
                  <w:pPr>
                    <w:pStyle w:val="null3"/>
                    <w:jc w:val="left"/>
                  </w:pPr>
                  <w:r>
                    <w:rPr>
                      <w:rFonts w:ascii="仿宋_GB2312" w:hAnsi="仿宋_GB2312" w:cs="仿宋_GB2312" w:eastAsia="仿宋_GB2312"/>
                      <w:sz w:val="21"/>
                    </w:rPr>
                    <w:t>Cu≤100μg/L</w:t>
                  </w:r>
                </w:p>
                <w:p>
                  <w:pPr>
                    <w:pStyle w:val="null3"/>
                    <w:jc w:val="left"/>
                  </w:pPr>
                  <w:r>
                    <w:rPr>
                      <w:rFonts w:ascii="仿宋_GB2312" w:hAnsi="仿宋_GB2312" w:cs="仿宋_GB2312" w:eastAsia="仿宋_GB2312"/>
                      <w:sz w:val="21"/>
                    </w:rPr>
                    <w:t>Cr≤7μg/L</w:t>
                  </w:r>
                </w:p>
                <w:p>
                  <w:pPr>
                    <w:pStyle w:val="null3"/>
                    <w:jc w:val="left"/>
                  </w:pPr>
                  <w:r>
                    <w:rPr>
                      <w:rFonts w:ascii="仿宋_GB2312" w:hAnsi="仿宋_GB2312" w:cs="仿宋_GB2312" w:eastAsia="仿宋_GB2312"/>
                      <w:sz w:val="21"/>
                    </w:rPr>
                    <w:t>Cd≤0.4μg/L</w:t>
                  </w:r>
                </w:p>
                <w:p>
                  <w:pPr>
                    <w:pStyle w:val="null3"/>
                    <w:jc w:val="left"/>
                  </w:pPr>
                  <w:r>
                    <w:rPr>
                      <w:rFonts w:ascii="仿宋_GB2312" w:hAnsi="仿宋_GB2312" w:cs="仿宋_GB2312" w:eastAsia="仿宋_GB2312"/>
                      <w:sz w:val="21"/>
                    </w:rPr>
                    <w:t>As≤0.7μg/L</w:t>
                  </w:r>
                </w:p>
                <w:p>
                  <w:pPr>
                    <w:pStyle w:val="null3"/>
                    <w:jc w:val="left"/>
                  </w:pPr>
                  <w:r>
                    <w:rPr>
                      <w:rFonts w:ascii="仿宋_GB2312" w:hAnsi="仿宋_GB2312" w:cs="仿宋_GB2312" w:eastAsia="仿宋_GB2312"/>
                      <w:sz w:val="21"/>
                    </w:rPr>
                    <w:t>Cr6+≤1.5μg/L</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大便器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液压</w:t>
                  </w:r>
                  <w:r>
                    <w:rPr>
                      <w:rFonts w:ascii="仿宋_GB2312" w:hAnsi="仿宋_GB2312" w:cs="仿宋_GB2312" w:eastAsia="仿宋_GB2312"/>
                      <w:sz w:val="21"/>
                    </w:rPr>
                    <w:t>不锈钢</w:t>
                  </w:r>
                  <w:r>
                    <w:rPr>
                      <w:rFonts w:ascii="仿宋_GB2312" w:hAnsi="仿宋_GB2312" w:cs="仿宋_GB2312" w:eastAsia="仿宋_GB2312"/>
                      <w:sz w:val="21"/>
                    </w:rPr>
                    <w:t>脚踏冲洗阀</w:t>
                  </w:r>
                  <w:r>
                    <w:rPr>
                      <w:rFonts w:ascii="仿宋_GB2312" w:hAnsi="仿宋_GB2312" w:cs="仿宋_GB2312" w:eastAsia="仿宋_GB2312"/>
                      <w:sz w:val="21"/>
                    </w:rPr>
                    <w:t>/感应阀前排水单排</w:t>
                  </w:r>
                  <w:r>
                    <w:rPr>
                      <w:rFonts w:ascii="仿宋_GB2312" w:hAnsi="仿宋_GB2312" w:cs="仿宋_GB2312" w:eastAsia="仿宋_GB2312"/>
                      <w:sz w:val="21"/>
                    </w:rPr>
                    <w:t>蹲式大便器</w:t>
                  </w:r>
                  <w:r>
                    <w:rPr>
                      <w:rFonts w:ascii="仿宋_GB2312" w:hAnsi="仿宋_GB2312" w:cs="仿宋_GB2312" w:eastAsia="仿宋_GB2312"/>
                      <w:sz w:val="21"/>
                    </w:rPr>
                    <w:t>带存水弯</w:t>
                  </w:r>
                  <w:r>
                    <w:rPr>
                      <w:rFonts w:ascii="仿宋_GB2312" w:hAnsi="仿宋_GB2312" w:cs="仿宋_GB2312" w:eastAsia="仿宋_GB2312"/>
                      <w:sz w:val="21"/>
                    </w:rPr>
                    <w:t>，</w:t>
                  </w:r>
                  <w:r>
                    <w:rPr>
                      <w:rFonts w:ascii="仿宋_GB2312" w:hAnsi="仿宋_GB2312" w:cs="仿宋_GB2312" w:eastAsia="仿宋_GB2312"/>
                      <w:sz w:val="21"/>
                    </w:rPr>
                    <w:t>符合国家相关标准、规范。</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小便器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上进地排分体式悬挂小便器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7"/>
                  <w:vMerge/>
                  <w:tcBorders>
                    <w:top w:val="none" w:color="000000" w:sz="4"/>
                    <w:left w:val="single" w:color="000000" w:sz="4"/>
                    <w:bottom w:val="single" w:color="000000" w:sz="4"/>
                    <w:right w:val="single" w:color="000000" w:sz="4"/>
                  </w:tcBorders>
                </w:tcP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w:t>
                  </w:r>
                </w:p>
              </w:tc>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参数详见设计图纸、工程量清单，符合本项目工程量清单、施工图纸相关要求，符合</w:t>
                  </w:r>
                  <w:r>
                    <w:rPr>
                      <w:rFonts w:ascii="仿宋_GB2312" w:hAnsi="仿宋_GB2312" w:cs="仿宋_GB2312" w:eastAsia="仿宋_GB2312"/>
                      <w:sz w:val="21"/>
                    </w:rPr>
                    <w:t>国家相关标准、规范</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需执行的国家相关标准、行业标准、地方标准或者其他标准、规范：招标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投标人根据提供的施工图纸认真核对，并确认无误;投标人中标后，若出现招标文件中工程量清单描述与图纸不符等问题时，此部分工程量清单项的综合单价不予调整。 投标人投标前，应仔细勘察现场，应充分了解工程建设现状与本工程发包内容相关的实际情况，应充分考虑实际情况对投标报价的影响，任何因忽视或误解现状情况而导致的索赔、价款调整或工期延长申请将不被批准。投标人应充分考虑工程建设现状与本工程计价有关的任何因素均应考虑在投标报价中。 2.采购标的的验收标准：按照技术参数要求和国家标准规范进行验收。建筑工程施工质量验收统一标准（GB50300-2013）。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标（成交）结果发布后，中标供应商在2个工作日内向采购代理机构提供一正一副（和上传文件保持一致的）纸质投标（响应）文件用于备案及档案保存。提交投标文件地点：西安市雁塔区唐延路35号旺座现代城C座2502室；联系电话：029-88319689转8004；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提供经会计师事务所审计的2024年或2025年度财务审计报告，或在开标日期前六个月内其基本开户银行出具的资信证明及基本账户开户许可证。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具有依法缴纳税收的良好记录，提供2025年05月至今已缴纳的至少一个月的纳税证明或完税证明（至少包含增值税或企业所得税）；依法免税的单位应提供相关证明材料；（以税款所属日期为准）</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具有良好的商业信誉和健全的财务会计制度，提供2024年或2025年度经审计的财务报告或开标前六个月内其基本账户银行出具的资信证明（附开户许可证或基本账户证明）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供应商具备建筑工程施工总承包叁级及以上资质或建筑装饰装修工程专业承包贰级及以上资质，并提供有效的安全生产许可证</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拟派项目经理具有建筑工程专业二级及以上注册建造师资格及有效的安全生产考核合格证书（B证），且无其他在建项目及不良行为记录（提供承诺函）</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陕西省建筑市场监管与诚信信息一体化平台备案</w:t>
            </w:r>
          </w:p>
        </w:tc>
        <w:tc>
          <w:tcPr>
            <w:tcW w:type="dxa" w:w="3322"/>
          </w:tcPr>
          <w:p>
            <w:pPr>
              <w:pStyle w:val="null3"/>
            </w:pPr>
            <w:r>
              <w:rPr>
                <w:rFonts w:ascii="仿宋_GB2312" w:hAnsi="仿宋_GB2312" w:cs="仿宋_GB2312" w:eastAsia="仿宋_GB2312"/>
              </w:rPr>
              <w:t>外省企业须在“陕西省建筑市场监管与诚信信息一体化平台”备案</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本项目专门面向中小企业采购，供应商应提供中小企业声明函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供应商资质要求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营业执照、资质证书</w:t>
            </w:r>
          </w:p>
        </w:tc>
        <w:tc>
          <w:tcPr>
            <w:tcW w:type="dxa" w:w="3322"/>
          </w:tcPr>
          <w:p>
            <w:pPr>
              <w:pStyle w:val="null3"/>
            </w:pPr>
            <w:r>
              <w:rPr>
                <w:rFonts w:ascii="仿宋_GB2312" w:hAnsi="仿宋_GB2312" w:cs="仿宋_GB2312" w:eastAsia="仿宋_GB2312"/>
              </w:rPr>
              <w:t>供应商名称是否与营业执照、资质证书一致</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已标价工程量清单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响应文件签字、盖章是否满足竞争性磋商文件要求；已标价工程量清单扉页(仅指投标总价扉页)需加盖有注册或登记在本单位的造价人员签字并盖执业印章</w:t>
            </w:r>
          </w:p>
        </w:tc>
        <w:tc>
          <w:tcPr>
            <w:tcW w:type="dxa" w:w="1661"/>
          </w:tcPr>
          <w:p>
            <w:pPr>
              <w:pStyle w:val="null3"/>
            </w:pPr>
            <w:r>
              <w:rPr>
                <w:rFonts w:ascii="仿宋_GB2312" w:hAnsi="仿宋_GB2312" w:cs="仿宋_GB2312" w:eastAsia="仿宋_GB2312"/>
              </w:rPr>
              <w:t>确保安全生产、文明施工的技术组织措施及环境保护措施 拟派项目经理业绩 已标价工程量清单 项目人员组成 磋商保证金 对项目整体理解及施工方案 中小企业声明函 工程进度计划与保证措施 拟派项目经理及项目组成员在项目结束前不可更换的承诺书 供应商认为有必要说明的其他问题 商务和技术响应偏离表 节能环保、环境标志产品明细表 强制优先采购产品承诺函 磋商一览表 业绩一览表 响应文件封面 质量管理体系与保证措施 服务承诺 残疾人福利性单位声明函 供应商资质要求 主要材料品牌、价格表 响应函 陕西省政府采购供货商拒绝政府采购领域商业贿赂承诺书Ⅰ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缴纳保证金</w:t>
            </w:r>
          </w:p>
        </w:tc>
        <w:tc>
          <w:tcPr>
            <w:tcW w:type="dxa" w:w="3322"/>
          </w:tcPr>
          <w:p>
            <w:pPr>
              <w:pStyle w:val="null3"/>
            </w:pPr>
            <w:r>
              <w:rPr>
                <w:rFonts w:ascii="仿宋_GB2312" w:hAnsi="仿宋_GB2312" w:cs="仿宋_GB2312" w:eastAsia="仿宋_GB2312"/>
              </w:rPr>
              <w:t>是否按照磋商文件要求缴纳保证金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拟派项目经理及项目组成员在项目结束前不可更换的承诺书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项目经理社保缴纳证明</w:t>
            </w:r>
          </w:p>
        </w:tc>
        <w:tc>
          <w:tcPr>
            <w:tcW w:type="dxa" w:w="3322"/>
          </w:tcPr>
          <w:p>
            <w:pPr>
              <w:pStyle w:val="null3"/>
            </w:pPr>
            <w:r>
              <w:rPr>
                <w:rFonts w:ascii="仿宋_GB2312" w:hAnsi="仿宋_GB2312" w:cs="仿宋_GB2312" w:eastAsia="仿宋_GB2312"/>
              </w:rPr>
              <w:t>提供拟派项目经理在本单位近6个月社保缴纳证明</w:t>
            </w:r>
          </w:p>
        </w:tc>
        <w:tc>
          <w:tcPr>
            <w:tcW w:type="dxa" w:w="1661"/>
          </w:tcPr>
          <w:p>
            <w:pPr>
              <w:pStyle w:val="null3"/>
            </w:pPr>
            <w:r>
              <w:rPr>
                <w:rFonts w:ascii="仿宋_GB2312" w:hAnsi="仿宋_GB2312" w:cs="仿宋_GB2312" w:eastAsia="仿宋_GB2312"/>
              </w:rPr>
              <w:t>供应商资质要求</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陕西省政府采购供货商拒绝政府采购领域商业贿赂承诺书Ⅰ</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 内容完备、科学、合理、针对性强得1.5分； 内容较为完备，针对性较强的得1分； 内容较为简略、基本可行得0.5分； 内容缺失严重、不合理和未提供的均不计分。 2、对易发生质量通病、易出现安全问题、施工难度大、技术含量高的分项工程等进行说明并给出施工保障措施和专项技术方案（含主要施工工法、组织措施、检验手段等）进行评审。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内容较为简略、基本可行得0.7分； 内容缺失严重、不合理和未提供的均不计分。 3、影响本项目的外在因素和可能出现的问题进行分析，并制定相关应急预案或保证措施进行评审。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内容较为简略、基本可行得0.7分； 内容缺失严重、不合理和未提供的均不计分。 2、分部分项工程质量保证措施；成品保护和工程保修管理措施进行评审。 内容完备、科学、合理、针对性强得2分； 内容较为完备，针对性较强的得1.4分； 内容较为简略、基本可行得0.7分；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2、安全文明、环保施工保证体系和控制点设置合理，满足国家、省市相关法规规定及采购文件要求进行评审。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提供项目经理自2023年5月1日至今的类似业绩证明材料，每提供1项得1分，最多得3分。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w:t>
            </w:r>
          </w:p>
        </w:tc>
      </w:tr>
      <w:tr>
        <w:tc>
          <w:tcPr>
            <w:tcW w:type="dxa" w:w="831"/>
            <w:vMerge/>
          </w:tcPr>
          <w:p/>
        </w:tc>
        <w:tc>
          <w:tcPr>
            <w:tcW w:type="dxa" w:w="1661"/>
          </w:tcPr>
          <w:p>
            <w:pPr>
              <w:pStyle w:val="null3"/>
            </w:pPr>
            <w:r>
              <w:rPr>
                <w:rFonts w:ascii="仿宋_GB2312" w:hAnsi="仿宋_GB2312" w:cs="仿宋_GB2312" w:eastAsia="仿宋_GB2312"/>
              </w:rPr>
              <w:t>主要材料技术参数</w:t>
            </w:r>
          </w:p>
        </w:tc>
        <w:tc>
          <w:tcPr>
            <w:tcW w:type="dxa" w:w="2492"/>
          </w:tcPr>
          <w:p>
            <w:pPr>
              <w:pStyle w:val="null3"/>
            </w:pPr>
            <w:r>
              <w:rPr>
                <w:rFonts w:ascii="仿宋_GB2312" w:hAnsi="仿宋_GB2312" w:cs="仿宋_GB2312" w:eastAsia="仿宋_GB2312"/>
              </w:rPr>
              <w:t>1.供应商针对本项目提供的主要材料品牌、价格表填写完整，无缺漏项计4分。 2.根据供应商针对本项目拟投入主要材料品牌、价格表的产品选型情况、品质进行评审：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主要材料品牌、价格表</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详见附件：对项目整体理解及施工方案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详见附件：工程进度计划与保证措施</w:t>
      </w:r>
    </w:p>
    <w:p>
      <w:pPr>
        <w:pStyle w:val="null3"/>
        <w:ind w:firstLine="960"/>
      </w:pPr>
      <w:r>
        <w:rPr>
          <w:rFonts w:ascii="仿宋_GB2312" w:hAnsi="仿宋_GB2312" w:cs="仿宋_GB2312" w:eastAsia="仿宋_GB2312"/>
        </w:rPr>
        <w:t>详见附件：供应商资质要求</w:t>
      </w:r>
    </w:p>
    <w:p>
      <w:pPr>
        <w:pStyle w:val="null3"/>
        <w:ind w:firstLine="960"/>
      </w:pPr>
      <w:r>
        <w:rPr>
          <w:rFonts w:ascii="仿宋_GB2312" w:hAnsi="仿宋_GB2312" w:cs="仿宋_GB2312" w:eastAsia="仿宋_GB2312"/>
        </w:rPr>
        <w:t>详见附件：节能环保、环境标志产品明细表</w:t>
      </w:r>
    </w:p>
    <w:p>
      <w:pPr>
        <w:pStyle w:val="null3"/>
        <w:ind w:firstLine="960"/>
      </w:pPr>
      <w:r>
        <w:rPr>
          <w:rFonts w:ascii="仿宋_GB2312" w:hAnsi="仿宋_GB2312" w:cs="仿宋_GB2312" w:eastAsia="仿宋_GB2312"/>
        </w:rPr>
        <w:t>详见附件：拟派项目经理及项目组成员在项目结束前不可更换的承诺书</w:t>
      </w:r>
    </w:p>
    <w:p>
      <w:pPr>
        <w:pStyle w:val="null3"/>
        <w:ind w:firstLine="960"/>
      </w:pPr>
      <w:r>
        <w:rPr>
          <w:rFonts w:ascii="仿宋_GB2312" w:hAnsi="仿宋_GB2312" w:cs="仿宋_GB2312" w:eastAsia="仿宋_GB2312"/>
        </w:rPr>
        <w:t>详见附件：确保安全生产、文明施工的技术组织措施及环境保护措施</w:t>
      </w:r>
    </w:p>
    <w:p>
      <w:pPr>
        <w:pStyle w:val="null3"/>
        <w:ind w:firstLine="960"/>
      </w:pPr>
      <w:r>
        <w:rPr>
          <w:rFonts w:ascii="仿宋_GB2312" w:hAnsi="仿宋_GB2312" w:cs="仿宋_GB2312" w:eastAsia="仿宋_GB2312"/>
        </w:rPr>
        <w:t>详见附件：陕西省政府采购供货商拒绝政府采购领域商业贿赂承诺书Ⅰ</w:t>
      </w:r>
    </w:p>
    <w:p>
      <w:pPr>
        <w:pStyle w:val="null3"/>
        <w:ind w:firstLine="960"/>
      </w:pPr>
      <w:r>
        <w:rPr>
          <w:rFonts w:ascii="仿宋_GB2312" w:hAnsi="仿宋_GB2312" w:cs="仿宋_GB2312" w:eastAsia="仿宋_GB2312"/>
        </w:rPr>
        <w:t>详见附件：商务和技术响应偏离表</w:t>
      </w:r>
    </w:p>
    <w:p>
      <w:pPr>
        <w:pStyle w:val="null3"/>
        <w:ind w:firstLine="960"/>
      </w:pPr>
      <w:r>
        <w:rPr>
          <w:rFonts w:ascii="仿宋_GB2312" w:hAnsi="仿宋_GB2312" w:cs="仿宋_GB2312" w:eastAsia="仿宋_GB2312"/>
        </w:rPr>
        <w:t>详见附件：项目人员组成</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详见附件：质量管理体系与保证措施</w:t>
      </w:r>
    </w:p>
    <w:p>
      <w:pPr>
        <w:pStyle w:val="null3"/>
        <w:ind w:firstLine="960"/>
      </w:pPr>
      <w:r>
        <w:rPr>
          <w:rFonts w:ascii="仿宋_GB2312" w:hAnsi="仿宋_GB2312" w:cs="仿宋_GB2312" w:eastAsia="仿宋_GB2312"/>
        </w:rPr>
        <w:t>详见附件：主要材料品牌、价格表</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详见附件：拟派项目经理业绩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