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版本号：ZXF20260701-ZFCG20260727001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中央专项彩票公益支持地方社会公益事业发展资金(到贤镇文体中心提升改造项目)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ZXF20260701-ZFCG</w:t>
      </w:r>
      <w:r>
        <w:br/>
      </w:r>
      <w:r>
        <w:br/>
      </w:r>
      <w:r>
        <w:br/>
      </w:r>
    </w:p>
    <w:p>
      <w:pPr>
        <w:pStyle w:val="null3"/>
        <w:jc w:val="center"/>
        <w:outlineLvl w:val="2"/>
      </w:pPr>
      <w:r>
        <w:rPr>
          <w:rFonts w:ascii="仿宋_GB2312" w:hAnsi="仿宋_GB2312" w:cs="仿宋_GB2312" w:eastAsia="仿宋_GB2312"/>
          <w:sz w:val="28"/>
          <w:b/>
        </w:rPr>
        <w:t>富平县到贤镇人民政府（本级）</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富平县到贤镇人民政府（本级）</w:t>
      </w:r>
      <w:r>
        <w:rPr>
          <w:rFonts w:ascii="仿宋_GB2312" w:hAnsi="仿宋_GB2312" w:cs="仿宋_GB2312" w:eastAsia="仿宋_GB2312"/>
        </w:rPr>
        <w:t>委托，拟对</w:t>
      </w:r>
      <w:r>
        <w:rPr>
          <w:rFonts w:ascii="仿宋_GB2312" w:hAnsi="仿宋_GB2312" w:cs="仿宋_GB2312" w:eastAsia="仿宋_GB2312"/>
        </w:rPr>
        <w:t>中央专项彩票公益支持地方社会公益事业发展资金(到贤镇文体中心提升改造项目)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ZXF20260701-ZFCG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中央专项彩票公益支持地方社会公益事业发展资金(到贤镇文体中心提升改造项目)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中央专项彩票公益支持地方社会公益事业发展资金(到贤镇文体中心提升改造项目)建设内容为改造到贤镇原文体中心大楼170平方米，屋面防水，健身器材，儿童游乐设施，部分绿化及相关配套设施。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采购包1（中央专项彩票公益金支持地方社会公益事业发展项目(到贤镇文体中心提升改造项目)）：属于专门面向中小企业采购。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法定代表人身份证明书或授权委托书：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3、资质和专业要求：具备建筑工程或市政公用工程施工总承包三级及以上资质；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5、拟派项目经理资质和专业要求：拟派项目经理须具备建筑工程或市政公用工程注册建造师二级及以上资格和有效的安全生产考核证书，须提供项目经理无在建工程的相关证明材料或承诺书；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投标截止日前不得为“信用中国”网站（www.creditchina.gov.cn）中列入失信被执行人、重大税收违法失信主体和政府采购严重违法失信行为记录名单的供应商；不得为“中国政府采购网”（www.ccgp.gov.cn）中政府采购严重违法失信行为信息记录名单中被财政部门禁止参加政府采购活动的供应商（注：处罚期限届满的除外，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11、磋商保证金要求：提供磋商保证金银行转账凭证及基本存款账户信息证明资料或金融机构、担保机构出具的保函复印件或扫描件；</w:t>
      </w:r>
    </w:p>
    <w:p>
      <w:pPr>
        <w:pStyle w:val="null3"/>
      </w:pPr>
      <w:r>
        <w:rPr>
          <w:rFonts w:ascii="仿宋_GB2312" w:hAnsi="仿宋_GB2312" w:cs="仿宋_GB2312" w:eastAsia="仿宋_GB2312"/>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富平县到贤镇人民政府（本级）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富平县到贤镇街道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15336157121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陕西省西安市莲湖区未央路99号荣民中央国际10层1001室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邓小玉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17691101968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开户名称：中轩项目管理有限公司富平分公司</w:t>
            </w:r>
          </w:p>
          <w:p>
            <w:pPr>
              <w:pStyle w:val="null3"/>
            </w:pPr>
            <w:r>
              <w:rPr>
                <w:rFonts w:ascii="仿宋_GB2312" w:hAnsi="仿宋_GB2312" w:cs="仿宋_GB2312" w:eastAsia="仿宋_GB2312"/>
              </w:rPr>
              <w:t>开户银行：中国银行股份有限公司富平县支行</w:t>
            </w:r>
          </w:p>
          <w:p>
            <w:pPr>
              <w:pStyle w:val="null3"/>
            </w:pPr>
            <w:r>
              <w:rPr>
                <w:rFonts w:ascii="仿宋_GB2312" w:hAnsi="仿宋_GB2312" w:cs="仿宋_GB2312" w:eastAsia="仿宋_GB2312"/>
              </w:rPr>
              <w:t>银行账号：103699646516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招标代理服务费参照国家计委印发《招标代理服务收费管理暂行办法》的通知（计价格[2002]1980号）计算收取，不计入工程造价，按照《国家发展改革委办公厅关于招标代理服务收费有关问题的通知》（发改办价格〔2003〕857号）规定向成交供应商收取。造价咨询服务费按（陕价行发【2014】88号文件）计算收取，不计入工程造价，由成交供应商支付。若本次招标失败（非代理机构原因），招标代理服务费和造价咨询服务费由采购人支付。具体金额详见中标（成交）结果公告，在领取成交通知书时向采购代理机构一次付清（现金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富平县到贤镇人民政府（本级）</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富平县到贤镇人民政府（本级）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富平县到贤镇人民政府（本级）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邓小玉</w:t>
      </w:r>
    </w:p>
    <w:p>
      <w:pPr>
        <w:pStyle w:val="null3"/>
      </w:pPr>
      <w:r>
        <w:rPr>
          <w:rFonts w:ascii="仿宋_GB2312" w:hAnsi="仿宋_GB2312" w:cs="仿宋_GB2312" w:eastAsia="仿宋_GB2312"/>
        </w:rPr>
        <w:t>联系电话：17691101968</w:t>
      </w:r>
    </w:p>
    <w:p>
      <w:pPr>
        <w:pStyle w:val="null3"/>
      </w:pPr>
      <w:r>
        <w:rPr>
          <w:rFonts w:ascii="仿宋_GB2312" w:hAnsi="仿宋_GB2312" w:cs="仿宋_GB2312" w:eastAsia="仿宋_GB2312"/>
        </w:rPr>
        <w:t>地址：陕西省西安市莲湖区未央路99号荣民中央国际10层1001室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997,195.66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中央专项彩票公益支持地方社会公益事业发展资金(到贤镇文体中心提升改造项目)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标的名称：中央专项彩票公益支持地方社会公益事业发展资金(到贤镇文体中心提升改造项目)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jc w:val="center"/>
                  </w:pPr>
                  <w:r>
                    <w:rPr>
                      <w:rFonts w:ascii="仿宋_GB2312" w:hAnsi="仿宋_GB2312" w:cs="仿宋_GB2312" w:eastAsia="仿宋_GB2312"/>
                      <w:sz w:val="21"/>
                    </w:rPr>
                    <w:t>中央专项彩票公益支持地方社会公益事业发展资金(到贤镇文体中心提升改造项目)</w:t>
                  </w:r>
                </w:p>
                <w:p>
                  <w:pPr>
                    <w:pStyle w:val="null3"/>
                    <w:jc w:val="center"/>
                  </w:pPr>
                  <w:r>
                    <w:rPr>
                      <w:rFonts w:ascii="仿宋_GB2312" w:hAnsi="仿宋_GB2312" w:cs="仿宋_GB2312" w:eastAsia="仿宋_GB2312"/>
                      <w:sz w:val="21"/>
                    </w:rPr>
                    <w:t>工程量清单编制说明</w:t>
                  </w:r>
                </w:p>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（一）、工程名称：中央专项彩票公益支持地方社会公益事业发展资金(到贤镇文体中心提升改造项目)</w:t>
                  </w:r>
                </w:p>
                <w:p>
                  <w:pPr>
                    <w:pStyle w:val="null3"/>
                  </w:pPr>
                  <w:r>
                    <w:rPr>
                      <w:rFonts w:ascii="仿宋_GB2312" w:hAnsi="仿宋_GB2312" w:cs="仿宋_GB2312" w:eastAsia="仿宋_GB2312"/>
                    </w:rPr>
                    <w:t>（二）、建设地点：富平县到贤镇文体中心</w:t>
                  </w:r>
                </w:p>
                <w:p>
                  <w:pPr>
                    <w:pStyle w:val="null3"/>
                  </w:pPr>
                  <w:r>
                    <w:rPr>
                      <w:rFonts w:ascii="仿宋_GB2312" w:hAnsi="仿宋_GB2312" w:cs="仿宋_GB2312" w:eastAsia="仿宋_GB2312"/>
                    </w:rPr>
                    <w:t>（三）、建设内容为改造到贤镇原文体中心大楼170平方米，屋面防水，健身器材，儿童游乐设施，部分绿化及相关配套设施。</w:t>
                  </w:r>
                </w:p>
                <w:p>
                  <w:pPr>
                    <w:pStyle w:val="null3"/>
                  </w:pPr>
                  <w:r>
                    <w:rPr>
                      <w:rFonts w:ascii="仿宋_GB2312" w:hAnsi="仿宋_GB2312" w:cs="仿宋_GB2312" w:eastAsia="仿宋_GB2312"/>
                    </w:rPr>
                    <w:t>二、编制依据</w:t>
                  </w:r>
                </w:p>
                <w:p>
                  <w:pPr>
                    <w:pStyle w:val="null3"/>
                  </w:pPr>
                  <w:r>
                    <w:rPr>
                      <w:rFonts w:ascii="仿宋_GB2312" w:hAnsi="仿宋_GB2312" w:cs="仿宋_GB2312" w:eastAsia="仿宋_GB2312"/>
                    </w:rPr>
                    <w:t>1.《中央专项彩票公益支持地方社会公益事业发展资金(到贤镇文体中心提升改造项目)》设计图及相关资料；</w:t>
                  </w:r>
                </w:p>
                <w:p>
                  <w:pPr>
                    <w:pStyle w:val="null3"/>
                  </w:pPr>
                  <w:r>
                    <w:rPr>
                      <w:rFonts w:ascii="仿宋_GB2312" w:hAnsi="仿宋_GB2312" w:cs="仿宋_GB2312" w:eastAsia="仿宋_GB2312"/>
                    </w:rPr>
                    <w:t>2.《陕西省建设工程工程量清单计价标准》（2025）及《陕西省建设工程费用规则》（2025）；</w:t>
                  </w:r>
                </w:p>
                <w:p>
                  <w:pPr>
                    <w:pStyle w:val="null3"/>
                  </w:pPr>
                  <w:r>
                    <w:rPr>
                      <w:rFonts w:ascii="仿宋_GB2312" w:hAnsi="仿宋_GB2312" w:cs="仿宋_GB2312" w:eastAsia="仿宋_GB2312"/>
                    </w:rPr>
                    <w:t>3.《陕西省市政工程工程量计算标准》（2025）、《陕西省园林绿化工程基价表》(2025)；</w:t>
                  </w:r>
                </w:p>
                <w:p>
                  <w:pPr>
                    <w:pStyle w:val="null3"/>
                  </w:pPr>
                  <w:r>
                    <w:rPr>
                      <w:rFonts w:ascii="仿宋_GB2312" w:hAnsi="仿宋_GB2312" w:cs="仿宋_GB2312" w:eastAsia="仿宋_GB2312"/>
                    </w:rPr>
                    <w:t>4.《陕西省市政工程消耗量定额》（2025）、《陕西省园林绿化工程消耗量定额》(2025)；</w:t>
                  </w:r>
                </w:p>
                <w:p>
                  <w:pPr>
                    <w:pStyle w:val="null3"/>
                  </w:pPr>
                  <w:r>
                    <w:rPr>
                      <w:rFonts w:ascii="仿宋_GB2312" w:hAnsi="仿宋_GB2312" w:cs="仿宋_GB2312" w:eastAsia="仿宋_GB2312"/>
                    </w:rPr>
                    <w:t>5.《陕西省建设工程施工机械台班费用定额（2025）》、《陕西省建设工程施工仪器仪表台班费用定额（2025）》；</w:t>
                  </w:r>
                </w:p>
                <w:p>
                  <w:pPr>
                    <w:pStyle w:val="null3"/>
                  </w:pPr>
                  <w:r>
                    <w:rPr>
                      <w:rFonts w:ascii="仿宋_GB2312" w:hAnsi="仿宋_GB2312" w:cs="仿宋_GB2312" w:eastAsia="仿宋_GB2312"/>
                    </w:rPr>
                    <w:t>6.与建设工程项目有关的标准、规范、图集、技术资料；</w:t>
                  </w:r>
                </w:p>
                <w:p>
                  <w:pPr>
                    <w:pStyle w:val="null3"/>
                  </w:pPr>
                  <w:r>
                    <w:rPr>
                      <w:rFonts w:ascii="仿宋_GB2312" w:hAnsi="仿宋_GB2312" w:cs="仿宋_GB2312" w:eastAsia="仿宋_GB2312"/>
                    </w:rPr>
                    <w:t>7.结合施工现场情况、工程特点参照常规的施工方案；</w:t>
                  </w:r>
                </w:p>
                <w:p>
                  <w:pPr>
                    <w:pStyle w:val="null3"/>
                  </w:pPr>
                  <w:r>
                    <w:rPr>
                      <w:rFonts w:ascii="仿宋_GB2312" w:hAnsi="仿宋_GB2312" w:cs="仿宋_GB2312" w:eastAsia="仿宋_GB2312"/>
                    </w:rPr>
                    <w:t>8.其他相关资料。</w:t>
                  </w:r>
                </w:p>
                <w:p>
                  <w:pPr>
                    <w:pStyle w:val="null3"/>
                  </w:pPr>
                  <w:r>
                    <w:rPr>
                      <w:rFonts w:ascii="仿宋_GB2312" w:hAnsi="仿宋_GB2312" w:cs="仿宋_GB2312" w:eastAsia="仿宋_GB2312"/>
                    </w:rPr>
                    <w:t>三、需要说明的内容</w:t>
                  </w:r>
                </w:p>
                <w:p>
                  <w:pPr>
                    <w:pStyle w:val="null3"/>
                  </w:pPr>
                  <w:r>
                    <w:rPr>
                      <w:rFonts w:ascii="仿宋_GB2312" w:hAnsi="仿宋_GB2312" w:cs="仿宋_GB2312" w:eastAsia="仿宋_GB2312"/>
                    </w:rPr>
                    <w:t>1.本工程工程量清单仅描述主要特征，清单描述不完整、但图纸明确标识的以图纸为准进行报价，描述不完整的视为已包含在总价中。</w:t>
                  </w:r>
                </w:p>
                <w:p>
                  <w:pPr>
                    <w:pStyle w:val="null3"/>
                  </w:pPr>
                  <w:r>
                    <w:rPr>
                      <w:rFonts w:ascii="仿宋_GB2312" w:hAnsi="仿宋_GB2312" w:cs="仿宋_GB2312" w:eastAsia="仿宋_GB2312"/>
                    </w:rPr>
                    <w:t>2.混凝土暂按预拌混凝土考虑。</w:t>
                  </w:r>
                </w:p>
                <w:p>
                  <w:pPr>
                    <w:pStyle w:val="null3"/>
                  </w:pPr>
                  <w:r>
                    <w:rPr>
                      <w:rFonts w:ascii="仿宋_GB2312" w:hAnsi="仿宋_GB2312" w:cs="仿宋_GB2312" w:eastAsia="仿宋_GB2312"/>
                    </w:rPr>
                    <w:t>四、其他说明</w:t>
                  </w:r>
                </w:p>
                <w:p>
                  <w:pPr>
                    <w:pStyle w:val="null3"/>
                  </w:pPr>
                  <w:r>
                    <w:rPr>
                      <w:rFonts w:ascii="仿宋_GB2312" w:hAnsi="仿宋_GB2312" w:cs="仿宋_GB2312" w:eastAsia="仿宋_GB2312"/>
                    </w:rPr>
                    <w:t>1.采用广联达计价软件版本GCCP7.0(7.5000.23.2)。</w:t>
                  </w:r>
                </w:p>
                <w:p>
                  <w:pPr>
                    <w:pStyle w:val="null3"/>
                  </w:pPr>
                  <w:r>
                    <w:rPr>
                      <w:rFonts w:ascii="仿宋_GB2312" w:hAnsi="仿宋_GB2312" w:cs="仿宋_GB2312" w:eastAsia="仿宋_GB2312"/>
                    </w:rPr>
                    <w:t>2.具体详见工程量清单。</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1、计划工期：60日历天(计划开、竣工日期以施工合同签订时间为准)；2、付款方式： 本项目工程预付款为合同价款的30%，竣工验收合格后 ，支付至合同价款的 70.00%； 待工程决算审计报告双方签字盖章认可后 ，支付至合同价款的 97.00%；剩余合同总金额3%作为质保金，自终验结束之日起12个月内，在发包人处办理3%工程款的支付手续，7个工作日内支付。（具体付款以财政资金实际下达为依据，如因不可抗力、政府原因或政策影响等因素导致款项未能按合同约定时效、比例支付的，甲方不承担违约责任，乙方不得以此为由拒绝履行合同约定的责任和义务）</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成交通知书前将纸质版响应文件打印胶装3份、电子版(U盘)文件3份提交至采购代理机构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节能产品政府采购实施意见》（财库〔2004〕185号）；（2）《国务院办公厅关于建立政府强制采购节能产品制度的通知》（国办发〔2007〕51号）；（3）《财政部司法部关于政府采购支持监狱企业发展有关问题的通知》（财库〔2014〕68号）；（4）三部门联合发布《关于促进残疾人就业政府采购政策的通知》（财库〔2017〕141号）；（5）《财政部发展改革委生态环境部市场监管总局关于调整优化节能产品、环境标志产品政府采购执行机制的通知》（财库〔2019〕9号）；（6）陕西省财政厅关于印发《陕西省中小企业政府采购信用融资办法》 （陕财办采〔2018〕23号）；（7）《陕西省财政厅关于加快推进我省中小企业政府采购信用融资工作的通知》（陕财办采〔2020〕15号）；（8）《政府采购促进中小企业发展管理办法》（财库〔2020〕46号）；（9）《关于进一步加大政府采购支持中小企业力度的通知》（财库〔2022〕19号）；（10）《财政部 农业农村部 国家乡村振兴局关于运用政府采购政策支持乡村产业振兴的通知》（财库〔2021〕19号）；（11）陕西省财政厅《关于进一步加强政府绿色采购有关问题的通知》（陕财办〔2021〕29号）；（12）《关于促进政府采购公平竞争优化营商环境的通知》（财库〔2019〕38号）；（13）《陕西省财政厅关于进一步落实政府采购支持中小企业相关政策的通知》（陕财办采〔2023〕3号）；（14）《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具备建筑工程或市政公用工程施工总承包三级及以上资质；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拟派项目经理须具备建筑工程或市政公用工程注册建造师二级及以上资格和有效的安全生产考核证书，须提供项目经理无在建工程的相关证明材料或承诺书；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供应商资格要求.docx 项目管理机构组成表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不得为“中国政府采购网”（www.ccgp.gov.cn）中政府采购严重违法失信行为信息记录名单中被财政部门禁止参加政府采购活动的供应商（注：处罚期限届满的除外，最终以采购代理机构开标现场查询结果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提供磋商保证金银行转账凭证及基本存款账户信息证明资料或金融机构、担保机构出具的保函复印件或扫描件；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供应商资格要求.docx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已标价工程量清单（1）.docx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 xml:space="preserve"> 与营业执照一致</w:t>
            </w:r>
          </w:p>
        </w:tc>
        <w:tc>
          <w:tcPr>
            <w:tcW w:type="dxa" w:w="1661"/>
          </w:tcPr>
          <w:p>
            <w:pPr>
              <w:pStyle w:val="null3"/>
            </w:pPr>
            <w:r>
              <w:rPr>
                <w:rFonts w:ascii="仿宋_GB2312" w:hAnsi="仿宋_GB2312" w:cs="仿宋_GB2312" w:eastAsia="仿宋_GB2312"/>
              </w:rPr>
              <w:t>技术响应.docx 项目组织机构.docx 已标价工程量清单 中小企业声明函 承诺书.docx 已标价工程量清单（1）.docx 近年完成的类似项目情况表.docx 响应文件封面 供应商资格要求.docx 项目管理机构组成表 其他应说明的事项.docx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报价函 标的清单 已标价工程量清单（1）.docx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 xml:space="preserve"> 符合或优于磋商文件要求</w:t>
            </w:r>
          </w:p>
        </w:tc>
        <w:tc>
          <w:tcPr>
            <w:tcW w:type="dxa" w:w="1661"/>
          </w:tcPr>
          <w:p>
            <w:pPr>
              <w:pStyle w:val="null3"/>
            </w:pPr>
            <w:r>
              <w:rPr>
                <w:rFonts w:ascii="仿宋_GB2312" w:hAnsi="仿宋_GB2312" w:cs="仿宋_GB2312" w:eastAsia="仿宋_GB2312"/>
              </w:rPr>
              <w:t>技术响应.docx 报价函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磋商报价不得高于本项目最高限价</w:t>
            </w:r>
          </w:p>
        </w:tc>
        <w:tc>
          <w:tcPr>
            <w:tcW w:type="dxa" w:w="1661"/>
          </w:tcPr>
          <w:p>
            <w:pPr>
              <w:pStyle w:val="null3"/>
            </w:pPr>
            <w:r>
              <w:rPr>
                <w:rFonts w:ascii="仿宋_GB2312" w:hAnsi="仿宋_GB2312" w:cs="仿宋_GB2312" w:eastAsia="仿宋_GB2312"/>
              </w:rPr>
              <w:t>已标价工程量清单 报价函 承诺书.docx 已标价工程量清单（1）.docx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中小企业声明函 承诺书.docx 已标价工程量清单（1）.docx 近年完成的类似项目情况表.docx 响应文件封面 供应商资格要求.docx 项目管理机构组成表 其他应说明的事项.docx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响应文件含有采购人不能接受的附加条件，按无效响应处理</w:t>
            </w:r>
          </w:p>
        </w:tc>
        <w:tc>
          <w:tcPr>
            <w:tcW w:type="dxa" w:w="3322"/>
          </w:tcPr>
          <w:p>
            <w:pPr>
              <w:pStyle w:val="null3"/>
            </w:pPr>
            <w:r>
              <w:rPr>
                <w:rFonts w:ascii="仿宋_GB2312" w:hAnsi="仿宋_GB2312" w:cs="仿宋_GB2312" w:eastAsia="仿宋_GB2312"/>
              </w:rPr>
              <w:t>响应文件含有采购人不能接受的附加条件，按无效响应处理</w:t>
            </w:r>
          </w:p>
        </w:tc>
        <w:tc>
          <w:tcPr>
            <w:tcW w:type="dxa" w:w="1661"/>
          </w:tcPr>
          <w:p>
            <w:pPr>
              <w:pStyle w:val="null3"/>
            </w:pPr>
            <w:r>
              <w:rPr>
                <w:rFonts w:ascii="仿宋_GB2312" w:hAnsi="仿宋_GB2312" w:cs="仿宋_GB2312" w:eastAsia="仿宋_GB2312"/>
              </w:rPr>
              <w:t>技术响应.docx 项目组织机构.docx 已标价工程量清单 中小企业声明函 承诺书.docx 已标价工程量清单（1）.docx 近年完成的类似项目情况表.docx 响应文件封面 供应商资格要求.docx 项目管理机构组成表 其他应说明的事项.docx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中小企业声明函 承诺书.docx 已标价工程量清单（1）.docx 近年完成的类似项目情况表.docx 响应文件封面 供应商资格要求.docx 项目管理机构组成表 其他应说明的事项.docx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各项评分标准如下：1. 内容完整且具有针对性（8分）：供应商对该项内容的阐述能紧密结合项目实际，提供的措施或方案详尽、具体、清晰，对项目实施具有明确的指导作用和促进作用。 2. 内容完整但针对性一般（4-6分）：供应商完整响应了该项内容，但措施或方案偏于通用化，未能充分体现本项目特点或缺乏针对性的实施细节。 3. 内容有明显缺项或与项目实际不符（1-3分）：供应商对该项内容的响应存在明显遗漏，或提出的措施/方案与项目实际需求不符，不具备可行性。 4. 内容完全缺失（0分）：供应商未提供该项内容。</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2023年6月至今完成的类似业绩，一项得2分，最多得6分。 注：1.须附类似项目业绩的成交（中标）通知书或合同或竣工验收证明材料复印件或扫描件，并加盖公章； 2. 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