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版本号：SZT2026-SN-QC-ZC-HW-0396.1B120260520001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未央区关爱居家老年人设备采购项目(二次)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SZT2026-SN-QC-ZC-HW-0396.1B1</w:t>
      </w:r>
      <w:r>
        <w:br/>
      </w:r>
      <w:r>
        <w:br/>
      </w:r>
      <w:r>
        <w:br/>
      </w:r>
    </w:p>
    <w:p>
      <w:pPr>
        <w:pStyle w:val="null3"/>
        <w:jc w:val="center"/>
        <w:outlineLvl w:val="2"/>
      </w:pPr>
      <w:r>
        <w:rPr>
          <w:rFonts w:ascii="仿宋_GB2312" w:hAnsi="仿宋_GB2312" w:cs="仿宋_GB2312" w:eastAsia="仿宋_GB2312"/>
          <w:sz w:val="28"/>
          <w:b/>
        </w:rPr>
        <w:t>西安市未央区老龄工作发展服务中心</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西安市未央区老龄工作发展服务中心</w:t>
      </w:r>
      <w:r>
        <w:rPr>
          <w:rFonts w:ascii="仿宋_GB2312" w:hAnsi="仿宋_GB2312" w:cs="仿宋_GB2312" w:eastAsia="仿宋_GB2312"/>
        </w:rPr>
        <w:t>委托，拟对</w:t>
      </w:r>
      <w:r>
        <w:rPr>
          <w:rFonts w:ascii="仿宋_GB2312" w:hAnsi="仿宋_GB2312" w:cs="仿宋_GB2312" w:eastAsia="仿宋_GB2312"/>
        </w:rPr>
        <w:t>未央区关爱居家老年人设备采购项目(二次)</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SZT2026-SN-QC-ZC-HW-0396.1B1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未央区关爱居家老年人设备采购项目(二次)</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采购活动探测对讲器2000台，并为接入的2000位老人提供1年的7*24小时人工守护服务，当子女繁忙未及时处理报警时，客服将介入处理，依次拨打电话给紧急联系人、亲属、网格管理员等，直至拨通，并将处理结果推送给守护人。当老年人有报警需求时（应急类报警），平台可以快速调度相应的服务资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采购包1（未央区关爱居家老年人设备采购项目）：属于专门面向中小企业采购。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供应商应授权合法的人员参加投标全过程，其中法定代表人直接参加投标的，须出具法定代表人身份证，并与营业执照上信息一致。法定代表人授权代表参加投标的，须出具法定代表人授权书及授权代表身份证。</w:t>
      </w:r>
    </w:p>
    <w:p>
      <w:pPr>
        <w:pStyle w:val="null3"/>
      </w:pPr>
      <w:r>
        <w:rPr>
          <w:rFonts w:ascii="仿宋_GB2312" w:hAnsi="仿宋_GB2312" w:cs="仿宋_GB2312" w:eastAsia="仿宋_GB2312"/>
        </w:rPr>
        <w:t>2、本项目不接受联合体投标：本项目不接受联合体投标。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西安市未央区老龄工作发展服务中心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未央区未央路109号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029-86335215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西安市高新区高新四路 1 号高科广场 A1001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029-87304326-849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西安市未央区政府采购管理股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西安市未央区财政局政府采购管理科</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029-86276259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收取。开户名称：陕西中技招标有限公司，开户行名称：招商银行西安分行营业部，账号：129916812810001</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西安市未央区老龄工作发展服务中心</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西安市未央区老龄工作发展服务中心</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西安市未央区老龄工作发展服务中心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陕西中技招标有限公司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1、本合同及附件文本； 2、合同签订时国家及行业现行的标准和技术规范。 2.1.乙方须保证所提供的产品质量可靠，进货渠道正常，配置合理，技术性能完全满足文件要求； 2.2.若产品有质量问题，由乙方负责解决并承担费用，且不得延期。（产品质量应符合国标标准和本合同附件的要求） 2.3.按《中华人民共和国民法典》中的相关条款执行。 3、验收时间 3.1在本项目实施部署完成后，乙方提供验收书面申请，甲方在接到通知后的10日内需要组织验收并办理相关手续。 3.2重新验收的约定：双方约定在首次验收未通过后，乙方有义务在规定的时间内完成整改，并重新申请验收。甲方有权再次组织验收，若经两次验收仍不合格，甲方有权单方面解除合同且不视为违约，合同自书面解除通知送达乙方之日起解除。 3.3甲方出具加盖甲方公章的验收合格证书视为验收合格 （三）乙方向甲方提交服务实施过程中的所有资料。以便甲方日后管理和维护。</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地址：西安市高新四路1号高科广场A1001室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活动探测对讲器2000台，并为接入的2000位老人提供1年的7*24小时人工守护服务，当子女繁忙未及时处理报警时，客服将介入处理，依次拨打电话给紧急联系人、亲属、网格管理员等，直至拨通，并将处理结果推送给守护人。当老年人有报警需求时（应急类报警），平台可以快速调度相应的服务资源。</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765,000.00</w:t>
      </w:r>
    </w:p>
    <w:p>
      <w:pPr>
        <w:pStyle w:val="null3"/>
      </w:pPr>
      <w:r>
        <w:rPr>
          <w:rFonts w:ascii="仿宋_GB2312" w:hAnsi="仿宋_GB2312" w:cs="仿宋_GB2312" w:eastAsia="仿宋_GB2312"/>
        </w:rPr>
        <w:t>采购包最高限价（元）: 765,000.00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活动探测对讲器</w:t>
            </w:r>
          </w:p>
        </w:tc>
        <w:tc>
          <w:tcPr>
            <w:tcW w:type="dxa" w:w="755"/>
          </w:tcPr>
          <w:p>
            <w:pPr>
              <w:pStyle w:val="null3"/>
              <w:jc w:val="right"/>
            </w:pPr>
            <w:r>
              <w:rPr>
                <w:rFonts w:ascii="仿宋_GB2312" w:hAnsi="仿宋_GB2312" w:cs="仿宋_GB2312" w:eastAsia="仿宋_GB2312"/>
              </w:rPr>
              <w:t>2,000.00</w:t>
            </w:r>
          </w:p>
        </w:tc>
        <w:tc>
          <w:tcPr>
            <w:tcW w:type="dxa" w:w="755"/>
          </w:tcPr>
          <w:p>
            <w:pPr>
              <w:pStyle w:val="null3"/>
              <w:jc w:val="right"/>
            </w:pPr>
            <w:r>
              <w:rPr>
                <w:rFonts w:ascii="仿宋_GB2312" w:hAnsi="仿宋_GB2312" w:cs="仿宋_GB2312" w:eastAsia="仿宋_GB2312"/>
              </w:rPr>
              <w:t>765,000.00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标的名称：活动探测对讲器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一、项目概况</w:t>
            </w:r>
          </w:p>
          <w:p>
            <w:pPr>
              <w:pStyle w:val="null3"/>
              <w:ind w:firstLine="400"/>
              <w:jc w:val="both"/>
            </w:pPr>
            <w:r>
              <w:rPr>
                <w:rFonts w:ascii="仿宋_GB2312" w:hAnsi="仿宋_GB2312" w:cs="仿宋_GB2312" w:eastAsia="仿宋_GB2312"/>
                <w:sz w:val="20"/>
              </w:rPr>
              <w:t>采购活动探测对讲器</w:t>
            </w:r>
            <w:r>
              <w:rPr>
                <w:rFonts w:ascii="仿宋_GB2312" w:hAnsi="仿宋_GB2312" w:cs="仿宋_GB2312" w:eastAsia="仿宋_GB2312"/>
                <w:sz w:val="20"/>
              </w:rPr>
              <w:t>2000台，并为接入的2000位老人提供1年的7*24小时人工守护服务，当子女繁忙未及时处理报警时，客服将介入处理，依次拨打电话给紧急联系人、亲属、网格管理员等，直至拨通，并将处理结果推送给守护人。当老年人有报警需求时（应急类报警），平台可以快速调度相应的服务资源。</w:t>
            </w:r>
          </w:p>
          <w:p>
            <w:pPr>
              <w:pStyle w:val="null3"/>
              <w:jc w:val="both"/>
            </w:pPr>
            <w:r>
              <w:rPr>
                <w:rFonts w:ascii="仿宋_GB2312" w:hAnsi="仿宋_GB2312" w:cs="仿宋_GB2312" w:eastAsia="仿宋_GB2312"/>
                <w:sz w:val="20"/>
              </w:rPr>
              <w:t>二、技术参数要求</w:t>
            </w:r>
          </w:p>
          <w:p>
            <w:pPr>
              <w:pStyle w:val="null3"/>
              <w:jc w:val="both"/>
            </w:pPr>
            <w:r>
              <w:rPr>
                <w:rFonts w:ascii="仿宋_GB2312" w:hAnsi="仿宋_GB2312" w:cs="仿宋_GB2312" w:eastAsia="仿宋_GB2312"/>
                <w:sz w:val="20"/>
              </w:rPr>
              <w:t>1.电源适配器供电、无需布线。</w:t>
            </w:r>
          </w:p>
          <w:p>
            <w:pPr>
              <w:pStyle w:val="null3"/>
              <w:jc w:val="both"/>
            </w:pPr>
            <w:r>
              <w:rPr>
                <w:rFonts w:ascii="仿宋_GB2312" w:hAnsi="仿宋_GB2312" w:cs="仿宋_GB2312" w:eastAsia="仿宋_GB2312"/>
                <w:sz w:val="20"/>
              </w:rPr>
              <w:t>2.基于运营商基站网络，无线通信，不限于NB-IoT、4G、5G等，报警不受到地理位置限制</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3.内置无线通信模块，出厂前预置通信卡，供应商承诺通信卡免费</w:t>
            </w:r>
            <w:r>
              <w:rPr>
                <w:rFonts w:ascii="仿宋_GB2312" w:hAnsi="仿宋_GB2312" w:cs="仿宋_GB2312" w:eastAsia="仿宋_GB2312"/>
                <w:sz w:val="20"/>
                <w:b/>
              </w:rPr>
              <w:t>（评审材料：提供承诺书，并加盖供应商公章）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4.内置信号发射模块，信号发射频率≤500ms,提供其他穿戴设备定位使用。</w:t>
            </w:r>
          </w:p>
          <w:p>
            <w:pPr>
              <w:pStyle w:val="null3"/>
              <w:jc w:val="both"/>
            </w:pPr>
            <w:r>
              <w:rPr>
                <w:rFonts w:ascii="仿宋_GB2312" w:hAnsi="仿宋_GB2312" w:cs="仿宋_GB2312" w:eastAsia="仿宋_GB2312"/>
                <w:sz w:val="20"/>
              </w:rPr>
              <w:t>5.设备同时具有语音通话、按键报警、按键报警和无生命活动探测报警功能</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6.具备内置保密功能，设备端手动按键才能双向通话。</w:t>
            </w:r>
          </w:p>
          <w:p>
            <w:pPr>
              <w:pStyle w:val="null3"/>
              <w:jc w:val="both"/>
            </w:pPr>
            <w:r>
              <w:rPr>
                <w:rFonts w:ascii="仿宋_GB2312" w:hAnsi="仿宋_GB2312" w:cs="仿宋_GB2312" w:eastAsia="仿宋_GB2312"/>
                <w:sz w:val="20"/>
              </w:rPr>
              <w:t>7.具备报警过程、报警成功语音广播提醒。</w:t>
            </w:r>
          </w:p>
          <w:p>
            <w:pPr>
              <w:pStyle w:val="null3"/>
              <w:jc w:val="both"/>
            </w:pPr>
            <w:r>
              <w:rPr>
                <w:rFonts w:ascii="仿宋_GB2312" w:hAnsi="仿宋_GB2312" w:cs="仿宋_GB2312" w:eastAsia="仿宋_GB2312"/>
                <w:sz w:val="20"/>
              </w:rPr>
              <w:t>8.具备定时上报设备在线状态及电量。</w:t>
            </w:r>
          </w:p>
          <w:p>
            <w:pPr>
              <w:pStyle w:val="null3"/>
              <w:jc w:val="both"/>
            </w:pPr>
            <w:r>
              <w:rPr>
                <w:rFonts w:ascii="仿宋_GB2312" w:hAnsi="仿宋_GB2312" w:cs="仿宋_GB2312" w:eastAsia="仿宋_GB2312"/>
                <w:sz w:val="20"/>
              </w:rPr>
              <w:t>9.具备独立复位按钮，可解除报警。</w:t>
            </w:r>
          </w:p>
          <w:p>
            <w:pPr>
              <w:pStyle w:val="null3"/>
              <w:jc w:val="both"/>
            </w:pPr>
            <w:r>
              <w:rPr>
                <w:rFonts w:ascii="仿宋_GB2312" w:hAnsi="仿宋_GB2312" w:cs="仿宋_GB2312" w:eastAsia="仿宋_GB2312"/>
                <w:sz w:val="20"/>
              </w:rPr>
              <w:t>10.同时具备连接蓝牙设备和433设备。</w:t>
            </w:r>
          </w:p>
          <w:p>
            <w:pPr>
              <w:pStyle w:val="null3"/>
              <w:jc w:val="both"/>
            </w:pPr>
            <w:r>
              <w:rPr>
                <w:rFonts w:ascii="仿宋_GB2312" w:hAnsi="仿宋_GB2312" w:cs="仿宋_GB2312" w:eastAsia="仿宋_GB2312"/>
                <w:sz w:val="20"/>
              </w:rPr>
              <w:t>11.具备方言语音报警和语言识别功能，识别到关键字即可自动发起报警</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12.具备连接手机升级软件；具备服务器端远程升级软件。</w:t>
            </w:r>
          </w:p>
          <w:p>
            <w:pPr>
              <w:pStyle w:val="null3"/>
              <w:jc w:val="both"/>
            </w:pPr>
            <w:r>
              <w:rPr>
                <w:rFonts w:ascii="仿宋_GB2312" w:hAnsi="仿宋_GB2312" w:cs="仿宋_GB2312" w:eastAsia="仿宋_GB2312"/>
                <w:sz w:val="20"/>
              </w:rPr>
              <w:t>13.配备综合服务一站式App</w:t>
            </w:r>
          </w:p>
          <w:p>
            <w:pPr>
              <w:pStyle w:val="null3"/>
              <w:jc w:val="both"/>
            </w:pPr>
            <w:r>
              <w:rPr>
                <w:rFonts w:ascii="仿宋_GB2312" w:hAnsi="仿宋_GB2312" w:cs="仿宋_GB2312" w:eastAsia="仿宋_GB2312"/>
                <w:sz w:val="20"/>
              </w:rPr>
              <w:t>13.1老龄信息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1）新增入住长者：具备长者入住登记，含长者基本信息、居住地址、个人爱好、体检信息、饮食特点、劳动能力、紧急联系人等。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2）已入住长者列表：具备查看已入住长者的信息，含长者姓名、性别、年龄、联系方式、居住地址等，具备批量导入和导出长者信息。</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3）已退住长者列表：具备查看已退住长者的信息，含长者姓名、性别、年龄、联系方式、居住地址等，具备对已退住长者进行恢复入住。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4）长者能力评估：根据疾病诊断、近30天意外事件、日常生活活动、精神状态、感知觉与沟通等进行能力评估。</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5）小程序账号管理：为居家长者创建、管理小程序账号。</w:t>
            </w:r>
          </w:p>
          <w:p>
            <w:pPr>
              <w:pStyle w:val="null3"/>
              <w:jc w:val="both"/>
            </w:pPr>
            <w:r>
              <w:rPr>
                <w:rFonts w:ascii="仿宋_GB2312" w:hAnsi="仿宋_GB2312" w:cs="仿宋_GB2312" w:eastAsia="仿宋_GB2312"/>
                <w:sz w:val="20"/>
              </w:rPr>
              <w:t>13.2.客服席位</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1）接警处警席位：具备接收长者报警信息，通过席位可一键拨打长者、紧急联系人或亲属电话，可派发工单给应急和服务人员提供上门服务。</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2）电话咨询席位：具备接收长者或亲属的咨询电话，并自动调取历史咨询内容和关联的长者信息，通话内容实时存储在平台中，可随时调取。</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3）历史工单详情：可查看历史工单的处理详情，含响应时间、通话录音、处理记录、服务点评记录、服务进程及进程对应的时间表。</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4）历史短信详情：可查看已发送短信的接收人姓名、手机号、是否发送成功、短信详情等。</w:t>
            </w:r>
          </w:p>
          <w:p>
            <w:pPr>
              <w:pStyle w:val="null3"/>
              <w:jc w:val="both"/>
            </w:pPr>
            <w:r>
              <w:rPr>
                <w:rFonts w:ascii="仿宋_GB2312" w:hAnsi="仿宋_GB2312" w:cs="仿宋_GB2312" w:eastAsia="仿宋_GB2312"/>
                <w:sz w:val="20"/>
              </w:rPr>
              <w:t>13.3.健康驿站</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1）健康档案登记：具备记录长者详细健康信息，含既往病史、家族病史、遗传病史、残疾情况、生活环境等。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2）长者健康评估：含自理能力评估、体征类型评估、长者能力评估，根据实际情况选择评估模板，得出评估结论。</w:t>
            </w:r>
          </w:p>
          <w:p>
            <w:pPr>
              <w:pStyle w:val="null3"/>
              <w:jc w:val="both"/>
            </w:pPr>
            <w:r>
              <w:rPr>
                <w:rFonts w:ascii="仿宋_GB2312" w:hAnsi="仿宋_GB2312" w:cs="仿宋_GB2312" w:eastAsia="仿宋_GB2312"/>
                <w:sz w:val="20"/>
              </w:rPr>
              <w:t>13.4.一览表大屏</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1）综合信息一览表1：具备展示待办事项统计、坐席呼叫统计、救助服务次数统计、实时动态等。</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2）综合信息一览表2：具备展示长者区域分布、关怀满意度、新增长者趋势、服务热度排行等。</w:t>
            </w:r>
          </w:p>
          <w:p>
            <w:pPr>
              <w:pStyle w:val="null3"/>
              <w:jc w:val="both"/>
            </w:pPr>
            <w:r>
              <w:rPr>
                <w:rFonts w:ascii="仿宋_GB2312" w:hAnsi="仿宋_GB2312" w:cs="仿宋_GB2312" w:eastAsia="仿宋_GB2312"/>
                <w:sz w:val="20"/>
              </w:rPr>
              <w:t>13.5.权限管理</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1）角色管理：具备设置不同的角色，并分配相应权限。</w:t>
            </w:r>
          </w:p>
          <w:p>
            <w:pPr>
              <w:pStyle w:val="null3"/>
              <w:jc w:val="both"/>
            </w:pPr>
            <w:r>
              <w:rPr>
                <w:rFonts w:ascii="仿宋_GB2312" w:hAnsi="仿宋_GB2312" w:cs="仿宋_GB2312" w:eastAsia="仿宋_GB2312"/>
                <w:sz w:val="20"/>
              </w:rPr>
              <w:t>（</w:t>
            </w:r>
            <w:r>
              <w:rPr>
                <w:rFonts w:ascii="仿宋_GB2312" w:hAnsi="仿宋_GB2312" w:cs="仿宋_GB2312" w:eastAsia="仿宋_GB2312"/>
                <w:sz w:val="20"/>
              </w:rPr>
              <w:t>2）用户管理：具备设置不同的账号，并分配使用权限。</w:t>
            </w:r>
          </w:p>
          <w:p>
            <w:pPr>
              <w:pStyle w:val="null3"/>
              <w:jc w:val="both"/>
            </w:pPr>
            <w:r>
              <w:rPr>
                <w:rFonts w:ascii="仿宋_GB2312" w:hAnsi="仿宋_GB2312" w:cs="仿宋_GB2312" w:eastAsia="仿宋_GB2312"/>
                <w:sz w:val="20"/>
              </w:rPr>
              <w:t>13.6.居家守护设置：具备处警设置、客服电话设置、工单流程设置、工单提醒设置。</w:t>
            </w:r>
          </w:p>
          <w:p>
            <w:pPr>
              <w:pStyle w:val="null3"/>
              <w:jc w:val="both"/>
            </w:pPr>
            <w:r>
              <w:rPr>
                <w:rFonts w:ascii="仿宋_GB2312" w:hAnsi="仿宋_GB2312" w:cs="仿宋_GB2312" w:eastAsia="仿宋_GB2312"/>
                <w:sz w:val="20"/>
              </w:rPr>
              <w:t>13.7.监护设置：具备自定义无生命活动的检测时长，适应不同场景下的灵活报警。 具备对讲设备接听模式设置，设备来电后可设置按键接听对讲，保护老人隐私。</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具备设置语音喊话的关键词，如</w:t>
            </w:r>
            <w:r>
              <w:rPr>
                <w:rFonts w:ascii="仿宋_GB2312" w:hAnsi="仿宋_GB2312" w:cs="仿宋_GB2312" w:eastAsia="仿宋_GB2312"/>
                <w:sz w:val="20"/>
              </w:rPr>
              <w:t>“救命、报警、管家”等，并具备设置语音识别触发次数和灵敏度配置。</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13.8.长者小程序：具有服务预约、健康管理、健康宣教、快捷拔号等。</w:t>
            </w:r>
            <w:r>
              <w:rPr>
                <w:rFonts w:ascii="仿宋_GB2312" w:hAnsi="仿宋_GB2312" w:cs="仿宋_GB2312" w:eastAsia="仿宋_GB2312"/>
                <w:sz w:val="20"/>
                <w:b/>
              </w:rPr>
              <w:t>（评审材料：提供检测报告或产品彩页或功能截图，并加盖供应商公章）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13.9.子女App：子女通过App可远程监控父母每天的生活起居、健康状况、日常活动等信息。</w:t>
            </w:r>
          </w:p>
          <w:p>
            <w:pPr>
              <w:pStyle w:val="null3"/>
              <w:jc w:val="both"/>
            </w:pPr>
            <w:r>
              <w:rPr>
                <w:rFonts w:ascii="仿宋_GB2312" w:hAnsi="仿宋_GB2312" w:cs="仿宋_GB2312" w:eastAsia="仿宋_GB2312"/>
                <w:sz w:val="20"/>
              </w:rPr>
              <w:t>14.安装、调试、培训</w:t>
            </w:r>
          </w:p>
          <w:p>
            <w:pPr>
              <w:pStyle w:val="null3"/>
              <w:jc w:val="both"/>
            </w:pPr>
            <w:r>
              <w:rPr>
                <w:rFonts w:ascii="仿宋_GB2312" w:hAnsi="仿宋_GB2312" w:cs="仿宋_GB2312" w:eastAsia="仿宋_GB2312"/>
                <w:sz w:val="20"/>
              </w:rPr>
              <w:t>入户安装、调试、对老人的使用培训</w:t>
            </w:r>
            <w:r>
              <w:rPr>
                <w:rFonts w:ascii="仿宋_GB2312" w:hAnsi="仿宋_GB2312" w:cs="仿宋_GB2312" w:eastAsia="仿宋_GB2312"/>
                <w:sz w:val="20"/>
                <w:b/>
              </w:rPr>
              <w:t>（评审材料：提供承诺书，并加盖供应商公章）</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15.应急呼叫服务</w:t>
            </w:r>
          </w:p>
          <w:p>
            <w:pPr>
              <w:pStyle w:val="null3"/>
              <w:jc w:val="both"/>
            </w:pPr>
            <w:r>
              <w:rPr>
                <w:rFonts w:ascii="仿宋_GB2312" w:hAnsi="仿宋_GB2312" w:cs="仿宋_GB2312" w:eastAsia="仿宋_GB2312"/>
                <w:sz w:val="20"/>
              </w:rPr>
              <w:t>15.1.救助坐席7*24小时应急呼叫服务（3个人工作席）</w:t>
            </w:r>
            <w:r>
              <w:rPr>
                <w:rFonts w:ascii="仿宋_GB2312" w:hAnsi="仿宋_GB2312" w:cs="仿宋_GB2312" w:eastAsia="仿宋_GB2312"/>
                <w:sz w:val="20"/>
                <w:b/>
              </w:rPr>
              <w:t>（评审材料：提供承诺书，并加盖供应商公章）；</w:t>
            </w:r>
          </w:p>
          <w:p>
            <w:pPr>
              <w:pStyle w:val="null3"/>
              <w:jc w:val="both"/>
            </w:pPr>
            <w:r>
              <w:rPr>
                <w:rFonts w:ascii="仿宋_GB2312" w:hAnsi="仿宋_GB2312" w:cs="仿宋_GB2312" w:eastAsia="仿宋_GB2312"/>
                <w:sz w:val="20"/>
              </w:rPr>
              <w:t>15.2.每月提供主动关怀呼叫服务≥4000次</w:t>
            </w:r>
            <w:r>
              <w:rPr>
                <w:rFonts w:ascii="仿宋_GB2312" w:hAnsi="仿宋_GB2312" w:cs="仿宋_GB2312" w:eastAsia="仿宋_GB2312"/>
                <w:sz w:val="20"/>
                <w:b/>
              </w:rPr>
              <w:t>（评审材料：提供承诺书，并加盖供应商公章）。</w:t>
            </w:r>
          </w:p>
          <w:p>
            <w:pPr>
              <w:pStyle w:val="null3"/>
              <w:jc w:val="both"/>
            </w:pPr>
            <w:r>
              <w:rPr>
                <w:rFonts w:ascii="仿宋_GB2312" w:hAnsi="仿宋_GB2312" w:cs="仿宋_GB2312" w:eastAsia="仿宋_GB2312"/>
                <w:sz w:val="21"/>
                <w:b/>
              </w:rPr>
              <w:t>注：技术响应性审查：技术参数要求为实质性要求，供应商必须响应并满足参数需求，否则按无效谈判处理；且必须提供证明材料，否则视为不满足参数要求。证明材料包括但不限于测试报告、官网和功能截图、产品彩页等（部分参数已明确评审材料要求的，以参数中明确的材料为准）。</w:t>
            </w:r>
          </w:p>
          <w:p>
            <w:pPr>
              <w:pStyle w:val="null3"/>
              <w:jc w:val="both"/>
            </w:pPr>
            <w:r>
              <w:rPr>
                <w:rFonts w:ascii="仿宋_GB2312" w:hAnsi="仿宋_GB2312" w:cs="仿宋_GB2312" w:eastAsia="仿宋_GB2312"/>
                <w:sz w:val="21"/>
                <w:b/>
              </w:rPr>
              <w:t>三、商务要求</w:t>
            </w:r>
          </w:p>
          <w:p>
            <w:pPr>
              <w:pStyle w:val="null3"/>
              <w:jc w:val="both"/>
            </w:pPr>
            <w:r>
              <w:rPr>
                <w:rFonts w:ascii="仿宋_GB2312" w:hAnsi="仿宋_GB2312" w:cs="仿宋_GB2312" w:eastAsia="仿宋_GB2312"/>
                <w:sz w:val="21"/>
              </w:rPr>
              <w:t>1、质量要求：供应商所提供的产品性能及质量应符合现行国家、行业标准，达到合格产品的要求。</w:t>
            </w:r>
          </w:p>
          <w:p>
            <w:pPr>
              <w:pStyle w:val="null3"/>
              <w:jc w:val="both"/>
            </w:pPr>
            <w:r>
              <w:rPr>
                <w:rFonts w:ascii="仿宋_GB2312" w:hAnsi="仿宋_GB2312" w:cs="仿宋_GB2312" w:eastAsia="仿宋_GB2312"/>
                <w:sz w:val="21"/>
              </w:rPr>
              <w:t>产品必须为符合国家质量标准的原厂、全新、正品产品，供应商应在产品使用期限内，承担所提供的产品因自身质量原因产生的责任。</w:t>
            </w:r>
          </w:p>
          <w:p>
            <w:pPr>
              <w:pStyle w:val="null3"/>
              <w:jc w:val="both"/>
            </w:pPr>
            <w:r>
              <w:rPr>
                <w:rFonts w:ascii="仿宋_GB2312" w:hAnsi="仿宋_GB2312" w:cs="仿宋_GB2312" w:eastAsia="仿宋_GB2312"/>
                <w:sz w:val="21"/>
              </w:rPr>
              <w:t>2、质保期：自验收合格之日起3年。</w:t>
            </w:r>
          </w:p>
          <w:p>
            <w:pPr>
              <w:pStyle w:val="null3"/>
            </w:pPr>
            <w:r>
              <w:rPr>
                <w:rFonts w:ascii="仿宋_GB2312" w:hAnsi="仿宋_GB2312" w:cs="仿宋_GB2312" w:eastAsia="仿宋_GB2312"/>
                <w:sz w:val="21"/>
              </w:rPr>
              <w:t xml:space="preserve">3、售后服务响应时间:售后服务需求提供2小时内响应，4小时内到达现场实施维修。24小时仍未排除故障、恢复正常运转的，由乙方提供同类型备品、备件等。提供7天24小时服务（电话、远程或现场），项目验收合格后，乙方每年例行维护及巡检。保证设备正常运行。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自合同签订之日起15个工作日内完成供货，45个工作日内完成安装，并交付采购人验收合格。项目维护运营和呼叫中心服务期自验收合格之日起1年。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采购人指定安装地点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全部产品到达采购人指定地点安装完成并验收合格后，成交供应商向采购人提供与合同总价款等额的正式增值税发票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供应商所提供的产品性能及质量应符合现行国家、行业标准，达到合格产品的要求。 产品必须为符合国家质量标准的原厂、全新、正品产品，供应商应在产品使用期限内，承担所提供的产品因自身质量原因产生的责任。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质量要求：供应商所提供的产品性能及质量应符合现行国家、行业标准，达到合格产品的要求。 产品必须为符合国家质量标准的原厂、全新、正品产品，供应商应在产品使用期限内，承担所提供的产品因自身质量原因产生的责任； 2、活动探测对讲器质保期：自验收合格之日起3年。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 有关规定进行处罚。</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1、供应商需要在线提交所有通过电子化交易平台实施的政府采购项目的响应文件。 2、供应商响应中小企业声明函及关于符合本国产品标准的声明函时，只需要对活动探测对讲器进行声明，无需拆分响应产品组成辅件。3定标环节采购人有权对响应文件承诺响应的内容进行复核，如有虚假响应，一经发现，取消成交资格并上报财政主管部门，列入政府采购黑名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事业法人应提供事业单位法人证、组织机构代码证等证明文件；其他组织应提供合法证明文件；自然人提供身份证明文件）；2、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3、具有履行合同所必需的设备和专业技术能力的书面声明（格式详见附件）；4、有依法缴纳税收和社会保障资金的良好记录（提供开标前12个月内任一月份的社保和缴纳税收的证明，依法不需要缴纳社会保障资金、免税或无须缴纳税款的供应商，应提供相关证明文件)；5、参加政府采购活动前3年内在经营活动中没有重大违法记录的书面声明（格式详见附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提供2024年度或2025年度经审计完整的财务审计报告（成立时间至提交响应文件截止时间不足一年的可提供成立后任意时段的资产负债表），或其开标前12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供应商应授权合法的人员参加投标全过程，其中法定代表人直接参加投标的，须出具法定代表人身份证，并与营业执照上信息一致。法定代表人授权代表参加投标的，须出具法定代表人授权书及授权代表身份证。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谈判过程中，谈判小组认为供应商的报价明显低于其他实质性响应的供应商报价，有可能影响产品质量或者不能诚信履约的，谈判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谈判文件签署、盖章</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技术响应性审查</w:t>
            </w:r>
          </w:p>
        </w:tc>
        <w:tc>
          <w:tcPr>
            <w:tcW w:type="dxa" w:w="3322"/>
          </w:tcPr>
          <w:p>
            <w:pPr>
              <w:pStyle w:val="null3"/>
            </w:pPr>
            <w:r>
              <w:rPr>
                <w:rFonts w:ascii="仿宋_GB2312" w:hAnsi="仿宋_GB2312" w:cs="仿宋_GB2312" w:eastAsia="仿宋_GB2312"/>
              </w:rPr>
              <w:t>技术参数要求为实质性要求，供应商必须响应并满足参数需求，否则按无效谈判处理；且必须提供证明材料，否则视为不满足参数要求。证明材料包括但不限于测试报告、官网和功能截图、产品彩页等（部分参数已明确评审材料要求的，以参数中明确的材料为准）。</w:t>
            </w:r>
          </w:p>
        </w:tc>
        <w:tc>
          <w:tcPr>
            <w:tcW w:type="dxa" w:w="1661"/>
          </w:tcPr>
          <w:p>
            <w:pPr>
              <w:pStyle w:val="null3"/>
            </w:pPr>
            <w:r>
              <w:rPr>
                <w:rFonts w:ascii="仿宋_GB2312" w:hAnsi="仿宋_GB2312" w:cs="仿宋_GB2312" w:eastAsia="仿宋_GB2312"/>
              </w:rPr>
              <w:t>响应文件封面 产品技术参数表 商务应答表 其他资料.docx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符合谈判文件要求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交货安装期及质保期</w:t>
            </w:r>
          </w:p>
        </w:tc>
        <w:tc>
          <w:tcPr>
            <w:tcW w:type="dxa" w:w="3322"/>
          </w:tcPr>
          <w:p>
            <w:pPr>
              <w:pStyle w:val="null3"/>
            </w:pPr>
            <w:r>
              <w:rPr>
                <w:rFonts w:ascii="仿宋_GB2312" w:hAnsi="仿宋_GB2312" w:cs="仿宋_GB2312" w:eastAsia="仿宋_GB2312"/>
              </w:rPr>
              <w:t>满足谈判文件中的要求</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首次报价唯一且不得高于预算金额（最高限价）</w:t>
            </w:r>
          </w:p>
        </w:tc>
        <w:tc>
          <w:tcPr>
            <w:tcW w:type="dxa" w:w="1661"/>
          </w:tcPr>
          <w:p>
            <w:pPr>
              <w:pStyle w:val="null3"/>
            </w:pPr>
            <w:r>
              <w:rPr>
                <w:rFonts w:ascii="仿宋_GB2312" w:hAnsi="仿宋_GB2312" w:cs="仿宋_GB2312" w:eastAsia="仿宋_GB2312"/>
              </w:rPr>
              <w:t>响应文件封面 关于符合本国产品标准的声明函 标的清单 报价表</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 物 合 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