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35B29">
      <w:pPr>
        <w:spacing w:after="120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服务应答表（1包）</w:t>
      </w:r>
    </w:p>
    <w:p w14:paraId="679C9EF4">
      <w:pPr>
        <w:spacing w:line="48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1709AFB1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405"/>
        <w:gridCol w:w="2485"/>
        <w:gridCol w:w="1312"/>
        <w:gridCol w:w="902"/>
      </w:tblGrid>
      <w:tr w14:paraId="6CFC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176DC593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405" w:type="dxa"/>
            <w:vAlign w:val="center"/>
          </w:tcPr>
          <w:p w14:paraId="0E2C8D62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485" w:type="dxa"/>
            <w:vAlign w:val="center"/>
          </w:tcPr>
          <w:p w14:paraId="390EBC2A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380E86BD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6776C17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1C24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899" w:type="dxa"/>
            <w:vAlign w:val="center"/>
          </w:tcPr>
          <w:p w14:paraId="32C2BD70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405" w:type="dxa"/>
            <w:vAlign w:val="center"/>
          </w:tcPr>
          <w:p w14:paraId="7FC54A89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做好#E法治网清朗雁塔#等2个品牌IP挖掘塑造，包括但不限于专题/专栏/话题搭建、内容填充、热度维护等；</w:t>
            </w:r>
          </w:p>
        </w:tc>
        <w:tc>
          <w:tcPr>
            <w:tcW w:w="2485" w:type="dxa"/>
            <w:vAlign w:val="center"/>
          </w:tcPr>
          <w:p w14:paraId="1C8862E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5DDE5239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71FA6243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75B54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368CCAC1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405" w:type="dxa"/>
          </w:tcPr>
          <w:p w14:paraId="4D682481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组织开展线上线下互动活动不少于2场次，并根据活动需求提供配套服务（包括但不限于摄影摄像、物料设计制作、宣传推广等）</w:t>
            </w:r>
          </w:p>
        </w:tc>
        <w:tc>
          <w:tcPr>
            <w:tcW w:w="2485" w:type="dxa"/>
            <w:vAlign w:val="center"/>
          </w:tcPr>
          <w:p w14:paraId="1314497A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2E61E82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A0E0D23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66DF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61494E40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405" w:type="dxa"/>
          </w:tcPr>
          <w:p w14:paraId="22B08674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及时通过全媒体平台对雁塔区重点信息内容进行传播推广。</w:t>
            </w:r>
          </w:p>
        </w:tc>
        <w:tc>
          <w:tcPr>
            <w:tcW w:w="2485" w:type="dxa"/>
            <w:vAlign w:val="center"/>
          </w:tcPr>
          <w:p w14:paraId="758D3B6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23CB4C3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3D253453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5AAC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761886D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405" w:type="dxa"/>
            <w:vAlign w:val="center"/>
          </w:tcPr>
          <w:p w14:paraId="08792500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485" w:type="dxa"/>
            <w:vAlign w:val="center"/>
          </w:tcPr>
          <w:p w14:paraId="3E09770F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5E5AA7B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43E36937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1D4C3361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07466D6B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2B0C9E34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6E9554BA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00D034AE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48EEFC0B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7D27D0AA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632D3376">
      <w:pPr>
        <w:spacing w:line="400" w:lineRule="exact"/>
        <w:rPr>
          <w:rFonts w:ascii="宋体" w:hAnsi="宋体" w:cs="宋体"/>
          <w:sz w:val="24"/>
        </w:rPr>
      </w:pPr>
    </w:p>
    <w:p w14:paraId="670BA948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792B7840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44CBCEA5">
      <w:pPr>
        <w:pStyle w:val="6"/>
        <w:ind w:firstLine="480" w:firstLineChars="20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ascii="宋体" w:hAnsi="宋体" w:eastAsia="宋体" w:cs="宋体"/>
          <w:kern w:val="2"/>
          <w:sz w:val="24"/>
          <w:szCs w:val="24"/>
        </w:rPr>
        <w:t>3、供应商必须据实填写，不得虚假填写，否则将取消其磋商或成交资格。</w:t>
      </w:r>
    </w:p>
    <w:p w14:paraId="35709A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B5127"/>
    <w:rsid w:val="5F8B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2026-08-25T02:03:00Z</dcterms:created>
  <dc:creator>华夏国际-招标部</dc:creator>
  <cp:lastModifiedBy>华夏国际-招标部</cp:lastModifiedBy>
  <dcterms:modified xsi:type="dcterms:W3CDTF">2026-08-25T02:04:07Z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941E1EDC752644EF81DB503BE94C8369_11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