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版本号：项目（采）2026-006号20260716001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1号教学楼拆除重建及教学辅助用房建设项目监理服务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项目（采）2026-006号</w:t>
      </w:r>
      <w:r>
        <w:br/>
      </w:r>
      <w:r>
        <w:br/>
      </w:r>
      <w:r>
        <w:br/>
      </w:r>
    </w:p>
    <w:p>
      <w:pPr>
        <w:pStyle w:val="null3"/>
        <w:jc w:val="center"/>
        <w:outlineLvl w:val="2"/>
      </w:pPr>
      <w:r>
        <w:rPr>
          <w:rFonts w:ascii="仿宋_GB2312" w:hAnsi="仿宋_GB2312" w:cs="仿宋_GB2312" w:eastAsia="仿宋_GB2312"/>
          <w:sz w:val="28"/>
          <w:b/>
        </w:rPr>
        <w:t>汉中市陕飞二小</w:t>
      </w:r>
    </w:p>
    <w:p>
      <w:pPr>
        <w:pStyle w:val="null3"/>
        <w:jc w:val="center"/>
        <w:outlineLvl w:val="2"/>
      </w:pPr>
      <w:r>
        <w:rPr>
          <w:rFonts w:ascii="仿宋_GB2312" w:hAnsi="仿宋_GB2312" w:cs="仿宋_GB2312" w:eastAsia="仿宋_GB2312"/>
          <w:sz w:val="28"/>
          <w:b/>
        </w:rPr>
        <w:t>陕西省工程监理有限责任公司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陕西省工程监理有限责任公司</w:t>
      </w:r>
      <w:r>
        <w:rPr>
          <w:rFonts w:ascii="仿宋_GB2312" w:hAnsi="仿宋_GB2312" w:cs="仿宋_GB2312" w:eastAsia="仿宋_GB2312"/>
        </w:rPr>
        <w:t>（以下简称“代理机构”）受</w:t>
      </w:r>
      <w:r>
        <w:rPr>
          <w:rFonts w:ascii="仿宋_GB2312" w:hAnsi="仿宋_GB2312" w:cs="仿宋_GB2312" w:eastAsia="仿宋_GB2312"/>
        </w:rPr>
        <w:t>汉中市陕飞二小</w:t>
      </w:r>
      <w:r>
        <w:rPr>
          <w:rFonts w:ascii="仿宋_GB2312" w:hAnsi="仿宋_GB2312" w:cs="仿宋_GB2312" w:eastAsia="仿宋_GB2312"/>
        </w:rPr>
        <w:t>委托，拟对</w:t>
      </w:r>
      <w:r>
        <w:rPr>
          <w:rFonts w:ascii="仿宋_GB2312" w:hAnsi="仿宋_GB2312" w:cs="仿宋_GB2312" w:eastAsia="仿宋_GB2312"/>
        </w:rPr>
        <w:t>1号教学楼拆除重建及教学辅助用房建设项目监理服务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项目（采）2026-006号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1号教学楼拆除重建及教学辅助用房建设项目监理服务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总建筑面积6997.8平方米，其中新建1号教学楼，建筑面积1526.8平方米，地上4层，建筑高度14米；新建综合楼(辅助用房)，建筑面积3020平方米(含地下设备用房221平方米)，地下1层、地上3层，建筑高度16米；对原有2号、3号教学楼进行结构加固及消防设施提升改造，建筑面积2220平方米；对原有4号楼进行修缮，建筑面积231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采购包1（汉中市陕飞二小1号教学楼拆除重建及教学辅助用房建设项目监理招标）：属于专门面向中小企业采购。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代理人身份证明：供应商应授权合法的人员参加磋商活动，非法定代表人参加磋商的，须提供法定代表人身份证明及被授权人授权书(附法定代表人及被授权人身份证复印件);法定代表人直接参加磋商的，须提供法定代表人身份证明(附法定代表人身份证复印件)；</w:t>
      </w:r>
    </w:p>
    <w:p>
      <w:pPr>
        <w:pStyle w:val="null3"/>
      </w:pPr>
      <w:r>
        <w:rPr>
          <w:rFonts w:ascii="仿宋_GB2312" w:hAnsi="仿宋_GB2312" w:cs="仿宋_GB2312" w:eastAsia="仿宋_GB2312"/>
        </w:rPr>
        <w:t>2、有效的主体资格证明：具有独立承担民事责任能力的法人、其他组织或自然人，并出具合法有效的营业执照或事业单位法 人证书等国家规定的相关证明，自然人参与的提供其身份证明；</w:t>
      </w:r>
    </w:p>
    <w:p>
      <w:pPr>
        <w:pStyle w:val="null3"/>
      </w:pPr>
      <w:r>
        <w:rPr>
          <w:rFonts w:ascii="仿宋_GB2312" w:hAnsi="仿宋_GB2312" w:cs="仿宋_GB2312" w:eastAsia="仿宋_GB2312"/>
        </w:rPr>
        <w:t>3、供应商资质：供应商须具备建设行政主管部门颁发的房屋建筑工程监理乙级及以上资质；供应商资质信息应在“陕西省住房和城乡建设厅网（http://js.shaanxi.gov.cn/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4、拟派项目总监资质和专业要求：拟派项目总监理工程师具备房屋建筑工程注册监理工程师，在本单位注册，且未担任其他在建工程项目的总监理工程师。</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6、联合体与分包：本采购项目不接受联合体响应，不允许分包，供应商应提供《非联合体和不分包声明》，视为独立响应和不分包。</w:t>
      </w:r>
    </w:p>
    <w:p>
      <w:pPr>
        <w:pStyle w:val="null3"/>
      </w:pPr>
      <w:r>
        <w:rPr>
          <w:rFonts w:ascii="仿宋_GB2312" w:hAnsi="仿宋_GB2312" w:cs="仿宋_GB2312" w:eastAsia="仿宋_GB2312"/>
        </w:rPr>
        <w:t>7、控股管理关系声明：单位负责人为同一人或存在控股、管理关系的不同单位，不得同时参加本项目磋商；供应商须提供《控股管理关系声明》；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汉中市陕飞二小</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汉中市城固县柳林镇崔家山陕飞大道以南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0916-2588343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陕西省工程监理有限责任公司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汉中市汉台区兴汉路牛家桥万嘉房产五楼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0916-8810552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采购包1：334,700.00元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开户名称：陕西省工程监理有限责任公司汉中分公司</w:t>
            </w:r>
          </w:p>
          <w:p>
            <w:pPr>
              <w:pStyle w:val="null3"/>
            </w:pPr>
            <w:r>
              <w:rPr>
                <w:rFonts w:ascii="仿宋_GB2312" w:hAnsi="仿宋_GB2312" w:cs="仿宋_GB2312" w:eastAsia="仿宋_GB2312"/>
              </w:rPr>
              <w:t>开户银行：中国建设银行股份有限公司汉中前进东路支行</w:t>
            </w:r>
          </w:p>
          <w:p>
            <w:pPr>
              <w:pStyle w:val="null3"/>
            </w:pPr>
            <w:r>
              <w:rPr>
                <w:rFonts w:ascii="仿宋_GB2312" w:hAnsi="仿宋_GB2312" w:cs="仿宋_GB2312" w:eastAsia="仿宋_GB2312"/>
              </w:rPr>
              <w:t>银行账号：6105 0165 0042 0000 0121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汉中市陕飞二小</w:t>
      </w:r>
      <w:r>
        <w:rPr>
          <w:rFonts w:ascii="仿宋_GB2312" w:hAnsi="仿宋_GB2312" w:cs="仿宋_GB2312" w:eastAsia="仿宋_GB2312"/>
        </w:rPr>
        <w:t>和</w:t>
      </w:r>
      <w:r>
        <w:rPr>
          <w:rFonts w:ascii="仿宋_GB2312" w:hAnsi="仿宋_GB2312" w:cs="仿宋_GB2312" w:eastAsia="仿宋_GB2312"/>
        </w:rPr>
        <w:t>陕西省工程监理有限责任公司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汉中市陕飞二小</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陕西省工程监理有限责任公司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汉中市陕飞二小</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陕西省工程监理有限责任公司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构成本采购文件各个组成部分的文件，未经招标人书面同意，供应商不得擅自复印和用于非本采购项目所需的其他目的。采购人全部或者部分使用未成交供应商响应文件中的技术成果或技术方案时，需征得其书面同意，并不得擅自复印或提供给第三人。</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工程监理标准应执行国家最新频布的《建设工程监理规范》及省、市或行业的相关规定。工程质量要求应达到国家质量检验与评定标准合格质量等级，具体以采购人与供应商签订的合同为准。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陕西省工程监理有限责任公司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陕西省工程监理有限责任公司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陕西省工程监理有限责任公司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联系人：姚工</w:t>
      </w:r>
    </w:p>
    <w:p>
      <w:pPr>
        <w:pStyle w:val="null3"/>
      </w:pPr>
      <w:r>
        <w:rPr>
          <w:rFonts w:ascii="仿宋_GB2312" w:hAnsi="仿宋_GB2312" w:cs="仿宋_GB2312" w:eastAsia="仿宋_GB2312"/>
        </w:rPr>
        <w:t>联系电话：0916-8810552</w:t>
      </w:r>
    </w:p>
    <w:p>
      <w:pPr>
        <w:pStyle w:val="null3"/>
      </w:pPr>
      <w:r>
        <w:rPr>
          <w:rFonts w:ascii="仿宋_GB2312" w:hAnsi="仿宋_GB2312" w:cs="仿宋_GB2312" w:eastAsia="仿宋_GB2312"/>
        </w:rPr>
        <w:t>地址：汉中市汉台区兴汉路牛家桥万嘉房产五楼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总建筑面积6997.80平方米，其中：新建1号教学楼建筑面积1526.80平方米，地上4层，建筑高度14米；新建综合楼(辅助用房)建筑面积3020平方米(含地下设备用房221平方米)，地下局部1层、地上3层，建筑高度16米；对原有2号、3号教学楼进行结构加固及消防设施提升改造，建筑面积2220平方米；对原有4号楼进行修缮，建筑面积231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334,700.00</w:t>
      </w:r>
    </w:p>
    <w:p>
      <w:pPr>
        <w:pStyle w:val="null3"/>
      </w:pPr>
      <w:r>
        <w:rPr>
          <w:rFonts w:ascii="仿宋_GB2312" w:hAnsi="仿宋_GB2312" w:cs="仿宋_GB2312" w:eastAsia="仿宋_GB2312"/>
        </w:rPr>
        <w:t>采购包最高限价（元）: 334,700.00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汉中市陕飞二小1号教学楼拆除重建及教学辅助用房建设项目监理服务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334,700.00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标的名称：汉中市陕飞二小1号教学楼拆除重建及教学辅助用房建设项目监理服务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1.建设地点：汉中市城固县柳林镇崔家山陕飞大道以南陕飞二中和陕飞二小校园内；</w:t>
            </w:r>
            <w:r>
              <w:br/>
            </w:r>
            <w:r>
              <w:rPr>
                <w:rFonts w:ascii="仿宋_GB2312" w:hAnsi="仿宋_GB2312" w:cs="仿宋_GB2312" w:eastAsia="仿宋_GB2312"/>
              </w:rPr>
              <w:t xml:space="preserve"> 2.建设规模：项目总建筑面积6997.8平方米，其中新建1号教学楼，建筑面积1526.8平方米，地上4层，建筑高度14米；新建综合楼(辅助用房)，建筑面积3020平方米(含地下设备用房221平方米)，地下1层、地上3层，建筑高度16米；对原有2号、3号教学楼进行结构加固及消防设施提升改造，建筑面积2220平方米；对原有4号楼进行修缮，建筑面积231平方米。</w:t>
            </w:r>
            <w:r>
              <w:br/>
            </w:r>
            <w:r>
              <w:rPr>
                <w:rFonts w:ascii="仿宋_GB2312" w:hAnsi="仿宋_GB2312" w:cs="仿宋_GB2312" w:eastAsia="仿宋_GB2312"/>
              </w:rPr>
              <w:t xml:space="preserve"> 3.本项目施工招标最高限价为15753621.23元</w:t>
            </w:r>
            <w:r>
              <w:br/>
            </w:r>
            <w:r>
              <w:rPr>
                <w:rFonts w:ascii="仿宋_GB2312" w:hAnsi="仿宋_GB2312" w:cs="仿宋_GB2312" w:eastAsia="仿宋_GB2312"/>
              </w:rPr>
              <w:t xml:space="preserve"> 二、监理范围：</w:t>
            </w:r>
            <w:r>
              <w:br/>
            </w:r>
            <w:r>
              <w:rPr>
                <w:rFonts w:ascii="仿宋_GB2312" w:hAnsi="仿宋_GB2312" w:cs="仿宋_GB2312" w:eastAsia="仿宋_GB2312"/>
              </w:rPr>
              <w:t xml:space="preserve"> 拟对陕飞二小1号教学楼拆除重建及教学辅助用房建设项目开展施工阶段全过程监理服务，对项目实施过程进行监督、验收阶段监理及竣工验收资料移交的监理等相关工作。</w:t>
            </w:r>
            <w:r>
              <w:br/>
            </w:r>
            <w:r>
              <w:rPr>
                <w:rFonts w:ascii="仿宋_GB2312" w:hAnsi="仿宋_GB2312" w:cs="仿宋_GB2312" w:eastAsia="仿宋_GB2312"/>
              </w:rPr>
              <w:t xml:space="preserve"> 三、监理内容：</w:t>
            </w:r>
            <w:r>
              <w:br/>
            </w:r>
            <w:r>
              <w:rPr>
                <w:rFonts w:ascii="仿宋_GB2312" w:hAnsi="仿宋_GB2312" w:cs="仿宋_GB2312" w:eastAsia="仿宋_GB2312"/>
              </w:rPr>
              <w:t xml:space="preserve"> （1）质量控制：必须严格依照国家有关规定，检查施工单位所施工的项目是否符合预定的质量要求，而且整个监理工作中应强调对工程质量的事前控制、事中监管和事后评估。</w:t>
            </w:r>
            <w:r>
              <w:br/>
            </w:r>
            <w:r>
              <w:rPr>
                <w:rFonts w:ascii="仿宋_GB2312" w:hAnsi="仿宋_GB2312" w:cs="仿宋_GB2312" w:eastAsia="仿宋_GB2312"/>
              </w:rPr>
              <w:t xml:space="preserve"> （2）进度控制：在工程实施过程中，监理工程师严格按照采购文件、合同、施工进度计划的要求，对施工进度进行跟进，确保整体施工有序进行。确保工程开、竣工时间进度计划按时完成。</w:t>
            </w:r>
            <w:r>
              <w:br/>
            </w:r>
            <w:r>
              <w:rPr>
                <w:rFonts w:ascii="仿宋_GB2312" w:hAnsi="仿宋_GB2312" w:cs="仿宋_GB2312" w:eastAsia="仿宋_GB2312"/>
              </w:rPr>
              <w:t xml:space="preserve"> （3）安全目标：不发生人身安全事故；不发生较大机械设备损坏事故；不发生较大火灾事故；不发生负主要责任的较大交通事故；不发生因工程项目建设而造成的电网停电事故,不发生重大环境污染事故。工程施工阶段的安全生产管理任务：对施工单位安全生产管理进行监督；督促施工单位进行安全自查工作，巡视巡查施工现场安全生产情况，对实施监理过程中，发现存在安全事故隐患的，应签发书面通知单，要求施工单位整改；情况严重的要及时下达工程暂停指令，并上报甲方。</w:t>
            </w:r>
            <w:r>
              <w:br/>
            </w:r>
            <w:r>
              <w:rPr>
                <w:rFonts w:ascii="仿宋_GB2312" w:hAnsi="仿宋_GB2312" w:cs="仿宋_GB2312" w:eastAsia="仿宋_GB2312"/>
              </w:rPr>
              <w:t xml:space="preserve"> （4）监理人员名单组成：项目要求配备一名总监理工程师及三名以上监理人员全程跟进，其余人员可根据施工进度派驻合理人数，所有参与监理人员须持证上岗，项目实施过程中，不得更换监理人员。</w:t>
            </w:r>
            <w:r>
              <w:br/>
            </w:r>
            <w:r>
              <w:rPr>
                <w:rFonts w:ascii="仿宋_GB2312" w:hAnsi="仿宋_GB2312" w:cs="仿宋_GB2312" w:eastAsia="仿宋_GB2312"/>
              </w:rPr>
              <w:t xml:space="preserve"> （5）所有程序必须符合国家相关监理规定和国家工程质量验收合格标准。</w:t>
            </w:r>
            <w:r>
              <w:br/>
            </w:r>
            <w:r>
              <w:rPr>
                <w:rFonts w:ascii="仿宋_GB2312" w:hAnsi="仿宋_GB2312" w:cs="仿宋_GB2312" w:eastAsia="仿宋_GB2312"/>
              </w:rPr>
              <w:t xml:space="preserve"> 四、技术标准：</w:t>
            </w:r>
            <w:r>
              <w:br/>
            </w:r>
            <w:r>
              <w:rPr>
                <w:rFonts w:ascii="仿宋_GB2312" w:hAnsi="仿宋_GB2312" w:cs="仿宋_GB2312" w:eastAsia="仿宋_GB2312"/>
              </w:rPr>
              <w:t xml:space="preserve"> 工程监理标准应执行国家最新频布的《建设工程监理规范》及省、市或行业的相关规定。工程质量要求应达到国家质量检验与评定标准合格质量等级，具体以采购人与供应商签订的合同为准。</w:t>
            </w:r>
            <w:r>
              <w:br/>
            </w:r>
            <w:r>
              <w:rPr>
                <w:rFonts w:ascii="仿宋_GB2312" w:hAnsi="仿宋_GB2312" w:cs="仿宋_GB2312" w:eastAsia="仿宋_GB2312"/>
              </w:rPr>
              <w:t xml:space="preserve"> 五、监理服务周期要求：</w:t>
            </w:r>
            <w:r>
              <w:br/>
            </w:r>
            <w:r>
              <w:rPr>
                <w:rFonts w:ascii="仿宋_GB2312" w:hAnsi="仿宋_GB2312" w:cs="仿宋_GB2312" w:eastAsia="仿宋_GB2312"/>
              </w:rPr>
              <w:t xml:space="preserve"> 从工程施工之日起至竣工验收、资料归档备案，同施工周期。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拟派⼈员数量、专业配置、技术经验应完全满⾜项⽬的需要。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从工程施工之日起至竣工验收、资料归档备案，同施工周期。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汉中市城固县柳林镇崔家山陕飞大道以南陕飞二中和陕飞二小校园内；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工程监理标准应执行国家最新频布的《建设工程监理规范》及省、市或行业的相关规定。工程质量要求应达到国家质量检验与评定标准合格质量等级，具体以采购人与供应商签订的合同为准。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进度款，监理机构进驻现场，施工单位开工后，达到付款条件起15个工作日内，支付合同总金额的40.0%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进度款，工程完工达到初验条件，达到付款条件起15个工作日内，支付合同总金额的40.0%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进度款，待项目完工移交监理资料后，达到付款条件起15个工作日内，支付合同总金额的20.0%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按照采购文件和合同等相关文件约定执行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方便采购人备案留存工作，成交供应商需在成交结果公示结束后5个工作日内向采购代理机构提交签章齐全的纸质版（1正2副）及电子版U盘2份（电子版U盘内容与系统上传内容完全一致），纸质版响应文件必须采用A4纸打印，分别各自装订成册，成交供应商应保持响应文件纸质版内容、电子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供应商须提供《汉中市政府采购供应商资格承诺函》并签字盖章。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法定代表人或授权代理人身份证明</w:t>
            </w:r>
          </w:p>
        </w:tc>
        <w:tc>
          <w:tcPr>
            <w:tcW w:type="dxa" w:w="3322"/>
          </w:tcPr>
          <w:p>
            <w:pPr>
              <w:pStyle w:val="null3"/>
            </w:pPr>
            <w:r>
              <w:rPr>
                <w:rFonts w:ascii="仿宋_GB2312" w:hAnsi="仿宋_GB2312" w:cs="仿宋_GB2312" w:eastAsia="仿宋_GB2312"/>
              </w:rPr>
              <w:t>供应商应授权合法的人员参加磋商活动，非法定代表人参加磋商的，须提供法定代表人身份证明及被授权人授权书(附法定代表人及被授权人身份证复印件);法定代表人直接参加磋商的，须提供法定代表人身份证明(附法定代表人身份证复印件)；</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服务内容及服务要求应答表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 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供应商须具备建设行政主管部门颁发的房屋建筑工程监理乙级及以上资质；供应商资质信息应在“陕西省住房和城乡建设厅网（http://js.shaanxi.gov.cn/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服务内容及服务要求应答表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拟派项目总监资质和专业要求</w:t>
            </w:r>
          </w:p>
        </w:tc>
        <w:tc>
          <w:tcPr>
            <w:tcW w:type="dxa" w:w="3322"/>
          </w:tcPr>
          <w:p>
            <w:pPr>
              <w:pStyle w:val="null3"/>
            </w:pPr>
            <w:r>
              <w:rPr>
                <w:rFonts w:ascii="仿宋_GB2312" w:hAnsi="仿宋_GB2312" w:cs="仿宋_GB2312" w:eastAsia="仿宋_GB2312"/>
              </w:rPr>
              <w:t>拟派项目总监理工程师具备房屋建筑工程注册监理工程师，在本单位注册，且未担任其他在建工程项目的总监理工程师。</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服务内容及服务要求应答表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服务内容及服务要求应答表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联合体与分包</w:t>
            </w:r>
          </w:p>
        </w:tc>
        <w:tc>
          <w:tcPr>
            <w:tcW w:type="dxa" w:w="3322"/>
          </w:tcPr>
          <w:p>
            <w:pPr>
              <w:pStyle w:val="null3"/>
            </w:pPr>
            <w:r>
              <w:rPr>
                <w:rFonts w:ascii="仿宋_GB2312" w:hAnsi="仿宋_GB2312" w:cs="仿宋_GB2312" w:eastAsia="仿宋_GB2312"/>
              </w:rPr>
              <w:t>本采购项目不接受联合体响应，不允许分包，供应商应提供《非联合体和不分包声明》，视为独立响应和不分包。</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服务内容及服务要求应答表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单位负责人为同一人或存在控股、管理关系的不同单位，不得同时参加本项目磋商；供应商须提供《控股管理关系声明》；</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服务内容及服务要求应答表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只能有一个有效报价，不得提交选择性报价，且报价没有超出采购预算或磋商文件规定的最高限价。</w:t>
            </w:r>
          </w:p>
        </w:tc>
        <w:tc>
          <w:tcPr>
            <w:tcW w:type="dxa" w:w="1661"/>
          </w:tcPr>
          <w:p>
            <w:pPr>
              <w:pStyle w:val="null3"/>
            </w:pPr>
            <w:r>
              <w:rPr>
                <w:rFonts w:ascii="仿宋_GB2312" w:hAnsi="仿宋_GB2312" w:cs="仿宋_GB2312" w:eastAsia="仿宋_GB2312"/>
              </w:rPr>
              <w:t>响应文件封面 商务应答表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监理服务周期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商务应答表 服务方案 服务内容及服务要求应答表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响应文件封面 供应商应提交的相关资格证明材料</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至少包括①对项目的理解分析；②监理总体的工作目标；③监理内容；④服务方式和监理流程；⑤公司有健全的组织机构等。共5项内容，每项满分3分。内容完整，符合项目实际需求，得满分，评审内容每缺⼀项内容扣3分。评审内容有瑕疵的，每出现⼀次扣0.5分，扣完为止。 备注：响应内容“瑕疵”是指：内容粗略、逻辑混乱、描述过于简单、与项⽬特点不匹配、逻辑漏洞、出现常识性错误、存在不适用项⽬实际情况的情形或只有标题没有实质性内容等。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进度控制措施：至少包含①施工进度的审查方案；②确保施工进度的保障措施；③过程中各类可能影响施工进度的特殊情况及解决方案。共3项内容，每项满分2分。方案内容完整，符合项目实际需求，得满分，评审内容每缺⼀项内容扣2分。评审内容有瑕疵的，每出现⼀次扣0.5分，扣完为止。 备注：响应内容“瑕疵”是指：内容粗略、逻辑混乱、描述过于简单、与项⽬特点不匹配、逻辑漏洞、出现常识性错误、存在不适用项⽬实际情况的情形或只有标题没有实质性内容等。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质量控制措施：至少包含①施工各阶段的质量控制方案；②施工过程中各类材料的质量控制方案。共2项内容，每项满分2分。方案内容完整，符合项目实际需求，得满分，评审内容每缺⼀项内容扣2分。评审内容有瑕疵的，每出现⼀次扣0.5分，扣完为止。 备注：响应内容“瑕疵”是指：内容粗略、逻辑混乱、描述过于简单、与项⽬特点不匹配、逻辑漏洞、出现常识性错误、存在不适用项⽬实际情况的情形或只有标题没有实质性内容等。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材料、设备进场管理及措施、合同、文档及资料管理方案</w:t>
            </w:r>
          </w:p>
        </w:tc>
        <w:tc>
          <w:tcPr>
            <w:tcW w:type="dxa" w:w="2492"/>
          </w:tcPr>
          <w:p>
            <w:pPr>
              <w:pStyle w:val="null3"/>
            </w:pPr>
            <w:r>
              <w:rPr>
                <w:rFonts w:ascii="仿宋_GB2312" w:hAnsi="仿宋_GB2312" w:cs="仿宋_GB2312" w:eastAsia="仿宋_GB2312"/>
              </w:rPr>
              <w:t>材料、设备进场管理及措施、合同、文档及资料管理方案：至少包含①材料、设备进场管理及措施；②合同、文档资料的移交和管理方案。共2项内容，每项满分2.5分。内容完整，符合项目实际需求，得满分，评审内容每缺⼀项内容扣2.5分。评审内容有瑕疵的，每出现⼀次扣0.5分，扣完为止。 备注：响应内容“瑕疵”是指：内容粗略、逻辑混乱、描述过于简单、与项⽬特点不匹配、逻辑漏洞、出现常识性错误、存在不适用项⽬实际情况的情形或只有标题没有实质性内容等。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至少包括①应急响应时间；②应急保障措施等。共2项内容，每项满分2.5分。内容完整，符合项目实际需求，得满分，评审内容每缺⼀项内容扣2.5分。评审内容有瑕疵的，每出现⼀次扣0.5分，扣完为止。 备注：响应内容“瑕疵”是指：内容粗略、逻辑混乱、描述过于简单、与项⽬特点不匹配、逻辑漏洞、出现常识性错误、存在不适用项⽬实际情况的情形或只有标题没有实质性内容等。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监理服务承诺</w:t>
            </w:r>
          </w:p>
        </w:tc>
        <w:tc>
          <w:tcPr>
            <w:tcW w:type="dxa" w:w="2492"/>
          </w:tcPr>
          <w:p>
            <w:pPr>
              <w:pStyle w:val="null3"/>
            </w:pPr>
            <w:r>
              <w:rPr>
                <w:rFonts w:ascii="仿宋_GB2312" w:hAnsi="仿宋_GB2312" w:cs="仿宋_GB2312" w:eastAsia="仿宋_GB2312"/>
              </w:rPr>
              <w:t>监理服务承诺: 至少包括①服务质量承诺；②服务周期承诺。共2项内容，每项满分2.5分。内容完整，符合项目实际需求，得满分，评审内容每缺⼀项内容扣2.5分。评审内容有瑕疵的，每出现⼀次扣0.5分，扣完为止。 备注：响应内容“瑕疵”是指：内容粗略、逻辑混乱、描述过于简单、与项⽬特点不匹配、逻辑漏洞、出现常识性错误、存在不适用项⽬实际情况的情形或只有标题没有实质性内容等。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交通服务保障</w:t>
            </w:r>
          </w:p>
        </w:tc>
        <w:tc>
          <w:tcPr>
            <w:tcW w:type="dxa" w:w="2492"/>
          </w:tcPr>
          <w:p>
            <w:pPr>
              <w:pStyle w:val="null3"/>
            </w:pPr>
            <w:r>
              <w:rPr>
                <w:rFonts w:ascii="仿宋_GB2312" w:hAnsi="仿宋_GB2312" w:cs="仿宋_GB2312" w:eastAsia="仿宋_GB2312"/>
              </w:rPr>
              <w:t>承诺或提供能满足本项目监理工作需要的交通车辆（自有或长期租赁均可），备注：提供车辆行驶证复印件或租赁合同复印件或书面承诺函，满分6分，未提供不得分。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提供质量管理体系、环境管理体系、职业安全健康管理体系认证证书及在全国认证认可信息公共服务平台（网址http://cx.cnca.cn/）查询的三体系网页截图，证书及截图齐全得满分6分，评审内容每缺⼀项扣1分。评审依据：以供应商提供加盖公章有效期内的网页截图及体系认证证书复印（或扫描）件为准，未提供的或所提供资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1.拟派项目总监理工程师具备工程类本科及以上学历得5分，大专学历得2分，其余情况不得分。评审依据：以供应商提供加盖公章的学历证书复印（或扫描）件为准。 2.具备工程类中级及以上技术职称得3分，以下不得分。评审依据：以供应商提供加盖公章的职称证复印（或扫描）件为准； 3.提供2023年1月1日(成交（中标）通知书或合同签订时间为准)以来类似项⽬监理业绩证明材料（且在该项目中担任总监理工程师一职）；提供1项业绩得2.5分，最高得5分。评审依据：以供应商提供加盖公章的成交（中标）通知书或合同复印（或扫描）件为准，合同或中标通知书中应体现担任总监理工程师一职的相关信息。未提供的或所提供资料不符合要求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项目团队人员至少应包括（除拟派项目总监理工程师外）：土建专业1人、电气专业1人、安全专业1人、机电安装专业1人、造价专业1人。满足以上全部要求的得10分；缺少一个人扣2分，扣完为止。评审依据：以供应商提供加盖公章的团队人员有效内的执业资格证书复印（或扫描）件为准。未提供的或所提供资料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人员驻场承诺</w:t>
            </w:r>
          </w:p>
        </w:tc>
        <w:tc>
          <w:tcPr>
            <w:tcW w:type="dxa" w:w="2492"/>
          </w:tcPr>
          <w:p>
            <w:pPr>
              <w:pStyle w:val="null3"/>
            </w:pPr>
            <w:r>
              <w:rPr>
                <w:rFonts w:ascii="仿宋_GB2312" w:hAnsi="仿宋_GB2312" w:cs="仿宋_GB2312" w:eastAsia="仿宋_GB2312"/>
              </w:rPr>
              <w:t>供应商提供书面承诺：1、总监理工程师每月驻场≥22天，2、专业监理工程师全周期驻场。评审依据：每提供一份法定代表人签字并加盖公章的书面承诺函得2分，最高得4分。缺项或者未提供不得分。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2023年1⽉1⽇(成交（中标）通知书或合同签订时间为准)以来类似项⽬的业绩证明材料（每提供⼀份得2分）最⾼得6分。未提供不得分。评审依据：以供应商提供加盖公章的成交（中标）通知书或合同复印（或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承诺或提供以下设备包括但不限于：全站仪、经纬仪、水准仪、激光测距仪、混凝土强度检测仪、激光垂准仪等项目使用仪器。评审依据：以供应商提供加盖公章的设备购置发票复印（或扫描）件或书面承诺函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经资格审查、符合性审查合格的响应文件，其磋商报价为有效报价。 1.上限为采购预算价，即报价大于上限价视为无效标； 2.以满足本次磋商文件要求的最低报价为评审基准价，其价格为满分； 3.响应人最终报价得分=（评审基准价/最终磋商报价）×10%×100。 4.本项目为专门面向中小企业采购，专门面向中小企业采购的项目，不再执行价格评审优惠的扶持政策。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详见附件：拟签订的监理合同.docx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