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7F562E">
      <w:pPr>
        <w:widowControl/>
        <w:spacing w:after="240" w:afterLines="100" w:line="400" w:lineRule="atLeast"/>
        <w:ind w:firstLine="660" w:firstLineChars="150"/>
        <w:jc w:val="center"/>
        <w:rPr>
          <w:rFonts w:hint="eastAsia" w:ascii="宋体" w:hAnsi="宋体" w:eastAsia="宋体" w:cs="宋体"/>
          <w:sz w:val="44"/>
          <w:szCs w:val="44"/>
          <w:highlight w:val="none"/>
        </w:rPr>
      </w:pPr>
      <w:r>
        <w:rPr>
          <w:rFonts w:hint="eastAsia" w:ascii="宋体" w:hAnsi="宋体" w:eastAsia="宋体" w:cs="宋体"/>
          <w:sz w:val="44"/>
          <w:szCs w:val="44"/>
          <w:highlight w:val="none"/>
        </w:rPr>
        <w:t>政府采购合同格式</w:t>
      </w:r>
    </w:p>
    <w:p w14:paraId="55E008A4">
      <w:pPr>
        <w:widowControl/>
        <w:spacing w:after="240" w:afterLines="100" w:line="400" w:lineRule="atLeast"/>
        <w:ind w:firstLine="360" w:firstLineChars="15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（注：仅供参考，最终以双方签订的合同为准）</w:t>
      </w:r>
    </w:p>
    <w:p w14:paraId="630BFD46">
      <w:pPr>
        <w:pStyle w:val="7"/>
        <w:spacing w:line="360" w:lineRule="auto"/>
        <w:ind w:firstLine="420"/>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合同编号： </w:t>
      </w:r>
    </w:p>
    <w:p w14:paraId="5DC2CD60">
      <w:pPr>
        <w:pStyle w:val="7"/>
        <w:spacing w:line="360" w:lineRule="auto"/>
        <w:ind w:firstLine="420"/>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签订地点： </w:t>
      </w:r>
    </w:p>
    <w:p w14:paraId="3321082D">
      <w:pPr>
        <w:pStyle w:val="7"/>
        <w:spacing w:line="360" w:lineRule="auto"/>
        <w:ind w:firstLine="420"/>
        <w:rPr>
          <w:rFonts w:hint="eastAsia" w:ascii="宋体" w:hAnsi="宋体" w:eastAsia="宋体" w:cs="宋体"/>
          <w:sz w:val="21"/>
          <w:szCs w:val="21"/>
          <w:highlight w:val="none"/>
        </w:rPr>
      </w:pPr>
      <w:r>
        <w:rPr>
          <w:rFonts w:hint="eastAsia" w:ascii="宋体" w:hAnsi="宋体" w:eastAsia="宋体" w:cs="宋体"/>
          <w:sz w:val="21"/>
          <w:szCs w:val="21"/>
          <w:highlight w:val="none"/>
        </w:rPr>
        <w:t>签订时间:</w:t>
      </w:r>
    </w:p>
    <w:p w14:paraId="254BBF1F">
      <w:pPr>
        <w:pStyle w:val="7"/>
        <w:spacing w:line="360" w:lineRule="auto"/>
        <w:ind w:firstLine="420"/>
        <w:rPr>
          <w:rFonts w:hint="eastAsia" w:ascii="宋体" w:hAnsi="宋体" w:eastAsia="宋体" w:cs="宋体"/>
          <w:sz w:val="21"/>
          <w:szCs w:val="21"/>
          <w:highlight w:val="none"/>
        </w:rPr>
      </w:pPr>
      <w:r>
        <w:rPr>
          <w:rFonts w:hint="eastAsia" w:ascii="宋体" w:hAnsi="宋体" w:eastAsia="宋体" w:cs="宋体"/>
          <w:sz w:val="21"/>
          <w:szCs w:val="21"/>
          <w:highlight w:val="none"/>
        </w:rPr>
        <w:t>本合同为中小企业预留份额合同</w:t>
      </w:r>
    </w:p>
    <w:p w14:paraId="4CD5DB3A">
      <w:pPr>
        <w:pStyle w:val="7"/>
        <w:spacing w:line="360" w:lineRule="auto"/>
        <w:ind w:firstLine="420"/>
        <w:rPr>
          <w:rFonts w:hint="eastAsia" w:ascii="宋体" w:hAnsi="宋体" w:eastAsia="宋体" w:cs="宋体"/>
          <w:sz w:val="21"/>
          <w:szCs w:val="21"/>
          <w:highlight w:val="none"/>
        </w:rPr>
      </w:pPr>
      <w:r>
        <w:rPr>
          <w:rFonts w:hint="eastAsia" w:ascii="宋体" w:hAnsi="宋体" w:eastAsia="宋体" w:cs="宋体"/>
          <w:sz w:val="21"/>
          <w:szCs w:val="21"/>
          <w:highlight w:val="none"/>
        </w:rPr>
        <w:t>采购人（甲方）：</w:t>
      </w:r>
    </w:p>
    <w:p w14:paraId="5492A451">
      <w:pPr>
        <w:pStyle w:val="7"/>
        <w:spacing w:line="360" w:lineRule="auto"/>
        <w:ind w:firstLine="420"/>
        <w:rPr>
          <w:rFonts w:hint="eastAsia" w:ascii="宋体" w:hAnsi="宋体" w:eastAsia="宋体" w:cs="宋体"/>
          <w:sz w:val="21"/>
          <w:szCs w:val="21"/>
          <w:highlight w:val="none"/>
        </w:rPr>
      </w:pPr>
      <w:r>
        <w:rPr>
          <w:rFonts w:hint="eastAsia" w:ascii="宋体" w:hAnsi="宋体" w:eastAsia="宋体" w:cs="宋体"/>
          <w:sz w:val="21"/>
          <w:szCs w:val="21"/>
          <w:highlight w:val="none"/>
          <w:lang w:eastAsia="zh-CN"/>
        </w:rPr>
        <w:t>投标人</w:t>
      </w:r>
      <w:r>
        <w:rPr>
          <w:rFonts w:hint="eastAsia" w:ascii="宋体" w:hAnsi="宋体" w:eastAsia="宋体" w:cs="宋体"/>
          <w:sz w:val="21"/>
          <w:szCs w:val="21"/>
          <w:highlight w:val="none"/>
        </w:rPr>
        <w:t>（乙方）：</w:t>
      </w:r>
    </w:p>
    <w:p w14:paraId="65A671C8">
      <w:pPr>
        <w:pStyle w:val="7"/>
        <w:spacing w:before="120" w:beforeLines="50" w:line="360" w:lineRule="auto"/>
        <w:ind w:firstLine="420"/>
        <w:rPr>
          <w:rFonts w:hint="eastAsia" w:ascii="宋体" w:hAnsi="宋体" w:eastAsia="宋体" w:cs="宋体"/>
          <w:sz w:val="21"/>
          <w:szCs w:val="21"/>
          <w:highlight w:val="none"/>
        </w:rPr>
      </w:pPr>
      <w:r>
        <w:rPr>
          <w:rFonts w:hint="eastAsia" w:ascii="宋体" w:hAnsi="宋体" w:eastAsia="宋体" w:cs="宋体"/>
          <w:sz w:val="21"/>
          <w:szCs w:val="21"/>
          <w:highlight w:val="none"/>
        </w:rPr>
        <w:t>根据《中华人民共和国政府采购法》及实施条例、《中华人民共和国民法典》和甲方</w:t>
      </w:r>
      <w:r>
        <w:rPr>
          <w:rFonts w:hint="eastAsia" w:ascii="宋体" w:hAnsi="宋体" w:cs="宋体"/>
          <w:sz w:val="21"/>
          <w:szCs w:val="21"/>
          <w:highlight w:val="none"/>
          <w:u w:val="single"/>
          <w:lang w:val="en-US" w:eastAsia="zh-CN"/>
        </w:rPr>
        <w:t xml:space="preserve">           </w:t>
      </w:r>
      <w:r>
        <w:rPr>
          <w:rFonts w:hint="eastAsia" w:ascii="宋体" w:hAnsi="宋体" w:eastAsia="宋体" w:cs="宋体"/>
          <w:sz w:val="21"/>
          <w:szCs w:val="21"/>
          <w:highlight w:val="none"/>
          <w:u w:val="single"/>
        </w:rPr>
        <w:t>监理采购采购项目</w:t>
      </w:r>
      <w:r>
        <w:rPr>
          <w:rFonts w:hint="eastAsia" w:ascii="宋体" w:hAnsi="宋体" w:eastAsia="宋体" w:cs="宋体"/>
          <w:sz w:val="21"/>
          <w:szCs w:val="21"/>
          <w:highlight w:val="none"/>
        </w:rPr>
        <w:t>（采购项目编号：</w:t>
      </w:r>
      <w:r>
        <w:rPr>
          <w:rFonts w:hint="eastAsia" w:ascii="宋体" w:hAnsi="宋体" w:cs="宋体"/>
          <w:sz w:val="21"/>
          <w:szCs w:val="21"/>
          <w:highlight w:val="none"/>
          <w:lang w:val="en-US" w:eastAsia="zh-CN"/>
        </w:rPr>
        <w:t xml:space="preserve">  </w:t>
      </w:r>
      <w:r>
        <w:rPr>
          <w:rFonts w:hint="eastAsia" w:ascii="宋体" w:hAnsi="宋体" w:eastAsia="宋体" w:cs="宋体"/>
          <w:sz w:val="21"/>
          <w:szCs w:val="21"/>
          <w:highlight w:val="none"/>
        </w:rPr>
        <w:t>）的</w:t>
      </w:r>
      <w:r>
        <w:rPr>
          <w:rFonts w:hint="eastAsia" w:ascii="宋体" w:hAnsi="宋体" w:cs="宋体"/>
          <w:sz w:val="21"/>
          <w:szCs w:val="21"/>
          <w:highlight w:val="none"/>
          <w:lang w:val="en-US" w:eastAsia="zh-CN"/>
        </w:rPr>
        <w:t>竞争性磋商</w:t>
      </w:r>
      <w:r>
        <w:rPr>
          <w:rFonts w:hint="eastAsia" w:ascii="宋体" w:hAnsi="宋体" w:eastAsia="宋体" w:cs="宋体"/>
          <w:sz w:val="21"/>
          <w:szCs w:val="21"/>
          <w:highlight w:val="none"/>
        </w:rPr>
        <w:t>文件、</w:t>
      </w:r>
      <w:r>
        <w:rPr>
          <w:rFonts w:hint="eastAsia" w:ascii="宋体" w:hAnsi="宋体" w:cs="宋体"/>
          <w:sz w:val="21"/>
          <w:szCs w:val="21"/>
          <w:highlight w:val="none"/>
          <w:lang w:val="en-US" w:eastAsia="zh-CN"/>
        </w:rPr>
        <w:t>响应</w:t>
      </w:r>
      <w:r>
        <w:rPr>
          <w:rFonts w:hint="eastAsia" w:ascii="宋体" w:hAnsi="宋体" w:eastAsia="宋体" w:cs="宋体"/>
          <w:sz w:val="21"/>
          <w:szCs w:val="21"/>
          <w:highlight w:val="none"/>
        </w:rPr>
        <w:t>文件等有关规定，为确保甲方采购项目的顺利实施，甲、乙双方在平等自愿原则下签订本合同，并共同遵守如下条款：</w:t>
      </w:r>
    </w:p>
    <w:p w14:paraId="2ADB4CB5">
      <w:pPr>
        <w:numPr>
          <w:ilvl w:val="0"/>
          <w:numId w:val="1"/>
        </w:numPr>
        <w:spacing w:before="120" w:beforeLines="50" w:after="120" w:afterLines="50" w:line="360" w:lineRule="auto"/>
        <w:ind w:left="1519" w:hanging="1094"/>
        <w:rPr>
          <w:rFonts w:hint="eastAsia" w:ascii="宋体" w:hAnsi="宋体" w:eastAsia="宋体" w:cs="宋体"/>
          <w:b/>
          <w:sz w:val="30"/>
          <w:szCs w:val="30"/>
          <w:highlight w:val="none"/>
        </w:rPr>
      </w:pPr>
      <w:r>
        <w:rPr>
          <w:rFonts w:hint="eastAsia" w:ascii="宋体" w:hAnsi="宋体" w:eastAsia="宋体" w:cs="宋体"/>
          <w:b/>
          <w:sz w:val="30"/>
          <w:szCs w:val="30"/>
          <w:highlight w:val="none"/>
        </w:rPr>
        <w:t>项目基本情况</w:t>
      </w:r>
    </w:p>
    <w:p w14:paraId="492749CC">
      <w:pPr>
        <w:pStyle w:val="4"/>
        <w:ind w:firstLine="630" w:firstLineChars="300"/>
        <w:rPr>
          <w:rFonts w:hint="eastAsia"/>
        </w:rPr>
      </w:pPr>
      <w:r>
        <w:rPr>
          <w:rFonts w:hint="eastAsia" w:ascii="宋体" w:hAnsi="宋体" w:eastAsia="宋体" w:cs="宋体"/>
          <w:kern w:val="2"/>
          <w:sz w:val="21"/>
          <w:szCs w:val="21"/>
          <w:highlight w:val="none"/>
          <w:lang w:val="en-US" w:eastAsia="zh-CN" w:bidi="ar-SA"/>
        </w:rPr>
        <w:t>对</w:t>
      </w:r>
      <w:r>
        <w:rPr>
          <w:rFonts w:hint="eastAsia" w:ascii="宋体" w:hAnsi="宋体" w:cs="宋体"/>
          <w:kern w:val="2"/>
          <w:sz w:val="21"/>
          <w:szCs w:val="21"/>
          <w:highlight w:val="none"/>
          <w:u w:val="single"/>
          <w:lang w:val="en-US" w:eastAsia="zh-CN" w:bidi="ar-SA"/>
        </w:rPr>
        <w:t xml:space="preserve">                   </w:t>
      </w:r>
      <w:r>
        <w:rPr>
          <w:rFonts w:hint="eastAsia" w:ascii="宋体" w:hAnsi="宋体" w:eastAsia="宋体" w:cs="宋体"/>
          <w:kern w:val="2"/>
          <w:sz w:val="21"/>
          <w:szCs w:val="21"/>
          <w:highlight w:val="none"/>
          <w:lang w:val="en-US" w:eastAsia="zh-CN" w:bidi="ar-SA"/>
        </w:rPr>
        <w:t>项目</w:t>
      </w:r>
      <w:r>
        <w:rPr>
          <w:rFonts w:hint="eastAsia" w:ascii="宋体" w:hAnsi="宋体" w:cs="宋体"/>
          <w:kern w:val="2"/>
          <w:sz w:val="21"/>
          <w:szCs w:val="21"/>
          <w:highlight w:val="none"/>
          <w:lang w:val="en-US" w:eastAsia="zh-CN" w:bidi="ar-SA"/>
        </w:rPr>
        <w:t>施工</w:t>
      </w:r>
      <w:r>
        <w:rPr>
          <w:rFonts w:hint="eastAsia" w:ascii="宋体" w:hAnsi="宋体" w:eastAsia="宋体" w:cs="宋体"/>
          <w:kern w:val="2"/>
          <w:sz w:val="21"/>
          <w:szCs w:val="21"/>
          <w:highlight w:val="none"/>
          <w:lang w:val="en-US" w:eastAsia="zh-CN" w:bidi="ar-SA"/>
        </w:rPr>
        <w:t>进行监理，保证工程质量和安全、控制工程投资成本，确保按期完成，达到验收标准。</w:t>
      </w:r>
    </w:p>
    <w:p w14:paraId="7DD24C0E">
      <w:pPr>
        <w:numPr>
          <w:ilvl w:val="0"/>
          <w:numId w:val="1"/>
        </w:numPr>
        <w:spacing w:before="120" w:beforeLines="50" w:after="120" w:afterLines="50" w:line="360" w:lineRule="auto"/>
        <w:ind w:left="1519" w:hanging="1094"/>
        <w:rPr>
          <w:rFonts w:hint="eastAsia" w:ascii="宋体" w:hAnsi="宋体" w:eastAsia="宋体" w:cs="宋体"/>
          <w:b/>
          <w:sz w:val="30"/>
          <w:szCs w:val="30"/>
          <w:highlight w:val="none"/>
        </w:rPr>
      </w:pPr>
      <w:r>
        <w:rPr>
          <w:rFonts w:hint="eastAsia" w:ascii="宋体" w:hAnsi="宋体" w:eastAsia="宋体" w:cs="宋体"/>
          <w:b/>
          <w:sz w:val="30"/>
          <w:szCs w:val="30"/>
          <w:highlight w:val="none"/>
        </w:rPr>
        <w:t>合同期限</w:t>
      </w:r>
    </w:p>
    <w:p w14:paraId="5F48AF6C">
      <w:pPr>
        <w:numPr>
          <w:numId w:val="0"/>
        </w:numPr>
        <w:spacing w:before="120" w:beforeLines="50" w:after="120" w:afterLines="50" w:line="360" w:lineRule="auto"/>
        <w:ind w:left="425" w:leftChars="0"/>
        <w:rPr>
          <w:rFonts w:hint="default" w:ascii="宋体" w:hAnsi="宋体" w:eastAsia="宋体" w:cs="宋体"/>
          <w:b/>
          <w:sz w:val="30"/>
          <w:szCs w:val="30"/>
          <w:highlight w:val="none"/>
          <w:u w:val="single"/>
          <w:lang w:val="en-US" w:eastAsia="zh-CN"/>
        </w:rPr>
      </w:pPr>
      <w:r>
        <w:rPr>
          <w:rFonts w:hint="eastAsia" w:ascii="宋体" w:hAnsi="宋体" w:cs="宋体"/>
          <w:b/>
          <w:sz w:val="30"/>
          <w:szCs w:val="30"/>
          <w:highlight w:val="none"/>
          <w:u w:val="single"/>
          <w:lang w:val="en-US" w:eastAsia="zh-CN"/>
        </w:rPr>
        <w:t xml:space="preserve">                                 </w:t>
      </w:r>
    </w:p>
    <w:p w14:paraId="3311717B">
      <w:pPr>
        <w:numPr>
          <w:ilvl w:val="0"/>
          <w:numId w:val="1"/>
        </w:numPr>
        <w:spacing w:before="120" w:beforeLines="50" w:after="120" w:afterLines="50" w:line="360" w:lineRule="auto"/>
        <w:ind w:left="1519" w:hanging="1094"/>
        <w:rPr>
          <w:rFonts w:hint="eastAsia" w:ascii="宋体" w:hAnsi="宋体" w:eastAsia="宋体" w:cs="宋体"/>
          <w:b/>
          <w:sz w:val="30"/>
          <w:szCs w:val="30"/>
          <w:highlight w:val="none"/>
        </w:rPr>
      </w:pPr>
      <w:bookmarkStart w:id="0" w:name="_Toc225654644"/>
      <w:bookmarkStart w:id="1" w:name="_Toc225670751"/>
      <w:bookmarkStart w:id="2" w:name="_Toc237145406"/>
      <w:bookmarkStart w:id="3" w:name="_Toc251768862"/>
      <w:bookmarkStart w:id="4" w:name="_Toc225244852"/>
      <w:bookmarkStart w:id="5" w:name="_Toc282696226"/>
      <w:bookmarkStart w:id="6" w:name="_Toc211854449"/>
      <w:bookmarkStart w:id="7" w:name="_Toc185395249"/>
      <w:bookmarkStart w:id="8" w:name="_Toc239233914"/>
      <w:bookmarkStart w:id="9" w:name="_Toc283019214"/>
      <w:bookmarkStart w:id="10" w:name="_Toc241833903"/>
      <w:bookmarkStart w:id="11" w:name="_Toc247334841"/>
      <w:bookmarkStart w:id="12" w:name="_Toc239568418"/>
      <w:bookmarkStart w:id="13" w:name="_Toc212019594"/>
      <w:bookmarkStart w:id="14" w:name="_Toc232492928"/>
      <w:bookmarkStart w:id="15" w:name="_Toc286993786"/>
      <w:bookmarkStart w:id="16" w:name="_Toc211911348"/>
      <w:bookmarkStart w:id="17" w:name="_Toc238984975"/>
      <w:r>
        <w:rPr>
          <w:rFonts w:hint="eastAsia" w:ascii="宋体" w:hAnsi="宋体" w:eastAsia="宋体" w:cs="宋体"/>
          <w:b/>
          <w:sz w:val="30"/>
          <w:szCs w:val="30"/>
          <w:highlight w:val="none"/>
        </w:rPr>
        <w:t>服务内容与质量标准</w:t>
      </w:r>
    </w:p>
    <w:p w14:paraId="17331747">
      <w:pPr>
        <w:spacing w:line="360" w:lineRule="auto"/>
        <w:ind w:firstLine="420" w:firstLineChars="200"/>
        <w:rPr>
          <w:rFonts w:hint="eastAsia" w:ascii="宋体" w:hAnsi="宋体" w:cs="宋体"/>
          <w:szCs w:val="21"/>
          <w:highlight w:val="none"/>
          <w:lang w:val="en-US" w:eastAsia="zh-CN"/>
        </w:rPr>
      </w:pPr>
      <w:r>
        <w:rPr>
          <w:rFonts w:hint="eastAsia" w:ascii="宋体" w:hAnsi="宋体" w:cs="宋体"/>
          <w:szCs w:val="21"/>
          <w:highlight w:val="none"/>
          <w:lang w:val="en-US" w:eastAsia="zh-CN"/>
        </w:rPr>
        <w:t>服务内容：施工阶段、竣工验收阶段及保修阶段全过程的工程监理服务，对项目实施过程进行监督、验收阶段监理及竣工验收资料移交的监理等相关工作。</w:t>
      </w:r>
    </w:p>
    <w:p w14:paraId="11A916AD">
      <w:pPr>
        <w:spacing w:line="360" w:lineRule="auto"/>
        <w:ind w:firstLine="420" w:firstLineChars="200"/>
        <w:rPr>
          <w:rFonts w:hint="eastAsia" w:ascii="宋体" w:hAnsi="宋体" w:cs="宋体"/>
          <w:szCs w:val="21"/>
          <w:highlight w:val="none"/>
          <w:lang w:val="en-US" w:eastAsia="zh-CN"/>
        </w:rPr>
      </w:pPr>
      <w:r>
        <w:rPr>
          <w:rFonts w:hint="eastAsia" w:ascii="宋体" w:hAnsi="宋体" w:cs="宋体"/>
          <w:szCs w:val="21"/>
          <w:highlight w:val="none"/>
          <w:lang w:val="en-US" w:eastAsia="zh-CN"/>
        </w:rPr>
        <w:t>工程监理标准应执行国家最新频布的《建设工程监理规范》及省、市或行业的相关规定。工程质量要求应达到国家质量检验与评定标准合格质量等级，具体以采购人与供应商签订的合同为准。</w:t>
      </w:r>
    </w:p>
    <w:p w14:paraId="45F270AF">
      <w:pPr>
        <w:numPr>
          <w:ilvl w:val="0"/>
          <w:numId w:val="1"/>
        </w:numPr>
        <w:spacing w:before="120" w:beforeLines="50" w:after="120" w:afterLines="50" w:line="360" w:lineRule="auto"/>
        <w:ind w:left="1661" w:hanging="1094"/>
        <w:rPr>
          <w:rFonts w:hint="eastAsia" w:ascii="宋体" w:hAnsi="宋体" w:eastAsia="宋体" w:cs="宋体"/>
          <w:b/>
          <w:sz w:val="30"/>
          <w:szCs w:val="30"/>
          <w:highlight w:val="none"/>
        </w:rPr>
      </w:pPr>
      <w:r>
        <w:rPr>
          <w:rFonts w:hint="eastAsia" w:ascii="宋体" w:hAnsi="宋体" w:eastAsia="宋体" w:cs="宋体"/>
          <w:b/>
          <w:sz w:val="30"/>
          <w:szCs w:val="30"/>
          <w:highlight w:val="none"/>
        </w:rPr>
        <w:t>服务费用</w:t>
      </w:r>
    </w:p>
    <w:p w14:paraId="78BF50D7">
      <w:pPr>
        <w:pStyle w:val="2"/>
        <w:spacing w:before="0" w:after="0" w:line="360" w:lineRule="auto"/>
        <w:ind w:firstLine="411" w:firstLineChars="196"/>
        <w:rPr>
          <w:rFonts w:hint="eastAsia" w:ascii="宋体" w:hAnsi="宋体" w:eastAsia="宋体" w:cs="宋体"/>
          <w:b w:val="0"/>
          <w:sz w:val="21"/>
          <w:szCs w:val="21"/>
          <w:highlight w:val="none"/>
        </w:rPr>
      </w:pPr>
      <w:r>
        <w:rPr>
          <w:rFonts w:hint="eastAsia" w:ascii="宋体" w:hAnsi="宋体" w:eastAsia="宋体" w:cs="宋体"/>
          <w:b w:val="0"/>
          <w:sz w:val="21"/>
          <w:szCs w:val="21"/>
          <w:highlight w:val="none"/>
        </w:rPr>
        <w:t xml:space="preserve">  1.服务总费用为人民币（大写）：</w:t>
      </w:r>
      <w:r>
        <w:rPr>
          <w:rFonts w:hint="eastAsia" w:ascii="宋体" w:hAnsi="宋体" w:eastAsia="宋体" w:cs="宋体"/>
          <w:b w:val="0"/>
          <w:sz w:val="21"/>
          <w:szCs w:val="21"/>
          <w:highlight w:val="none"/>
          <w:u w:val="single"/>
        </w:rPr>
        <w:t xml:space="preserve">             </w:t>
      </w:r>
      <w:r>
        <w:rPr>
          <w:rFonts w:hint="eastAsia" w:ascii="宋体" w:hAnsi="宋体" w:eastAsia="宋体" w:cs="宋体"/>
          <w:b w:val="0"/>
          <w:sz w:val="21"/>
          <w:szCs w:val="21"/>
          <w:highlight w:val="none"/>
        </w:rPr>
        <w:t>元， ￥</w:t>
      </w:r>
      <w:r>
        <w:rPr>
          <w:rFonts w:hint="eastAsia" w:ascii="宋体" w:hAnsi="宋体" w:eastAsia="宋体" w:cs="宋体"/>
          <w:b w:val="0"/>
          <w:sz w:val="21"/>
          <w:szCs w:val="21"/>
          <w:highlight w:val="none"/>
          <w:u w:val="single"/>
        </w:rPr>
        <w:t xml:space="preserve">           </w:t>
      </w:r>
      <w:r>
        <w:rPr>
          <w:rFonts w:hint="eastAsia" w:ascii="宋体" w:hAnsi="宋体" w:eastAsia="宋体" w:cs="宋体"/>
          <w:b w:val="0"/>
          <w:sz w:val="21"/>
          <w:szCs w:val="21"/>
          <w:highlight w:val="none"/>
        </w:rPr>
        <w:t>。</w:t>
      </w:r>
    </w:p>
    <w:p w14:paraId="4E04016F">
      <w:pPr>
        <w:spacing w:line="360" w:lineRule="auto"/>
        <w:ind w:firstLine="411" w:firstLineChars="196"/>
        <w:rPr>
          <w:rFonts w:hint="eastAsia" w:ascii="宋体" w:hAnsi="宋体" w:eastAsia="宋体" w:cs="宋体"/>
          <w:szCs w:val="21"/>
          <w:highlight w:val="none"/>
        </w:rPr>
      </w:pPr>
      <w:r>
        <w:rPr>
          <w:rFonts w:hint="eastAsia" w:ascii="宋体" w:hAnsi="宋体" w:eastAsia="宋体" w:cs="宋体"/>
          <w:szCs w:val="21"/>
          <w:highlight w:val="none"/>
        </w:rPr>
        <w:t xml:space="preserve">  2.本项目服务费用由以下组成：</w:t>
      </w:r>
    </w:p>
    <w:p w14:paraId="02EF944E">
      <w:pPr>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 xml:space="preserve">  （1）</w:t>
      </w:r>
      <w:r>
        <w:rPr>
          <w:rFonts w:hint="eastAsia" w:ascii="宋体" w:hAnsi="宋体" w:eastAsia="宋体" w:cs="宋体"/>
          <w:color w:val="000000"/>
          <w:szCs w:val="21"/>
          <w:highlight w:val="none"/>
        </w:rPr>
        <w:t>XX</w:t>
      </w:r>
      <w:r>
        <w:rPr>
          <w:rFonts w:hint="eastAsia" w:ascii="宋体" w:hAnsi="宋体" w:eastAsia="宋体" w:cs="宋体"/>
          <w:szCs w:val="21"/>
          <w:highlight w:val="none"/>
        </w:rPr>
        <w:t>万元；</w:t>
      </w:r>
    </w:p>
    <w:p w14:paraId="5C72E9EE">
      <w:pPr>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 xml:space="preserve">  （2）</w:t>
      </w:r>
      <w:r>
        <w:rPr>
          <w:rFonts w:hint="eastAsia" w:ascii="宋体" w:hAnsi="宋体" w:eastAsia="宋体" w:cs="宋体"/>
          <w:color w:val="000000"/>
          <w:szCs w:val="21"/>
          <w:highlight w:val="none"/>
        </w:rPr>
        <w:t>XX</w:t>
      </w:r>
      <w:r>
        <w:rPr>
          <w:rFonts w:hint="eastAsia" w:ascii="宋体" w:hAnsi="宋体" w:eastAsia="宋体" w:cs="宋体"/>
          <w:szCs w:val="21"/>
          <w:highlight w:val="none"/>
        </w:rPr>
        <w:t>万元；</w:t>
      </w:r>
    </w:p>
    <w:p w14:paraId="4C9ABC44">
      <w:pPr>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 xml:space="preserve">  （3）</w:t>
      </w:r>
      <w:r>
        <w:rPr>
          <w:rFonts w:hint="eastAsia" w:ascii="宋体" w:hAnsi="宋体" w:eastAsia="宋体" w:cs="宋体"/>
          <w:color w:val="000000"/>
          <w:szCs w:val="21"/>
          <w:highlight w:val="none"/>
        </w:rPr>
        <w:t>XX</w:t>
      </w:r>
      <w:r>
        <w:rPr>
          <w:rFonts w:hint="eastAsia" w:ascii="宋体" w:hAnsi="宋体" w:eastAsia="宋体" w:cs="宋体"/>
          <w:szCs w:val="21"/>
          <w:highlight w:val="none"/>
        </w:rPr>
        <w:t>万元。</w:t>
      </w:r>
    </w:p>
    <w:p w14:paraId="2FE35BEE">
      <w:pPr>
        <w:spacing w:line="360" w:lineRule="auto"/>
        <w:ind w:firstLine="525" w:firstLineChars="250"/>
        <w:rPr>
          <w:rFonts w:hint="eastAsia" w:ascii="宋体" w:hAnsi="宋体" w:eastAsia="宋体" w:cs="宋体"/>
          <w:szCs w:val="21"/>
          <w:highlight w:val="none"/>
        </w:rPr>
      </w:pPr>
      <w:r>
        <w:rPr>
          <w:rFonts w:hint="eastAsia" w:ascii="宋体" w:hAnsi="宋体" w:eastAsia="宋体" w:cs="宋体"/>
          <w:szCs w:val="21"/>
          <w:highlight w:val="none"/>
        </w:rPr>
        <w:t>4.本合同执行期间服务总费用不变，甲方无须另向乙方支付本合同规定之外的其他任何费用。</w:t>
      </w:r>
    </w:p>
    <w:p w14:paraId="5E72A659">
      <w:pPr>
        <w:spacing w:before="120" w:beforeLines="50" w:after="120" w:afterLines="50" w:line="360" w:lineRule="auto"/>
        <w:ind w:firstLine="602" w:firstLineChars="200"/>
        <w:rPr>
          <w:rFonts w:hint="eastAsia" w:ascii="宋体" w:hAnsi="宋体" w:eastAsia="宋体" w:cs="宋体"/>
          <w:b/>
          <w:sz w:val="30"/>
          <w:szCs w:val="30"/>
          <w:highlight w:val="none"/>
        </w:rPr>
      </w:pPr>
      <w:r>
        <w:rPr>
          <w:rFonts w:hint="eastAsia" w:ascii="宋体" w:hAnsi="宋体" w:eastAsia="宋体" w:cs="宋体"/>
          <w:b/>
          <w:sz w:val="30"/>
          <w:szCs w:val="30"/>
          <w:highlight w:val="none"/>
        </w:rPr>
        <w:t xml:space="preserve">第五条 </w:t>
      </w:r>
      <w:r>
        <w:rPr>
          <w:rFonts w:hint="eastAsia" w:ascii="宋体" w:hAnsi="宋体" w:eastAsia="宋体" w:cs="宋体"/>
          <w:b/>
          <w:szCs w:val="21"/>
          <w:highlight w:val="none"/>
        </w:rPr>
        <w:t xml:space="preserve"> </w:t>
      </w:r>
      <w:r>
        <w:rPr>
          <w:rFonts w:hint="eastAsia" w:ascii="宋体" w:hAnsi="宋体" w:eastAsia="宋体" w:cs="宋体"/>
          <w:b/>
          <w:sz w:val="30"/>
          <w:szCs w:val="30"/>
          <w:highlight w:val="none"/>
        </w:rPr>
        <w:t>服务费支付方式</w:t>
      </w:r>
    </w:p>
    <w:p w14:paraId="4A4840AB">
      <w:pPr>
        <w:spacing w:before="120" w:beforeLines="50" w:after="120" w:afterLines="50" w:line="360" w:lineRule="auto"/>
        <w:ind w:firstLine="602" w:firstLineChars="200"/>
        <w:rPr>
          <w:rFonts w:hint="default" w:ascii="宋体" w:hAnsi="宋体" w:eastAsia="宋体" w:cs="宋体"/>
          <w:b/>
          <w:sz w:val="30"/>
          <w:szCs w:val="30"/>
          <w:highlight w:val="none"/>
          <w:u w:val="single"/>
          <w:lang w:val="en-US" w:eastAsia="zh-CN"/>
        </w:rPr>
      </w:pPr>
      <w:r>
        <w:rPr>
          <w:rFonts w:hint="eastAsia" w:ascii="宋体" w:hAnsi="宋体" w:cs="宋体"/>
          <w:b/>
          <w:sz w:val="30"/>
          <w:szCs w:val="30"/>
          <w:highlight w:val="none"/>
          <w:u w:val="single"/>
          <w:lang w:val="en-US" w:eastAsia="zh-CN"/>
        </w:rPr>
        <w:t xml:space="preserve">                                     </w:t>
      </w:r>
      <w:bookmarkStart w:id="52" w:name="_GoBack"/>
      <w:bookmarkEnd w:id="52"/>
    </w:p>
    <w:p w14:paraId="3D8B6394">
      <w:pPr>
        <w:spacing w:before="120" w:beforeLines="50" w:after="120" w:afterLines="50" w:line="360" w:lineRule="auto"/>
        <w:ind w:left="425"/>
        <w:rPr>
          <w:rFonts w:hint="eastAsia" w:ascii="宋体" w:hAnsi="宋体" w:eastAsia="宋体" w:cs="宋体"/>
          <w:b/>
          <w:sz w:val="30"/>
          <w:szCs w:val="30"/>
          <w:highlight w:val="none"/>
        </w:rPr>
      </w:pPr>
      <w:r>
        <w:rPr>
          <w:rFonts w:hint="eastAsia" w:ascii="宋体" w:hAnsi="宋体" w:eastAsia="宋体" w:cs="宋体"/>
          <w:b/>
          <w:sz w:val="30"/>
          <w:szCs w:val="30"/>
          <w:highlight w:val="none"/>
        </w:rPr>
        <w:t>第六条   知识产权</w:t>
      </w:r>
    </w:p>
    <w:p w14:paraId="09D9D417">
      <w:pPr>
        <w:tabs>
          <w:tab w:val="left" w:pos="1440"/>
        </w:tabs>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乙方应保证所提供的服务或其任何一部分均不会侵犯任何第三方的专利权、商标权或著作权。</w:t>
      </w:r>
    </w:p>
    <w:p w14:paraId="12986FFC">
      <w:pPr>
        <w:spacing w:before="120" w:beforeLines="50" w:after="120" w:afterLines="50" w:line="360" w:lineRule="auto"/>
        <w:ind w:left="425"/>
        <w:rPr>
          <w:rFonts w:hint="eastAsia" w:ascii="宋体" w:hAnsi="宋体" w:eastAsia="宋体" w:cs="宋体"/>
          <w:b/>
          <w:sz w:val="30"/>
          <w:szCs w:val="30"/>
          <w:highlight w:val="none"/>
        </w:rPr>
      </w:pPr>
      <w:r>
        <w:rPr>
          <w:rFonts w:hint="eastAsia" w:ascii="宋体" w:hAnsi="宋体" w:eastAsia="宋体" w:cs="宋体"/>
          <w:b/>
          <w:sz w:val="30"/>
          <w:szCs w:val="30"/>
          <w:highlight w:val="none"/>
        </w:rPr>
        <w:t>第七条  无产权瑕疵条款</w:t>
      </w:r>
    </w:p>
    <w:p w14:paraId="11678BED">
      <w:pPr>
        <w:tabs>
          <w:tab w:val="left" w:pos="1440"/>
        </w:tabs>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乙方保证所提供的服务（成</w:t>
      </w:r>
      <w:r>
        <w:rPr>
          <w:rFonts w:hint="eastAsia" w:ascii="宋体" w:hAnsi="宋体" w:cs="宋体"/>
          <w:szCs w:val="21"/>
          <w:highlight w:val="none"/>
          <w:lang w:val="en-US" w:eastAsia="zh-CN"/>
        </w:rPr>
        <w:t>果）权属清晰</w:t>
      </w:r>
      <w:r>
        <w:rPr>
          <w:rFonts w:hint="eastAsia" w:ascii="宋体" w:hAnsi="宋体" w:eastAsia="宋体" w:cs="宋体"/>
          <w:szCs w:val="21"/>
          <w:highlight w:val="none"/>
        </w:rPr>
        <w:t>、完整（不存在抵押、查封、扣押等），且不存在侵犯任何第三方的合法权益。如有违反视为乙方违约。乙方应负担由此而产生的一切损失。</w:t>
      </w:r>
    </w:p>
    <w:p w14:paraId="6A1D7B51">
      <w:pPr>
        <w:spacing w:before="120" w:beforeLines="50" w:after="120" w:afterLines="50" w:line="360" w:lineRule="auto"/>
        <w:ind w:left="425"/>
        <w:rPr>
          <w:rFonts w:hint="eastAsia" w:ascii="宋体" w:hAnsi="宋体" w:eastAsia="宋体" w:cs="宋体"/>
          <w:b/>
          <w:sz w:val="30"/>
          <w:szCs w:val="30"/>
          <w:highlight w:val="none"/>
        </w:rPr>
      </w:pPr>
      <w:r>
        <w:rPr>
          <w:rFonts w:hint="eastAsia" w:ascii="宋体" w:hAnsi="宋体" w:eastAsia="宋体" w:cs="宋体"/>
          <w:b/>
          <w:sz w:val="30"/>
          <w:szCs w:val="30"/>
          <w:highlight w:val="none"/>
        </w:rPr>
        <w:t xml:space="preserve"> 第八条  甲方的权利和义务</w:t>
      </w:r>
    </w:p>
    <w:p w14:paraId="4616BB90">
      <w:pPr>
        <w:adjustRightInd w:val="0"/>
        <w:spacing w:line="360" w:lineRule="auto"/>
        <w:ind w:firstLine="420" w:firstLineChars="200"/>
        <w:jc w:val="left"/>
        <w:textAlignment w:val="baseline"/>
        <w:rPr>
          <w:rFonts w:hint="eastAsia" w:ascii="宋体" w:hAnsi="宋体" w:eastAsia="宋体" w:cs="宋体"/>
          <w:bCs/>
          <w:szCs w:val="21"/>
          <w:highlight w:val="none"/>
        </w:rPr>
      </w:pPr>
      <w:r>
        <w:rPr>
          <w:rFonts w:hint="eastAsia" w:ascii="宋体" w:hAnsi="宋体" w:eastAsia="宋体" w:cs="宋体"/>
          <w:bCs/>
          <w:szCs w:val="21"/>
          <w:highlight w:val="none"/>
        </w:rPr>
        <w:t>1.甲方有权对合同规定范围内乙方的服务行为进行监督和检查，拥有监管权。有权定期核对乙方提供服务所配备的人员数量。对甲方认为不合理的部分有权下达整改通知书，并要求乙方限期整改。</w:t>
      </w:r>
    </w:p>
    <w:p w14:paraId="22BA9891">
      <w:pPr>
        <w:adjustRightInd w:val="0"/>
        <w:spacing w:line="360" w:lineRule="auto"/>
        <w:ind w:firstLine="420" w:firstLineChars="200"/>
        <w:jc w:val="left"/>
        <w:textAlignment w:val="baseline"/>
        <w:rPr>
          <w:rFonts w:hint="eastAsia" w:ascii="宋体" w:hAnsi="宋体" w:eastAsia="宋体" w:cs="宋体"/>
          <w:bCs/>
          <w:szCs w:val="21"/>
          <w:highlight w:val="none"/>
        </w:rPr>
      </w:pPr>
      <w:r>
        <w:rPr>
          <w:rFonts w:hint="eastAsia" w:ascii="宋体" w:hAnsi="宋体" w:eastAsia="宋体" w:cs="宋体"/>
          <w:bCs/>
          <w:szCs w:val="21"/>
          <w:highlight w:val="none"/>
        </w:rPr>
        <w:t>2.甲方有权依据双方签订的考评办法对乙方提供的服务进行定期考评。当考评结果未达到标准时，有权依据考评办法约定的数额扣除履约保证金。</w:t>
      </w:r>
    </w:p>
    <w:p w14:paraId="67BF943F">
      <w:pPr>
        <w:adjustRightInd w:val="0"/>
        <w:spacing w:line="360" w:lineRule="auto"/>
        <w:ind w:firstLine="420" w:firstLineChars="200"/>
        <w:jc w:val="left"/>
        <w:textAlignment w:val="baseline"/>
        <w:rPr>
          <w:rFonts w:hint="eastAsia" w:ascii="宋体" w:hAnsi="宋体" w:eastAsia="宋体" w:cs="宋体"/>
          <w:bCs/>
          <w:szCs w:val="21"/>
          <w:highlight w:val="none"/>
        </w:rPr>
      </w:pPr>
      <w:r>
        <w:rPr>
          <w:rFonts w:hint="eastAsia" w:ascii="宋体" w:hAnsi="宋体" w:eastAsia="宋体" w:cs="宋体"/>
          <w:bCs/>
          <w:szCs w:val="21"/>
          <w:highlight w:val="none"/>
        </w:rPr>
        <w:t>3.负责检查监督乙方管理工作的实施及制度的执行情况。</w:t>
      </w:r>
    </w:p>
    <w:p w14:paraId="4ACC19D1">
      <w:pPr>
        <w:adjustRightInd w:val="0"/>
        <w:spacing w:line="360" w:lineRule="auto"/>
        <w:ind w:firstLine="420" w:firstLineChars="200"/>
        <w:jc w:val="left"/>
        <w:textAlignment w:val="baseline"/>
        <w:rPr>
          <w:rFonts w:hint="eastAsia" w:ascii="宋体" w:hAnsi="宋体" w:eastAsia="宋体" w:cs="宋体"/>
          <w:bCs/>
          <w:szCs w:val="21"/>
          <w:highlight w:val="none"/>
        </w:rPr>
      </w:pPr>
      <w:r>
        <w:rPr>
          <w:rFonts w:hint="eastAsia" w:ascii="宋体" w:hAnsi="宋体" w:eastAsia="宋体" w:cs="宋体"/>
          <w:bCs/>
          <w:szCs w:val="21"/>
          <w:highlight w:val="none"/>
        </w:rPr>
        <w:t>4.根据本合同规定，按时向乙方支付应付服务费用。</w:t>
      </w:r>
    </w:p>
    <w:p w14:paraId="3FF8E974">
      <w:pPr>
        <w:adjustRightInd w:val="0"/>
        <w:spacing w:line="360" w:lineRule="auto"/>
        <w:ind w:firstLine="420" w:firstLineChars="200"/>
        <w:jc w:val="left"/>
        <w:textAlignment w:val="baseline"/>
        <w:rPr>
          <w:rFonts w:hint="eastAsia" w:ascii="宋体" w:hAnsi="宋体" w:eastAsia="宋体" w:cs="宋体"/>
          <w:bCs/>
          <w:szCs w:val="21"/>
          <w:highlight w:val="none"/>
        </w:rPr>
      </w:pPr>
      <w:r>
        <w:rPr>
          <w:rFonts w:hint="eastAsia" w:ascii="宋体" w:hAnsi="宋体" w:eastAsia="宋体" w:cs="宋体"/>
          <w:bCs/>
          <w:szCs w:val="21"/>
          <w:highlight w:val="none"/>
        </w:rPr>
        <w:t>5.国家法律、法规所规定由甲方承担的其它责任。</w:t>
      </w:r>
    </w:p>
    <w:p w14:paraId="6A2C4647">
      <w:pPr>
        <w:spacing w:before="120" w:beforeLines="50" w:after="120" w:afterLines="50" w:line="360" w:lineRule="auto"/>
        <w:ind w:left="425"/>
        <w:rPr>
          <w:rFonts w:hint="eastAsia" w:ascii="宋体" w:hAnsi="宋体" w:eastAsia="宋体" w:cs="宋体"/>
          <w:b/>
          <w:sz w:val="30"/>
          <w:szCs w:val="30"/>
          <w:highlight w:val="none"/>
        </w:rPr>
      </w:pPr>
      <w:r>
        <w:rPr>
          <w:rFonts w:hint="eastAsia" w:ascii="宋体" w:hAnsi="宋体" w:eastAsia="宋体" w:cs="宋体"/>
          <w:b/>
          <w:sz w:val="30"/>
          <w:szCs w:val="30"/>
          <w:highlight w:val="none"/>
        </w:rPr>
        <w:t>第</w:t>
      </w:r>
      <w:r>
        <w:rPr>
          <w:rFonts w:hint="eastAsia" w:ascii="宋体" w:hAnsi="宋体" w:cs="宋体"/>
          <w:b/>
          <w:sz w:val="30"/>
          <w:szCs w:val="30"/>
          <w:highlight w:val="none"/>
          <w:lang w:eastAsia="zh-CN"/>
        </w:rPr>
        <w:t>九</w:t>
      </w:r>
      <w:r>
        <w:rPr>
          <w:rFonts w:hint="eastAsia" w:ascii="宋体" w:hAnsi="宋体" w:eastAsia="宋体" w:cs="宋体"/>
          <w:b/>
          <w:sz w:val="30"/>
          <w:szCs w:val="30"/>
          <w:highlight w:val="none"/>
        </w:rPr>
        <w:t>条  乙方的权利和义务</w:t>
      </w:r>
    </w:p>
    <w:p w14:paraId="74348AB0">
      <w:pPr>
        <w:adjustRightInd w:val="0"/>
        <w:spacing w:line="360" w:lineRule="auto"/>
        <w:ind w:firstLine="420" w:firstLineChars="200"/>
        <w:jc w:val="left"/>
        <w:textAlignment w:val="baseline"/>
        <w:rPr>
          <w:rFonts w:hint="eastAsia" w:ascii="宋体" w:hAnsi="宋体" w:eastAsia="宋体" w:cs="宋体"/>
          <w:bCs/>
          <w:szCs w:val="21"/>
          <w:highlight w:val="none"/>
        </w:rPr>
      </w:pPr>
      <w:r>
        <w:rPr>
          <w:rFonts w:hint="eastAsia" w:ascii="宋体" w:hAnsi="宋体" w:eastAsia="宋体" w:cs="宋体"/>
          <w:bCs/>
          <w:szCs w:val="21"/>
          <w:highlight w:val="none"/>
        </w:rPr>
        <w:t>1.对本合同规定的委托服务范围内的项目享有管理权及服务义务。</w:t>
      </w:r>
    </w:p>
    <w:p w14:paraId="0FF51056">
      <w:pPr>
        <w:adjustRightInd w:val="0"/>
        <w:spacing w:line="360" w:lineRule="auto"/>
        <w:ind w:firstLine="420" w:firstLineChars="200"/>
        <w:jc w:val="left"/>
        <w:textAlignment w:val="baseline"/>
        <w:rPr>
          <w:rFonts w:hint="eastAsia" w:ascii="宋体" w:hAnsi="宋体" w:eastAsia="宋体" w:cs="宋体"/>
          <w:bCs/>
          <w:szCs w:val="21"/>
          <w:highlight w:val="none"/>
        </w:rPr>
      </w:pPr>
      <w:r>
        <w:rPr>
          <w:rFonts w:hint="eastAsia" w:ascii="宋体" w:hAnsi="宋体" w:eastAsia="宋体" w:cs="宋体"/>
          <w:bCs/>
          <w:szCs w:val="21"/>
          <w:highlight w:val="none"/>
        </w:rPr>
        <w:t>2.根据本合同的规定向甲方收取相关服务费用，并有权在本项目管理范围内管理及合理使用。</w:t>
      </w:r>
    </w:p>
    <w:p w14:paraId="17A60264">
      <w:pPr>
        <w:adjustRightInd w:val="0"/>
        <w:spacing w:line="360" w:lineRule="auto"/>
        <w:ind w:firstLine="420" w:firstLineChars="200"/>
        <w:jc w:val="left"/>
        <w:textAlignment w:val="baseline"/>
        <w:rPr>
          <w:rFonts w:hint="eastAsia" w:ascii="宋体" w:hAnsi="宋体" w:eastAsia="宋体" w:cs="宋体"/>
          <w:szCs w:val="21"/>
          <w:highlight w:val="none"/>
        </w:rPr>
      </w:pPr>
      <w:r>
        <w:rPr>
          <w:rFonts w:hint="eastAsia" w:ascii="宋体" w:hAnsi="宋体" w:eastAsia="宋体" w:cs="宋体"/>
          <w:szCs w:val="21"/>
          <w:highlight w:val="none"/>
        </w:rPr>
        <w:t>3.及时向甲方通告本项目服务范围内有关服务的重大事项，及时配合处理投诉。</w:t>
      </w:r>
    </w:p>
    <w:p w14:paraId="2C8220AC">
      <w:pPr>
        <w:adjustRightInd w:val="0"/>
        <w:spacing w:line="360" w:lineRule="auto"/>
        <w:ind w:firstLine="420" w:firstLineChars="200"/>
        <w:jc w:val="left"/>
        <w:textAlignment w:val="baseline"/>
        <w:rPr>
          <w:rFonts w:hint="eastAsia" w:ascii="宋体" w:hAnsi="宋体" w:eastAsia="宋体" w:cs="宋体"/>
          <w:bCs/>
          <w:szCs w:val="21"/>
          <w:highlight w:val="none"/>
        </w:rPr>
      </w:pPr>
      <w:r>
        <w:rPr>
          <w:rFonts w:hint="eastAsia" w:ascii="宋体" w:hAnsi="宋体" w:eastAsia="宋体" w:cs="宋体"/>
          <w:szCs w:val="21"/>
          <w:highlight w:val="none"/>
        </w:rPr>
        <w:t>4.</w:t>
      </w:r>
      <w:r>
        <w:rPr>
          <w:rFonts w:hint="eastAsia" w:ascii="宋体" w:hAnsi="宋体" w:eastAsia="宋体" w:cs="宋体"/>
          <w:bCs/>
          <w:szCs w:val="21"/>
          <w:highlight w:val="none"/>
        </w:rPr>
        <w:t>接受项目行业管理部门及政府有关部门的指导，接受甲方的监督。</w:t>
      </w:r>
    </w:p>
    <w:p w14:paraId="708FA0CA">
      <w:pPr>
        <w:adjustRightInd w:val="0"/>
        <w:spacing w:line="360" w:lineRule="auto"/>
        <w:ind w:firstLine="420" w:firstLineChars="200"/>
        <w:jc w:val="left"/>
        <w:textAlignment w:val="baseline"/>
        <w:rPr>
          <w:rFonts w:hint="eastAsia" w:ascii="宋体" w:hAnsi="宋体" w:eastAsia="宋体" w:cs="宋体"/>
          <w:bCs/>
          <w:szCs w:val="21"/>
          <w:highlight w:val="none"/>
        </w:rPr>
      </w:pPr>
      <w:r>
        <w:rPr>
          <w:rFonts w:hint="eastAsia" w:ascii="宋体" w:hAnsi="宋体" w:eastAsia="宋体" w:cs="宋体"/>
          <w:bCs/>
          <w:szCs w:val="21"/>
          <w:highlight w:val="none"/>
        </w:rPr>
        <w:t>5.国家法律、法规所规定由乙方承担的其它责任。</w:t>
      </w:r>
    </w:p>
    <w:p w14:paraId="53EAA0D3">
      <w:pPr>
        <w:spacing w:before="120" w:beforeLines="50" w:after="120" w:afterLines="50" w:line="360" w:lineRule="auto"/>
        <w:ind w:left="425"/>
        <w:rPr>
          <w:rFonts w:hint="eastAsia" w:ascii="宋体" w:hAnsi="宋体" w:eastAsia="宋体" w:cs="宋体"/>
          <w:b/>
          <w:sz w:val="30"/>
          <w:szCs w:val="30"/>
          <w:highlight w:val="none"/>
        </w:rPr>
      </w:pPr>
      <w:r>
        <w:rPr>
          <w:rFonts w:hint="eastAsia" w:ascii="宋体" w:hAnsi="宋体" w:eastAsia="宋体" w:cs="宋体"/>
          <w:b/>
          <w:sz w:val="30"/>
          <w:szCs w:val="30"/>
          <w:highlight w:val="none"/>
        </w:rPr>
        <w:t>第十条  违约责任</w:t>
      </w:r>
    </w:p>
    <w:p w14:paraId="224B2209">
      <w:pPr>
        <w:adjustRightInd w:val="0"/>
        <w:spacing w:line="360" w:lineRule="auto"/>
        <w:ind w:firstLine="420" w:firstLineChars="200"/>
        <w:jc w:val="left"/>
        <w:textAlignment w:val="baseline"/>
        <w:rPr>
          <w:rFonts w:hint="eastAsia" w:ascii="宋体" w:hAnsi="宋体" w:eastAsia="宋体" w:cs="宋体"/>
          <w:bCs/>
          <w:szCs w:val="21"/>
          <w:highlight w:val="none"/>
        </w:rPr>
      </w:pPr>
      <w:r>
        <w:rPr>
          <w:rFonts w:hint="eastAsia" w:ascii="宋体" w:hAnsi="宋体" w:eastAsia="宋体" w:cs="宋体"/>
          <w:bCs/>
          <w:szCs w:val="21"/>
          <w:highlight w:val="none"/>
        </w:rPr>
        <w:t>1.甲乙双方必须遵守本合同并执行合同中的各项规定，保证本合同的正常履行。</w:t>
      </w:r>
    </w:p>
    <w:p w14:paraId="25789F15">
      <w:pPr>
        <w:adjustRightInd w:val="0"/>
        <w:spacing w:line="360" w:lineRule="auto"/>
        <w:ind w:firstLine="420" w:firstLineChars="200"/>
        <w:jc w:val="left"/>
        <w:textAlignment w:val="baseline"/>
        <w:rPr>
          <w:rFonts w:hint="eastAsia" w:ascii="宋体" w:hAnsi="宋体" w:eastAsia="宋体" w:cs="宋体"/>
          <w:bCs/>
          <w:szCs w:val="21"/>
          <w:highlight w:val="none"/>
        </w:rPr>
      </w:pPr>
      <w:r>
        <w:rPr>
          <w:rFonts w:hint="eastAsia" w:ascii="宋体" w:hAnsi="宋体" w:eastAsia="宋体" w:cs="宋体"/>
          <w:bCs/>
          <w:szCs w:val="21"/>
          <w:highlight w:val="none"/>
        </w:rPr>
        <w:t>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p w14:paraId="07C1EFE9">
      <w:pPr>
        <w:spacing w:before="120" w:beforeLines="50" w:after="120" w:afterLines="50" w:line="360" w:lineRule="auto"/>
        <w:ind w:left="425"/>
        <w:rPr>
          <w:rFonts w:hint="eastAsia" w:ascii="宋体" w:hAnsi="宋体" w:eastAsia="宋体" w:cs="宋体"/>
          <w:b/>
          <w:sz w:val="30"/>
          <w:szCs w:val="30"/>
          <w:highlight w:val="none"/>
        </w:rPr>
      </w:pPr>
      <w:r>
        <w:rPr>
          <w:rFonts w:hint="eastAsia" w:ascii="宋体" w:hAnsi="宋体" w:eastAsia="宋体" w:cs="宋体"/>
          <w:b/>
          <w:sz w:val="30"/>
          <w:szCs w:val="30"/>
          <w:highlight w:val="none"/>
        </w:rPr>
        <w:t>第十</w:t>
      </w:r>
      <w:r>
        <w:rPr>
          <w:rFonts w:hint="eastAsia" w:ascii="宋体" w:hAnsi="宋体" w:cs="宋体"/>
          <w:b/>
          <w:sz w:val="30"/>
          <w:szCs w:val="30"/>
          <w:highlight w:val="none"/>
          <w:lang w:eastAsia="zh-CN"/>
        </w:rPr>
        <w:t>一</w:t>
      </w:r>
      <w:r>
        <w:rPr>
          <w:rFonts w:hint="eastAsia" w:ascii="宋体" w:hAnsi="宋体" w:eastAsia="宋体" w:cs="宋体"/>
          <w:b/>
          <w:sz w:val="30"/>
          <w:szCs w:val="30"/>
          <w:highlight w:val="none"/>
        </w:rPr>
        <w:t>条  不可抗力事件处理</w:t>
      </w:r>
    </w:p>
    <w:p w14:paraId="77F63F37">
      <w:pPr>
        <w:tabs>
          <w:tab w:val="left" w:pos="0"/>
        </w:tabs>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1.在合同有效期内，任何一方因不可抗力事件导致不能履行合同，则合同履行期可延长，其延长期与不可抗力影响期相同。</w:t>
      </w:r>
    </w:p>
    <w:p w14:paraId="4731A667">
      <w:pPr>
        <w:tabs>
          <w:tab w:val="left" w:pos="0"/>
        </w:tabs>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2.不可抗力事件发生后，应立即通知对方，并寄送有关权威机构出具的证明。</w:t>
      </w:r>
    </w:p>
    <w:p w14:paraId="1E76E454">
      <w:pPr>
        <w:tabs>
          <w:tab w:val="left" w:pos="0"/>
        </w:tabs>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3.不可抗力事件延续</w:t>
      </w:r>
      <w:r>
        <w:rPr>
          <w:rFonts w:hint="eastAsia" w:ascii="宋体" w:hAnsi="宋体" w:eastAsia="宋体" w:cs="宋体"/>
          <w:color w:val="000000"/>
          <w:szCs w:val="21"/>
          <w:highlight w:val="none"/>
        </w:rPr>
        <w:t>XX</w:t>
      </w:r>
      <w:r>
        <w:rPr>
          <w:rFonts w:hint="eastAsia" w:ascii="宋体" w:hAnsi="宋体" w:eastAsia="宋体" w:cs="宋体"/>
          <w:szCs w:val="21"/>
          <w:highlight w:val="none"/>
        </w:rPr>
        <w:t>天以上，双方应通过友好协商，确定是否继续履行合同。</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14:paraId="0577EA36">
      <w:pPr>
        <w:widowControl/>
        <w:spacing w:before="120" w:beforeLines="50" w:after="120" w:afterLines="50" w:line="360" w:lineRule="auto"/>
        <w:jc w:val="left"/>
        <w:rPr>
          <w:rFonts w:hint="eastAsia" w:ascii="宋体" w:hAnsi="宋体" w:eastAsia="宋体" w:cs="宋体"/>
          <w:color w:val="000000"/>
          <w:kern w:val="0"/>
          <w:sz w:val="30"/>
          <w:szCs w:val="30"/>
          <w:highlight w:val="none"/>
        </w:rPr>
      </w:pPr>
      <w:bookmarkStart w:id="18" w:name="_Toc238984980"/>
      <w:bookmarkStart w:id="19" w:name="_Toc247334846"/>
      <w:bookmarkStart w:id="20" w:name="_Toc225654649"/>
      <w:bookmarkStart w:id="21" w:name="_Toc237145411"/>
      <w:bookmarkStart w:id="22" w:name="_Toc251768867"/>
      <w:bookmarkStart w:id="23" w:name="_Toc211854454"/>
      <w:bookmarkStart w:id="24" w:name="_Toc212019599"/>
      <w:bookmarkStart w:id="25" w:name="_Toc211911353"/>
      <w:bookmarkStart w:id="26" w:name="_Toc225670756"/>
      <w:bookmarkStart w:id="27" w:name="_Toc241833908"/>
      <w:bookmarkStart w:id="28" w:name="_Toc239233919"/>
      <w:bookmarkStart w:id="29" w:name="_Toc225244857"/>
      <w:bookmarkStart w:id="30" w:name="_Toc232492933"/>
      <w:bookmarkStart w:id="31" w:name="_Toc239568423"/>
      <w:bookmarkStart w:id="32" w:name="_Toc185395254"/>
      <w:bookmarkStart w:id="33" w:name="_Toc286993792"/>
      <w:r>
        <w:rPr>
          <w:rFonts w:hint="eastAsia" w:ascii="宋体" w:hAnsi="宋体" w:eastAsia="宋体" w:cs="宋体"/>
          <w:b/>
          <w:sz w:val="30"/>
          <w:szCs w:val="30"/>
          <w:highlight w:val="none"/>
        </w:rPr>
        <w:t xml:space="preserve">   第十</w:t>
      </w:r>
      <w:r>
        <w:rPr>
          <w:rFonts w:hint="eastAsia" w:ascii="宋体" w:hAnsi="宋体" w:cs="宋体"/>
          <w:b/>
          <w:sz w:val="30"/>
          <w:szCs w:val="30"/>
          <w:highlight w:val="none"/>
          <w:lang w:eastAsia="zh-CN"/>
        </w:rPr>
        <w:t>二</w:t>
      </w:r>
      <w:r>
        <w:rPr>
          <w:rFonts w:hint="eastAsia" w:ascii="宋体" w:hAnsi="宋体" w:eastAsia="宋体" w:cs="宋体"/>
          <w:b/>
          <w:sz w:val="30"/>
          <w:szCs w:val="30"/>
          <w:highlight w:val="none"/>
        </w:rPr>
        <w:t xml:space="preserve">条  </w:t>
      </w:r>
      <w:r>
        <w:rPr>
          <w:rFonts w:hint="eastAsia" w:ascii="宋体" w:hAnsi="宋体" w:eastAsia="宋体" w:cs="宋体"/>
          <w:b/>
          <w:color w:val="000000"/>
          <w:kern w:val="0"/>
          <w:sz w:val="30"/>
          <w:szCs w:val="30"/>
          <w:highlight w:val="none"/>
        </w:rPr>
        <w:t>合同的变更和终止</w:t>
      </w:r>
    </w:p>
    <w:p w14:paraId="2D0C62FA">
      <w:pPr>
        <w:pStyle w:val="7"/>
        <w:spacing w:line="360" w:lineRule="auto"/>
        <w:ind w:firstLine="420"/>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除《中华人民共和国政府采购法》第49条、第50条第二款规定的情形外，本合同一经签订，甲乙双方不得擅自变更、中止或终止合同。</w:t>
      </w:r>
    </w:p>
    <w:p w14:paraId="48A12143">
      <w:pPr>
        <w:spacing w:before="120" w:beforeLines="50" w:after="120" w:afterLines="50" w:line="360" w:lineRule="auto"/>
        <w:ind w:left="425"/>
        <w:rPr>
          <w:rFonts w:hint="eastAsia" w:ascii="宋体" w:hAnsi="宋体" w:eastAsia="宋体" w:cs="宋体"/>
          <w:b/>
          <w:szCs w:val="21"/>
          <w:highlight w:val="none"/>
        </w:rPr>
      </w:pPr>
      <w:r>
        <w:rPr>
          <w:rFonts w:hint="eastAsia" w:ascii="宋体" w:hAnsi="宋体" w:eastAsia="宋体" w:cs="宋体"/>
          <w:b/>
          <w:sz w:val="30"/>
          <w:szCs w:val="30"/>
          <w:highlight w:val="none"/>
        </w:rPr>
        <w:t>第十</w:t>
      </w:r>
      <w:r>
        <w:rPr>
          <w:rFonts w:hint="eastAsia" w:ascii="宋体" w:hAnsi="宋体" w:cs="宋体"/>
          <w:b/>
          <w:sz w:val="30"/>
          <w:szCs w:val="30"/>
          <w:highlight w:val="none"/>
          <w:lang w:eastAsia="zh-CN"/>
        </w:rPr>
        <w:t>三</w:t>
      </w:r>
      <w:r>
        <w:rPr>
          <w:rFonts w:hint="eastAsia" w:ascii="宋体" w:hAnsi="宋体" w:eastAsia="宋体" w:cs="宋体"/>
          <w:b/>
          <w:sz w:val="30"/>
          <w:szCs w:val="30"/>
          <w:highlight w:val="none"/>
        </w:rPr>
        <w:t>条  解决合同纠纷的方</w:t>
      </w:r>
      <w:r>
        <w:rPr>
          <w:rFonts w:hint="eastAsia" w:ascii="宋体" w:hAnsi="宋体" w:eastAsia="宋体" w:cs="宋体"/>
          <w:b/>
          <w:szCs w:val="21"/>
          <w:highlight w:val="none"/>
        </w:rPr>
        <w:t>式</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32328F17">
      <w:pPr>
        <w:pStyle w:val="7"/>
        <w:spacing w:line="360" w:lineRule="auto"/>
        <w:ind w:firstLine="420"/>
        <w:rPr>
          <w:rFonts w:hint="eastAsia" w:ascii="宋体" w:hAnsi="宋体" w:eastAsia="宋体" w:cs="宋体"/>
          <w:kern w:val="0"/>
          <w:sz w:val="21"/>
          <w:szCs w:val="21"/>
          <w:highlight w:val="none"/>
        </w:rPr>
      </w:pPr>
      <w:r>
        <w:rPr>
          <w:rFonts w:hint="eastAsia" w:ascii="宋体" w:hAnsi="宋体" w:eastAsia="宋体" w:cs="宋体"/>
          <w:sz w:val="21"/>
          <w:szCs w:val="21"/>
          <w:highlight w:val="none"/>
        </w:rPr>
        <w:t>1.在执行本合同中发生的或与本合同有关的争端，双方应通过友好协商解决，经协商在</w:t>
      </w:r>
      <w:r>
        <w:rPr>
          <w:rFonts w:hint="eastAsia" w:ascii="宋体" w:hAnsi="宋体" w:eastAsia="宋体" w:cs="宋体"/>
          <w:color w:val="000000"/>
          <w:sz w:val="21"/>
          <w:szCs w:val="21"/>
          <w:highlight w:val="none"/>
        </w:rPr>
        <w:t>XX</w:t>
      </w:r>
      <w:r>
        <w:rPr>
          <w:rFonts w:hint="eastAsia" w:ascii="宋体" w:hAnsi="宋体" w:eastAsia="宋体" w:cs="宋体"/>
          <w:sz w:val="21"/>
          <w:szCs w:val="21"/>
          <w:highlight w:val="none"/>
        </w:rPr>
        <w:t>天内不能达成协议时，</w:t>
      </w:r>
      <w:r>
        <w:rPr>
          <w:rFonts w:hint="eastAsia" w:ascii="宋体" w:hAnsi="宋体" w:eastAsia="宋体" w:cs="宋体"/>
          <w:kern w:val="0"/>
          <w:sz w:val="21"/>
          <w:szCs w:val="21"/>
          <w:highlight w:val="none"/>
        </w:rPr>
        <w:t>则采取以下第</w:t>
      </w:r>
      <w:r>
        <w:rPr>
          <w:rFonts w:hint="eastAsia" w:ascii="宋体" w:hAnsi="宋体" w:eastAsia="宋体" w:cs="宋体"/>
          <w:kern w:val="0"/>
          <w:sz w:val="21"/>
          <w:szCs w:val="21"/>
          <w:highlight w:val="none"/>
          <w:lang w:val="en-US" w:eastAsia="zh-CN"/>
        </w:rPr>
        <w:t>1</w:t>
      </w:r>
      <w:r>
        <w:rPr>
          <w:rFonts w:hint="eastAsia" w:ascii="宋体" w:hAnsi="宋体" w:eastAsia="宋体" w:cs="宋体"/>
          <w:kern w:val="0"/>
          <w:sz w:val="21"/>
          <w:szCs w:val="21"/>
          <w:highlight w:val="none"/>
        </w:rPr>
        <w:t>种方式解决争议：</w:t>
      </w:r>
    </w:p>
    <w:p w14:paraId="0D840F5D">
      <w:pPr>
        <w:pStyle w:val="7"/>
        <w:spacing w:line="360" w:lineRule="auto"/>
        <w:ind w:firstLine="420"/>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（1）向甲方所在地有管辖权的人民法院提起诉讼；</w:t>
      </w:r>
    </w:p>
    <w:p w14:paraId="25604FA6">
      <w:pPr>
        <w:pStyle w:val="7"/>
        <w:spacing w:line="360" w:lineRule="auto"/>
        <w:ind w:firstLine="420"/>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（2）向____________仲裁委员会按其仲裁规则申请仲裁。</w:t>
      </w:r>
    </w:p>
    <w:p w14:paraId="3B4DA0DE">
      <w:pPr>
        <w:tabs>
          <w:tab w:val="left" w:pos="0"/>
        </w:tabs>
        <w:spacing w:line="360" w:lineRule="auto"/>
        <w:ind w:firstLine="420" w:firstLineChars="200"/>
        <w:rPr>
          <w:rFonts w:hint="eastAsia" w:ascii="宋体" w:hAnsi="宋体" w:eastAsia="宋体" w:cs="宋体"/>
          <w:szCs w:val="21"/>
          <w:highlight w:val="none"/>
        </w:rPr>
      </w:pPr>
      <w:r>
        <w:rPr>
          <w:rFonts w:hint="eastAsia" w:ascii="宋体" w:hAnsi="宋体" w:eastAsia="宋体" w:cs="宋体"/>
          <w:kern w:val="0"/>
          <w:szCs w:val="21"/>
          <w:highlight w:val="none"/>
        </w:rPr>
        <w:t>2.在仲裁期间，本合同应继续履行。</w:t>
      </w:r>
    </w:p>
    <w:p w14:paraId="16738730">
      <w:pPr>
        <w:spacing w:before="120" w:beforeLines="50" w:after="120" w:afterLines="50" w:line="360" w:lineRule="auto"/>
        <w:ind w:left="425"/>
        <w:rPr>
          <w:rFonts w:hint="eastAsia" w:ascii="宋体" w:hAnsi="宋体" w:eastAsia="宋体" w:cs="宋体"/>
          <w:b/>
          <w:sz w:val="30"/>
          <w:szCs w:val="30"/>
          <w:highlight w:val="none"/>
        </w:rPr>
      </w:pPr>
      <w:bookmarkStart w:id="34" w:name="_Toc225654650"/>
      <w:bookmarkStart w:id="35" w:name="_Toc211911354"/>
      <w:bookmarkStart w:id="36" w:name="_Toc211854455"/>
      <w:bookmarkStart w:id="37" w:name="_Toc212019600"/>
      <w:bookmarkStart w:id="38" w:name="_Toc239233920"/>
      <w:bookmarkStart w:id="39" w:name="_Toc225670757"/>
      <w:bookmarkStart w:id="40" w:name="_Toc185395255"/>
      <w:bookmarkStart w:id="41" w:name="_Toc247334847"/>
      <w:bookmarkStart w:id="42" w:name="_Toc239568424"/>
      <w:bookmarkStart w:id="43" w:name="_Toc241833909"/>
      <w:bookmarkStart w:id="44" w:name="_Toc282696231"/>
      <w:bookmarkStart w:id="45" w:name="_Toc283019219"/>
      <w:bookmarkStart w:id="46" w:name="_Toc286993793"/>
      <w:bookmarkStart w:id="47" w:name="_Toc237145412"/>
      <w:bookmarkStart w:id="48" w:name="_Toc251768868"/>
      <w:bookmarkStart w:id="49" w:name="_Toc238984981"/>
      <w:bookmarkStart w:id="50" w:name="_Toc225244858"/>
      <w:bookmarkStart w:id="51" w:name="_Toc232492934"/>
      <w:r>
        <w:rPr>
          <w:rFonts w:hint="eastAsia" w:ascii="宋体" w:hAnsi="宋体" w:eastAsia="宋体" w:cs="宋体"/>
          <w:b/>
          <w:sz w:val="30"/>
          <w:szCs w:val="30"/>
          <w:highlight w:val="none"/>
        </w:rPr>
        <w:t>第十四条  合同</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r>
        <w:rPr>
          <w:rFonts w:hint="eastAsia" w:ascii="宋体" w:hAnsi="宋体" w:eastAsia="宋体" w:cs="宋体"/>
          <w:b/>
          <w:sz w:val="30"/>
          <w:szCs w:val="30"/>
          <w:highlight w:val="none"/>
        </w:rPr>
        <w:t>生效及其他</w:t>
      </w:r>
    </w:p>
    <w:p w14:paraId="164BC267">
      <w:pPr>
        <w:pStyle w:val="8"/>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1.合同经双方法定代表人或授权委托代理人签字并加盖单位公章后生效。</w:t>
      </w:r>
    </w:p>
    <w:p w14:paraId="28214C14">
      <w:pPr>
        <w:pStyle w:val="8"/>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2.合同执行中涉及采购资金和采购内容修改或补充的，须经政府采购监管部门审批，并签书面补充协议报政府采购监督管理部门备案，方可作为主合同不可分割的一部分。</w:t>
      </w:r>
    </w:p>
    <w:p w14:paraId="0EC11E5F">
      <w:pPr>
        <w:pStyle w:val="8"/>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3.本合同一式</w:t>
      </w:r>
      <w:r>
        <w:rPr>
          <w:rFonts w:hint="eastAsia" w:ascii="宋体" w:hAnsi="宋体" w:eastAsia="宋体" w:cs="宋体"/>
          <w:color w:val="000000"/>
          <w:sz w:val="21"/>
          <w:szCs w:val="21"/>
          <w:highlight w:val="none"/>
        </w:rPr>
        <w:t>XX</w:t>
      </w:r>
      <w:r>
        <w:rPr>
          <w:rFonts w:hint="eastAsia" w:ascii="宋体" w:hAnsi="宋体" w:eastAsia="宋体" w:cs="宋体"/>
          <w:sz w:val="21"/>
          <w:szCs w:val="21"/>
          <w:highlight w:val="none"/>
        </w:rPr>
        <w:t>份，自双方签章之日起起效。甲方</w:t>
      </w:r>
      <w:r>
        <w:rPr>
          <w:rFonts w:hint="eastAsia" w:ascii="宋体" w:hAnsi="宋体" w:eastAsia="宋体" w:cs="宋体"/>
          <w:color w:val="000000"/>
          <w:sz w:val="21"/>
          <w:szCs w:val="21"/>
          <w:highlight w:val="none"/>
        </w:rPr>
        <w:t>XX</w:t>
      </w:r>
      <w:r>
        <w:rPr>
          <w:rFonts w:hint="eastAsia" w:ascii="宋体" w:hAnsi="宋体" w:eastAsia="宋体" w:cs="宋体"/>
          <w:sz w:val="21"/>
          <w:szCs w:val="21"/>
          <w:highlight w:val="none"/>
        </w:rPr>
        <w:t>份，乙方</w:t>
      </w:r>
      <w:r>
        <w:rPr>
          <w:rFonts w:hint="eastAsia" w:ascii="宋体" w:hAnsi="宋体" w:eastAsia="宋体" w:cs="宋体"/>
          <w:color w:val="000000"/>
          <w:sz w:val="21"/>
          <w:szCs w:val="21"/>
          <w:highlight w:val="none"/>
        </w:rPr>
        <w:t>XX</w:t>
      </w:r>
      <w:r>
        <w:rPr>
          <w:rFonts w:hint="eastAsia" w:ascii="宋体" w:hAnsi="宋体" w:eastAsia="宋体" w:cs="宋体"/>
          <w:sz w:val="21"/>
          <w:szCs w:val="21"/>
          <w:highlight w:val="none"/>
        </w:rPr>
        <w:t>份，政府采购代理机构</w:t>
      </w:r>
      <w:r>
        <w:rPr>
          <w:rFonts w:hint="eastAsia" w:ascii="宋体" w:hAnsi="宋体" w:eastAsia="宋体" w:cs="宋体"/>
          <w:color w:val="000000"/>
          <w:sz w:val="21"/>
          <w:szCs w:val="21"/>
          <w:highlight w:val="none"/>
        </w:rPr>
        <w:t>XX</w:t>
      </w:r>
      <w:r>
        <w:rPr>
          <w:rFonts w:hint="eastAsia" w:ascii="宋体" w:hAnsi="宋体" w:eastAsia="宋体" w:cs="宋体"/>
          <w:sz w:val="21"/>
          <w:szCs w:val="21"/>
          <w:highlight w:val="none"/>
        </w:rPr>
        <w:t>份，同级财政部门备案</w:t>
      </w:r>
      <w:r>
        <w:rPr>
          <w:rFonts w:hint="eastAsia" w:ascii="宋体" w:hAnsi="宋体" w:eastAsia="宋体" w:cs="宋体"/>
          <w:color w:val="000000"/>
          <w:sz w:val="21"/>
          <w:szCs w:val="21"/>
          <w:highlight w:val="none"/>
        </w:rPr>
        <w:t>XX</w:t>
      </w:r>
      <w:r>
        <w:rPr>
          <w:rFonts w:hint="eastAsia" w:ascii="宋体" w:hAnsi="宋体" w:eastAsia="宋体" w:cs="宋体"/>
          <w:sz w:val="21"/>
          <w:szCs w:val="21"/>
          <w:highlight w:val="none"/>
        </w:rPr>
        <w:t>份，具有同等法律效力。</w:t>
      </w:r>
    </w:p>
    <w:p w14:paraId="62B007AF">
      <w:pPr>
        <w:spacing w:after="120" w:afterLines="50" w:line="360" w:lineRule="auto"/>
        <w:ind w:left="425"/>
        <w:rPr>
          <w:rFonts w:hint="eastAsia" w:ascii="宋体" w:hAnsi="宋体" w:eastAsia="宋体" w:cs="宋体"/>
          <w:b/>
          <w:sz w:val="30"/>
          <w:szCs w:val="30"/>
          <w:highlight w:val="none"/>
        </w:rPr>
      </w:pPr>
      <w:r>
        <w:rPr>
          <w:rFonts w:hint="eastAsia" w:ascii="宋体" w:hAnsi="宋体" w:eastAsia="宋体" w:cs="宋体"/>
          <w:b/>
          <w:sz w:val="30"/>
          <w:szCs w:val="30"/>
          <w:highlight w:val="none"/>
        </w:rPr>
        <w:t>第十五条  附件</w:t>
      </w:r>
    </w:p>
    <w:p w14:paraId="43F96F59">
      <w:pPr>
        <w:pStyle w:val="8"/>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1.项目招标文件</w:t>
      </w:r>
    </w:p>
    <w:p w14:paraId="734C93A1">
      <w:pPr>
        <w:pStyle w:val="8"/>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2.项目修改澄清文件</w:t>
      </w:r>
    </w:p>
    <w:p w14:paraId="39DEEC6F">
      <w:pPr>
        <w:pStyle w:val="8"/>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3.项目投标文件</w:t>
      </w:r>
    </w:p>
    <w:p w14:paraId="3BF05AE0">
      <w:pPr>
        <w:pStyle w:val="8"/>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4.中标通知书</w:t>
      </w:r>
    </w:p>
    <w:p w14:paraId="25DDF76E">
      <w:pPr>
        <w:pStyle w:val="8"/>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5.其他</w:t>
      </w:r>
    </w:p>
    <w:p w14:paraId="3E896E50">
      <w:pPr>
        <w:spacing w:line="360" w:lineRule="auto"/>
        <w:ind w:firstLine="420" w:firstLineChars="200"/>
        <w:rPr>
          <w:rFonts w:hint="eastAsia" w:ascii="宋体" w:hAnsi="宋体" w:eastAsia="宋体" w:cs="宋体"/>
          <w:szCs w:val="21"/>
          <w:highlight w:val="none"/>
        </w:rPr>
      </w:pPr>
    </w:p>
    <w:p w14:paraId="60952244">
      <w:pPr>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 xml:space="preserve">甲方：   （盖章）   </w:t>
      </w:r>
      <w:r>
        <w:rPr>
          <w:rFonts w:hint="eastAsia" w:ascii="宋体" w:hAnsi="宋体" w:eastAsia="宋体" w:cs="宋体"/>
          <w:szCs w:val="21"/>
          <w:highlight w:val="none"/>
        </w:rPr>
        <w:tab/>
      </w:r>
      <w:r>
        <w:rPr>
          <w:rFonts w:hint="eastAsia" w:ascii="宋体" w:hAnsi="宋体" w:eastAsia="宋体" w:cs="宋体"/>
          <w:szCs w:val="21"/>
          <w:highlight w:val="none"/>
        </w:rPr>
        <w:tab/>
      </w:r>
      <w:r>
        <w:rPr>
          <w:rFonts w:hint="eastAsia" w:ascii="宋体" w:hAnsi="宋体" w:eastAsia="宋体" w:cs="宋体"/>
          <w:szCs w:val="21"/>
          <w:highlight w:val="none"/>
        </w:rPr>
        <w:tab/>
      </w:r>
      <w:r>
        <w:rPr>
          <w:rFonts w:hint="eastAsia" w:ascii="宋体" w:hAnsi="宋体" w:eastAsia="宋体" w:cs="宋体"/>
          <w:szCs w:val="21"/>
          <w:highlight w:val="none"/>
        </w:rPr>
        <w:t xml:space="preserve">       乙方：   （盖章）</w:t>
      </w:r>
    </w:p>
    <w:p w14:paraId="4F1A00AA">
      <w:pPr>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法定代表人（委托代理人）：             法定代表人（委托代理人）：</w:t>
      </w:r>
    </w:p>
    <w:p w14:paraId="76F5E554">
      <w:pPr>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地    址：                             地    址：</w:t>
      </w:r>
    </w:p>
    <w:p w14:paraId="0FBF46B7">
      <w:pPr>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开户银行：                             开户银行：</w:t>
      </w:r>
    </w:p>
    <w:p w14:paraId="1AB866C9">
      <w:pPr>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账号：                                 账号：</w:t>
      </w:r>
    </w:p>
    <w:p w14:paraId="6B7FB9AF">
      <w:pPr>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电    话：                             电    话：</w:t>
      </w:r>
    </w:p>
    <w:p w14:paraId="0BDF4058">
      <w:pPr>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传    真：                             传    真：</w:t>
      </w:r>
    </w:p>
    <w:p w14:paraId="3D8D9EDF">
      <w:pPr>
        <w:spacing w:line="360" w:lineRule="auto"/>
        <w:ind w:firstLine="420" w:firstLineChars="200"/>
      </w:pPr>
      <w:r>
        <w:rPr>
          <w:rFonts w:hint="eastAsia" w:ascii="宋体" w:hAnsi="宋体" w:eastAsia="宋体" w:cs="宋体"/>
          <w:szCs w:val="21"/>
          <w:highlight w:val="none"/>
        </w:rPr>
        <w:t xml:space="preserve">签约日期：  年  月  日 </w:t>
      </w:r>
      <w:r>
        <w:rPr>
          <w:rFonts w:hint="eastAsia" w:ascii="宋体" w:hAnsi="宋体" w:eastAsia="宋体" w:cs="宋体"/>
          <w:szCs w:val="21"/>
          <w:highlight w:val="none"/>
        </w:rPr>
        <w:tab/>
      </w:r>
      <w:r>
        <w:rPr>
          <w:rFonts w:hint="eastAsia" w:ascii="宋体" w:hAnsi="宋体" w:eastAsia="宋体" w:cs="宋体"/>
          <w:szCs w:val="21"/>
          <w:highlight w:val="none"/>
        </w:rPr>
        <w:tab/>
      </w:r>
      <w:r>
        <w:rPr>
          <w:rFonts w:hint="eastAsia" w:ascii="宋体" w:hAnsi="宋体" w:eastAsia="宋体" w:cs="宋体"/>
          <w:szCs w:val="21"/>
          <w:highlight w:val="none"/>
        </w:rPr>
        <w:tab/>
      </w:r>
      <w:r>
        <w:rPr>
          <w:rFonts w:hint="eastAsia" w:ascii="宋体" w:hAnsi="宋体" w:eastAsia="宋体" w:cs="宋体"/>
          <w:szCs w:val="21"/>
          <w:highlight w:val="none"/>
        </w:rPr>
        <w:t xml:space="preserve">   </w:t>
      </w:r>
      <w:r>
        <w:rPr>
          <w:rFonts w:hint="eastAsia" w:ascii="宋体" w:hAnsi="宋体" w:cs="宋体"/>
          <w:szCs w:val="21"/>
          <w:highlight w:val="none"/>
          <w:lang w:val="en-US" w:eastAsia="zh-CN"/>
        </w:rPr>
        <w:t xml:space="preserve">    </w:t>
      </w:r>
      <w:r>
        <w:rPr>
          <w:rFonts w:hint="eastAsia" w:ascii="宋体" w:hAnsi="宋体" w:eastAsia="宋体" w:cs="宋体"/>
          <w:szCs w:val="21"/>
          <w:highlight w:val="none"/>
        </w:rPr>
        <w:t xml:space="preserve">签约日期：    年  月  </w:t>
      </w:r>
      <w:r>
        <w:rPr>
          <w:rFonts w:hint="eastAsia" w:ascii="宋体" w:hAnsi="宋体" w:eastAsia="宋体" w:cs="宋体"/>
          <w:color w:val="000000"/>
          <w:szCs w:val="21"/>
          <w:highlight w:val="none"/>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pperplate Gothic Bold">
    <w:panose1 w:val="020E0705020206020404"/>
    <w:charset w:val="00"/>
    <w:family w:val="swiss"/>
    <w:pitch w:val="default"/>
    <w:sig w:usb0="00000003" w:usb1="00000000" w:usb2="00000000" w:usb3="00000000" w:csb0="2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C2C4B8D"/>
    <w:multiLevelType w:val="singleLevel"/>
    <w:tmpl w:val="2C2C4B8D"/>
    <w:lvl w:ilvl="0" w:tentative="0">
      <w:start w:val="1"/>
      <w:numFmt w:val="japaneseCounting"/>
      <w:lvlText w:val="第%1条"/>
      <w:lvlJc w:val="left"/>
      <w:pPr>
        <w:tabs>
          <w:tab w:val="left" w:pos="1379"/>
        </w:tabs>
        <w:ind w:left="1379" w:hanging="1095"/>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F8B118C"/>
    <w:rsid w:val="24DF7B6A"/>
    <w:rsid w:val="2A051B9F"/>
    <w:rsid w:val="2C3D23B8"/>
    <w:rsid w:val="3D134156"/>
    <w:rsid w:val="3DB45E7C"/>
    <w:rsid w:val="46BA231F"/>
    <w:rsid w:val="5999272E"/>
    <w:rsid w:val="646B7584"/>
    <w:rsid w:val="76B020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next w:val="3"/>
    <w:qFormat/>
    <w:uiPriority w:val="0"/>
    <w:pPr>
      <w:keepNext/>
      <w:keepLines/>
      <w:widowControl w:val="0"/>
      <w:spacing w:before="260" w:after="260" w:line="500" w:lineRule="exact"/>
      <w:jc w:val="both"/>
      <w:outlineLvl w:val="1"/>
    </w:pPr>
    <w:rPr>
      <w:rFonts w:ascii="Arial" w:hAnsi="Arial" w:eastAsia="黑体" w:cs="Times New Roman"/>
      <w:b/>
      <w:kern w:val="2"/>
      <w:sz w:val="28"/>
      <w:szCs w:val="20"/>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Normal Indent"/>
    <w:qFormat/>
    <w:uiPriority w:val="0"/>
    <w:pPr>
      <w:widowControl w:val="0"/>
      <w:ind w:firstLine="420"/>
      <w:jc w:val="both"/>
    </w:pPr>
    <w:rPr>
      <w:rFonts w:ascii="Times New Roman" w:hAnsi="Times New Roman" w:eastAsia="宋体" w:cs="Times New Roman"/>
      <w:kern w:val="2"/>
      <w:sz w:val="21"/>
      <w:szCs w:val="20"/>
      <w:lang w:val="en-US" w:eastAsia="zh-CN" w:bidi="ar-SA"/>
    </w:rPr>
  </w:style>
  <w:style w:type="paragraph" w:styleId="4">
    <w:name w:val="Body Text First Indent"/>
    <w:next w:val="1"/>
    <w:unhideWhenUsed/>
    <w:qFormat/>
    <w:uiPriority w:val="99"/>
    <w:pPr>
      <w:widowControl w:val="0"/>
      <w:ind w:firstLine="420" w:firstLineChars="100"/>
    </w:pPr>
    <w:rPr>
      <w:rFonts w:ascii="Copperplate Gothic Bold" w:hAnsi="Copperplate Gothic Bold" w:eastAsia="宋体" w:cs="Times New Roman"/>
      <w:kern w:val="2"/>
      <w:sz w:val="28"/>
      <w:szCs w:val="24"/>
      <w:lang w:val="en-US" w:eastAsia="zh-CN" w:bidi="ar-SA"/>
    </w:rPr>
  </w:style>
  <w:style w:type="paragraph" w:customStyle="1" w:styleId="7">
    <w:name w:val="样式 首行缩进:  2 字符"/>
    <w:qFormat/>
    <w:uiPriority w:val="0"/>
    <w:pPr>
      <w:widowControl w:val="0"/>
      <w:spacing w:line="400" w:lineRule="exact"/>
      <w:ind w:firstLine="200" w:firstLineChars="200"/>
      <w:jc w:val="both"/>
    </w:pPr>
    <w:rPr>
      <w:rFonts w:ascii="Times New Roman" w:hAnsi="Times New Roman" w:eastAsia="宋体" w:cs="宋体"/>
      <w:kern w:val="2"/>
      <w:sz w:val="24"/>
      <w:szCs w:val="24"/>
      <w:lang w:val="en-US" w:eastAsia="zh-CN" w:bidi="ar-SA"/>
    </w:rPr>
  </w:style>
  <w:style w:type="paragraph" w:styleId="8">
    <w:name w:val="List Paragraph"/>
    <w:qFormat/>
    <w:uiPriority w:val="0"/>
    <w:pPr>
      <w:widowControl w:val="0"/>
      <w:ind w:firstLine="420" w:firstLineChars="200"/>
      <w:jc w:val="both"/>
    </w:pPr>
    <w:rPr>
      <w:rFonts w:ascii="Times New Roman" w:hAnsi="Times New Roman" w:eastAsia="宋体" w:cs="Times New Roman"/>
      <w:kern w:val="2"/>
      <w:sz w:val="18"/>
      <w:szCs w:val="18"/>
      <w:lang w:val="en-US" w:eastAsia="zh-CN" w:bidi="ar-SA"/>
    </w:rPr>
  </w:style>
  <w:style w:type="paragraph" w:customStyle="1" w:styleId="9">
    <w:name w:val="null3"/>
    <w:hidden/>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2005</Words>
  <Characters>2079</Characters>
  <Lines>0</Lines>
  <Paragraphs>0</Paragraphs>
  <TotalTime>3</TotalTime>
  <ScaleCrop>false</ScaleCrop>
  <LinksUpToDate>false</LinksUpToDate>
  <CharactersWithSpaces>2374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2026-01-09T09:22:00Z</dcterms:created>
  <dc:creator>Administrator</dc:creator>
  <cp:lastModifiedBy>乖宝宝</cp:lastModifiedBy>
  <dcterms:modified xsi:type="dcterms:W3CDTF">2026-07-16T09:39:34Z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eyJoZGlkIjoiYzgyNzY1N2Y4ZDg3YTE3MjJlY2RiYWRhOGMzZDU3NTgiLCJ1c2VySWQiOiI5Mzk2MzI4OTUifQ==</vt:lpwstr>
  </property>
  <property fmtid="{D5CDD505-2E9C-101B-9397-08002B2CF9AE}" pid="4" name="ICV">
    <vt:lpwstr>CFABF06B87154F77B97BD2130889790D_12</vt:lpwstr>
  </property>
</Properties>
</file>