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版本号：KY2026-3-23720260703001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高陵新址化粪池清运项目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KY2026-3-237</w:t>
      </w:r>
      <w:r>
        <w:br/>
      </w:r>
      <w:r>
        <w:br/>
      </w:r>
      <w:r>
        <w:br/>
      </w:r>
    </w:p>
    <w:p>
      <w:pPr>
        <w:pStyle w:val="null3"/>
        <w:jc w:val="center"/>
        <w:outlineLvl w:val="2"/>
      </w:pPr>
      <w:r>
        <w:rPr>
          <w:rFonts w:ascii="仿宋_GB2312" w:hAnsi="仿宋_GB2312" w:cs="仿宋_GB2312" w:eastAsia="仿宋_GB2312"/>
          <w:sz w:val="28"/>
          <w:b/>
        </w:rPr>
        <w:t>西安市疾病预防控制中心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高陵新址化粪池清运项目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高陵新址化粪池清运项目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高陵新址化粪池清运项目。简要技术要求：详见磋商文件第3章。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采购包1（高陵新址化粪池清运项目）：属于专门面向小微企业采购。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承诺函1：具有良好的商业信誉和健全的财务会计制度、具有履行合同所必需的设备和专业技术能力、有依法缴纳税收和社会保障资金的良好记录、参加政府采购活动前三年内，在经营活动中没有重大违法记录的承诺函。（提供承诺函）</w:t>
      </w:r>
    </w:p>
    <w:p>
      <w:pPr>
        <w:pStyle w:val="null3"/>
      </w:pPr>
      <w:r>
        <w:rPr>
          <w:rFonts w:ascii="仿宋_GB2312" w:hAnsi="仿宋_GB2312" w:cs="仿宋_GB2312" w:eastAsia="仿宋_GB2312"/>
        </w:rPr>
        <w:t>3、法定代表人授权书及被授权人身份证：供应商应授权合法的人员参加磋商全过程，其中法定代表人直接参加谈判的，须出具法定代表人身份证，并与营业执照上信息一致。法定代表人授权代表参加磋商的，须出具法定代表人授权书及授权代表身份证，同时提供授权代表由供应商缴纳的开标日期前连续3个月的社保记录或与供应商之间存在合法劳动关系的证明材料</w:t>
      </w:r>
    </w:p>
    <w:p>
      <w:pPr>
        <w:pStyle w:val="null3"/>
      </w:pPr>
      <w:r>
        <w:rPr>
          <w:rFonts w:ascii="仿宋_GB2312" w:hAnsi="仿宋_GB2312" w:cs="仿宋_GB2312" w:eastAsia="仿宋_GB2312"/>
        </w:rPr>
        <w:t>4、承诺函2：供应商与其他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5、承诺函3：本项目不接受由西安市疾病预防控制中心职工及其亲属投资开办的企业参加本单位的政府采购活动（提供承诺函）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6、中小企业声明函：提供中小企业声明函。（本项目为专门面向小、微型企业采购项目）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陕西省西安市高陵区耿镇街道渭阳大道与西韩大道交汇处西安市疾病预防控制中心（西安市卫生健康综合监督所）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029-85539878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1.供应商在本项目实施过程中，因履行合同需要而采用的自有知识产权技术方案、软件系统或专利设计，须在响应文件中明确列出，并书面承诺该知识产权的使用范围。 2.若供应商需引入第三方知识成果，供应商须确保其拥有合法授权，且该授权应覆盖采购人在项目生命周期内的正常使用需求。 3.供应商应保证其提供的设备及技术方案不侵犯任何第三方的知识产权。如发生侵权纠纷，供应商承担全部法律责任及由此给采购人造成的损失。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高陵新址化粪池清运项目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化粪池清运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标的名称：化粪池清运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设施基础参数</w:t>
            </w:r>
          </w:p>
          <w:p>
            <w:pPr>
              <w:pStyle w:val="null3"/>
            </w:pPr>
            <w:r>
              <w:rPr>
                <w:rFonts w:ascii="仿宋_GB2312" w:hAnsi="仿宋_GB2312" w:cs="仿宋_GB2312" w:eastAsia="仿宋_GB2312"/>
              </w:rPr>
              <w:t>1. 管道：室内污水管合计63.2m，室外雨水管网1614.85m</w:t>
            </w:r>
            <w:r>
              <w:rPr>
                <w:rFonts w:ascii="仿宋_GB2312" w:hAnsi="仿宋_GB2312" w:cs="仿宋_GB2312" w:eastAsia="仿宋_GB2312"/>
              </w:rPr>
              <w:t>；</w:t>
            </w:r>
          </w:p>
          <w:p>
            <w:pPr>
              <w:pStyle w:val="null3"/>
            </w:pPr>
            <w:r>
              <w:rPr>
                <w:rFonts w:ascii="仿宋_GB2312" w:hAnsi="仿宋_GB2312" w:cs="仿宋_GB2312" w:eastAsia="仿宋_GB2312"/>
              </w:rPr>
              <w:t>2. 池体：隔油池1座：5m³、化粪池2座：80m³和100m³</w:t>
            </w:r>
            <w:r>
              <w:rPr>
                <w:rFonts w:ascii="仿宋_GB2312" w:hAnsi="仿宋_GB2312" w:cs="仿宋_GB2312" w:eastAsia="仿宋_GB2312"/>
              </w:rPr>
              <w:t>；</w:t>
            </w:r>
          </w:p>
          <w:p>
            <w:pPr>
              <w:pStyle w:val="null3"/>
            </w:pPr>
            <w:r>
              <w:rPr>
                <w:rFonts w:ascii="仿宋_GB2312" w:hAnsi="仿宋_GB2312" w:cs="仿宋_GB2312" w:eastAsia="仿宋_GB2312"/>
              </w:rPr>
              <w:t>3. 洁具：小便池79套、坐便器6套、蹲便器129套。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服务要求</w:t>
            </w:r>
          </w:p>
          <w:p>
            <w:pPr>
              <w:pStyle w:val="null3"/>
            </w:pPr>
            <w:r>
              <w:rPr>
                <w:rFonts w:ascii="仿宋_GB2312" w:hAnsi="仿宋_GB2312" w:cs="仿宋_GB2312" w:eastAsia="仿宋_GB2312"/>
              </w:rPr>
              <w:t>1. 人员配置：安排2名固定专职人员驻场（可以采用倒班制），负责各类洁具日常巡检、疏通、简易维修</w:t>
            </w:r>
            <w:r>
              <w:rPr>
                <w:rFonts w:ascii="仿宋_GB2312" w:hAnsi="仿宋_GB2312" w:cs="仿宋_GB2312" w:eastAsia="仿宋_GB2312"/>
              </w:rPr>
              <w:t>；</w:t>
            </w:r>
          </w:p>
          <w:p>
            <w:pPr>
              <w:pStyle w:val="null3"/>
            </w:pPr>
            <w:r>
              <w:rPr>
                <w:rFonts w:ascii="仿宋_GB2312" w:hAnsi="仿宋_GB2312" w:cs="仿宋_GB2312" w:eastAsia="仿宋_GB2312"/>
              </w:rPr>
              <w:t>2. 定期作业：化粪池每月清掏清运至少2-3次；隔油池每周定期全面清洗1次；全院管道每季度疏通1次</w:t>
            </w:r>
            <w:r>
              <w:rPr>
                <w:rFonts w:ascii="仿宋_GB2312" w:hAnsi="仿宋_GB2312" w:cs="仿宋_GB2312" w:eastAsia="仿宋_GB2312"/>
              </w:rPr>
              <w:t>；</w:t>
            </w:r>
          </w:p>
          <w:p>
            <w:pPr>
              <w:pStyle w:val="null3"/>
            </w:pPr>
            <w:r>
              <w:rPr>
                <w:rFonts w:ascii="仿宋_GB2312" w:hAnsi="仿宋_GB2312" w:cs="仿宋_GB2312" w:eastAsia="仿宋_GB2312"/>
              </w:rPr>
              <w:t>3. 全域包含管道、隔油池、洁具检修、清淤、粪污清运、现场消杀、配件辅材、税费等全部工作。</w:t>
            </w:r>
          </w:p>
          <w:p>
            <w:pPr>
              <w:pStyle w:val="null3"/>
            </w:pPr>
            <w:r>
              <w:rPr>
                <w:rFonts w:ascii="仿宋_GB2312" w:hAnsi="仿宋_GB2312" w:cs="仿宋_GB2312" w:eastAsia="仿宋_GB2312"/>
              </w:rPr>
              <w:t>4.至少投入2辆吸污用车辆。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费用涵盖范围</w:t>
            </w:r>
          </w:p>
          <w:p>
            <w:pPr>
              <w:pStyle w:val="null3"/>
            </w:pPr>
            <w:r>
              <w:rPr>
                <w:rFonts w:ascii="仿宋_GB2312" w:hAnsi="仿宋_GB2312" w:cs="仿宋_GB2312" w:eastAsia="仿宋_GB2312"/>
              </w:rPr>
              <w:t>1. 管道及池体基础养护</w:t>
            </w:r>
            <w:r>
              <w:rPr>
                <w:rFonts w:ascii="仿宋_GB2312" w:hAnsi="仿宋_GB2312" w:cs="仿宋_GB2312" w:eastAsia="仿宋_GB2312"/>
              </w:rPr>
              <w:t>；</w:t>
            </w:r>
          </w:p>
          <w:p>
            <w:pPr>
              <w:pStyle w:val="null3"/>
            </w:pPr>
            <w:r>
              <w:rPr>
                <w:rFonts w:ascii="仿宋_GB2312" w:hAnsi="仿宋_GB2312" w:cs="仿宋_GB2312" w:eastAsia="仿宋_GB2312"/>
              </w:rPr>
              <w:t>2. 卫生洁具运维</w:t>
            </w:r>
            <w:r>
              <w:rPr>
                <w:rFonts w:ascii="仿宋_GB2312" w:hAnsi="仿宋_GB2312" w:cs="仿宋_GB2312" w:eastAsia="仿宋_GB2312"/>
              </w:rPr>
              <w:t>；</w:t>
            </w:r>
          </w:p>
          <w:p>
            <w:pPr>
              <w:pStyle w:val="null3"/>
            </w:pPr>
            <w:r>
              <w:rPr>
                <w:rFonts w:ascii="仿宋_GB2312" w:hAnsi="仿宋_GB2312" w:cs="仿宋_GB2312" w:eastAsia="仿宋_GB2312"/>
              </w:rPr>
              <w:t>3. 驻场人员全年服务费</w:t>
            </w:r>
            <w:r>
              <w:rPr>
                <w:rFonts w:ascii="仿宋_GB2312" w:hAnsi="仿宋_GB2312" w:cs="仿宋_GB2312" w:eastAsia="仿宋_GB2312"/>
              </w:rPr>
              <w:t>；</w:t>
            </w:r>
          </w:p>
          <w:p>
            <w:pPr>
              <w:pStyle w:val="null3"/>
            </w:pPr>
            <w:r>
              <w:rPr>
                <w:rFonts w:ascii="仿宋_GB2312" w:hAnsi="仿宋_GB2312" w:cs="仿宋_GB2312" w:eastAsia="仿宋_GB2312"/>
              </w:rPr>
              <w:t>4. 化粪池+隔油池+管道定期清疏专项费用</w:t>
            </w:r>
            <w:r>
              <w:rPr>
                <w:rFonts w:ascii="仿宋_GB2312" w:hAnsi="仿宋_GB2312" w:cs="仿宋_GB2312" w:eastAsia="仿宋_GB2312"/>
              </w:rPr>
              <w:t>；</w:t>
            </w:r>
          </w:p>
          <w:p>
            <w:pPr>
              <w:pStyle w:val="null3"/>
            </w:pPr>
            <w:r>
              <w:rPr>
                <w:rFonts w:ascii="仿宋_GB2312" w:hAnsi="仿宋_GB2312" w:cs="仿宋_GB2312" w:eastAsia="仿宋_GB2312"/>
              </w:rPr>
              <w:t>5.供应商承诺报价包含所有耗材费用。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报价要求：本项目管道疏通、吸污/隔油池清理、驻场人员分别进行报价，最高限价分别为：管道疏通25元/m，吸污/隔油池清理：90元/m</w:t>
            </w:r>
            <w:r>
              <w:rPr>
                <w:rFonts w:ascii="仿宋_GB2312" w:hAnsi="仿宋_GB2312" w:cs="仿宋_GB2312" w:eastAsia="仿宋_GB2312"/>
                <w:vertAlign w:val="superscript"/>
              </w:rPr>
              <w:t>3</w:t>
            </w:r>
            <w:r>
              <w:rPr>
                <w:rFonts w:ascii="仿宋_GB2312" w:hAnsi="仿宋_GB2312" w:cs="仿宋_GB2312" w:eastAsia="仿宋_GB2312"/>
              </w:rPr>
              <w:t>，驻场人员：5000元/每人/月（供应商需承诺为驻场人员缴纳社会保险），供应商每次报价均不得超过最高限价，超过最高限价按无效文件处理。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西安市疾病预防控制中心高陵新址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进度款，本项目付款方式按季度支付，采购人在收到成交供应商开具的增值税专用发票及付款依据等有效票据后按季度支付，季度末次月，达到付款条件起15个工作日内，支付合同总金额的25.0%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进度款，本项目付款方式按季度支付，采购人在收到成交供应商开具的增值税专用发票及付款依据等有效票据后按季度支付，季度末次月，达到付款条件起15个工作日内，支付合同总金额的25.0%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进度款，本项目付款方式按季度支付，采购人在收到成交供应商开具的增值税专用发票及付款依据等有效票据后按季度支付，季度末次月，达到付款条件起15个工作日内，支付合同总金额的25.0%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其他，本项目付款方式按季度支付，采购人在收到成交供应商开具的增值税专用发票及付款依据等有效票据后按季度支付，季度末次月，达到付款条件起15个工作日内，支付合同总金额的25.0%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⑩《国务院办公厅关于在政府采购中实施本国产品标准及相关政策的通知》国办发〔2025〕34号；（不适用） ⑪若享受以上政策优惠的企业，提供相应声明函或品目范围内产品有效认证证书。如有最新颁布的政府采购政策，按最新的文件执行。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499094051@qq.com，并以邮件接收时间为退付的基准时间。 3、磋商文件中所有的商务要求均为实质性要求，供应商必须响应并满足。 4、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递交地址：西安市雁展路1111号莱安中心T6-15层。（纸质响应文件可邮寄（顺丰快递），邮件签收时间应在递交电子响应文件截止时间之前，邮寄地址：西安市雁展路1111号莱安中心T6-15层，联系人：谢婷婷，联系电话：029-81206622/81206633-832）。若电子响应文件与纸质响应文件不一致的，以电子响应文件为准。 5、因系统原因，本项目在开标一栏表/响应报价表及标的清单中均填写驻场人员单价，供应商须在分项报价表中明确管道疏通、吸污/隔油池清理、驻场人员三类报价，二次报价为最终报价，二次报价时供应商须在系统中填写驻场人员单价，随二次报价上传分项报价附件，分项报价要求同上，采购人以二次报价中的分项报价作为结算依据，根据实际工作量结算。本项要求为实质性要求。 6、价格分评审以二次报价的分项报价作为评审依据，具体如下：第一部分：清理工作综合单价：化粪池/隔油池清理单价+管道疏通单价之和作为评审依据，第二部分：驻场人员单价作为评审依据。 7、结算要求：本项目依据供应商二次报价所附分项报价表作为结算依据，据实结算，最后结算金额不超过本项目预算。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有依法缴纳税收和社会保障资金的良好记录、参加政府采购活动前三年内，在经营活动中没有重大违法记录的承诺函。（提供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供应商应授权合法的人员参加磋商全过程，其中法定代表人直接参加谈判的，须出具法定代表人身份证，并与营业执照上信息一致。法定代表人授权代表参加磋商的，须出具法定代表人授权书及授权代表身份证，同时提供授权代表由供应商缴纳的开标日期前连续3个月的社保记录或与供应商之间存在合法劳动关系的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供应商与其他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承诺函3</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分项报价表（服务）.docx 标的清单 报价表 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其他说明.docx 商务条款响应说明.docx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包括但不限于：①化粪池清掏清运方案；②隔油池定期清洗方案；③室内污水管定期疏通清淤方案；④室外雨水管网定期疏通清淤方案；⑤洁具检修方案；⑥管道及池体基础养护方案。 以上方案每缺一项扣2分，每有一项内容中有1项缺陷扣1分，扣完为止；未提供不得分。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针对本项目提供安全保障措施，包括但不限于：①安全防范措施；②事前安全准备工作；③作业范围警戒线及专人看守、毒气检测等；④针对有限空间作业、有毒有害气体防护等有具体、完善的安全操作规程和保障措施；⑤安全服务承诺（包括严格按照规范流程检测有毒有害气体、作业人员下井作业必须2小时更换一次（循环作业）、作业人员防护装备配套齐全）等。 以上方案每缺一项扣2分，每有一项内容中有1项缺陷扣1分，扣完为止；未提供不得分。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2、详细评审---安全保障措施.docx</w:t>
            </w:r>
          </w:p>
        </w:tc>
      </w:tr>
      <w:tr>
        <w:tc>
          <w:tcPr>
            <w:tcW w:type="dxa" w:w="831"/>
            <w:vMerge/>
          </w:tcPr>
          <w:p/>
        </w:tc>
        <w:tc>
          <w:tcPr>
            <w:tcW w:type="dxa" w:w="1661"/>
          </w:tcPr>
          <w:p>
            <w:pPr>
              <w:pStyle w:val="null3"/>
            </w:pPr>
            <w:r>
              <w:rPr>
                <w:rFonts w:ascii="仿宋_GB2312" w:hAnsi="仿宋_GB2312" w:cs="仿宋_GB2312" w:eastAsia="仿宋_GB2312"/>
              </w:rPr>
              <w:t>服务质量承诺</w:t>
            </w:r>
          </w:p>
        </w:tc>
        <w:tc>
          <w:tcPr>
            <w:tcW w:type="dxa" w:w="2492"/>
          </w:tcPr>
          <w:p>
            <w:pPr>
              <w:pStyle w:val="null3"/>
            </w:pPr>
            <w:r>
              <w:rPr>
                <w:rFonts w:ascii="仿宋_GB2312" w:hAnsi="仿宋_GB2312" w:cs="仿宋_GB2312" w:eastAsia="仿宋_GB2312"/>
              </w:rPr>
              <w:t>供应商针对本项目提供服务质量承诺，包括但不限于：①有明确的服务响应时间（如接到通知后2小时内到场）；②有明确的投诉处理机制和返工承诺。以上方案每缺一项扣2分，每有一项内容中有1项缺陷扣1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3、详细评审---服务质量承诺.docx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供应商针对本项目提供实施进度计划，包括但不限于：①实施进度计划；②定期清理计划。 以上方案每缺一项扣2.5分，每有一项内容中有1项缺陷扣0.5分，扣完为止；未提供不得分。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4、详细评审---实施进度计划.docx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供应商针对本项目提供应急保障方案，包括但不限于：①针对暴雨堵塞、池体满溢等突发事件有明确的应急响应时间、处置流程和人员设备安排；②针对其他可能出现的紧急情况有切实可行的应急保障措施。 以上方案每缺一项扣2.5分，每有一项内容中有1项缺陷扣0.5分，扣完为止；未提供不得分。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5、详细评审---应急保障措施.docx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供应商针对本项目提供管理制度方案，包括但不限于：①上岗人员管理制度； ②日常管理制方案；③人员培训方案；④内部监督考核方案。以上方案每缺一项扣1分，每有一项内容中有1项缺陷扣0.5分，扣完为止；未提供不得分。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6、详细评审---管理方案.docx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供应商针对本项目提供项目团队人员配备方案，包括但不限于：人员配备数量及清单及拟投入人员分工，人员分工至少包括：项目管理人员、驾驶员、有毒有害有限空间作业人员等。人员清单明确，分工完整计的2分，未提供或有缺漏不计分。 2、提供B2级及以上驾驶员证书，计2分。 3、提供有毒有害有限空间作业人员培训证书每提供一人计3分，满分6分。 提供供应商为以上人员社保缴纳资料（所属时间：开标前半年内任意一个月）或与以上人员签订的劳动合同。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7、详细评审---项目团队人员配备.docx</w:t>
            </w:r>
          </w:p>
        </w:tc>
      </w:tr>
      <w:tr>
        <w:tc>
          <w:tcPr>
            <w:tcW w:type="dxa" w:w="831"/>
            <w:vMerge/>
          </w:tcPr>
          <w:p/>
        </w:tc>
        <w:tc>
          <w:tcPr>
            <w:tcW w:type="dxa" w:w="1661"/>
          </w:tcPr>
          <w:p>
            <w:pPr>
              <w:pStyle w:val="null3"/>
            </w:pPr>
            <w:r>
              <w:rPr>
                <w:rFonts w:ascii="仿宋_GB2312" w:hAnsi="仿宋_GB2312" w:cs="仿宋_GB2312" w:eastAsia="仿宋_GB2312"/>
              </w:rPr>
              <w:t>驻场人员情况</w:t>
            </w:r>
          </w:p>
        </w:tc>
        <w:tc>
          <w:tcPr>
            <w:tcW w:type="dxa" w:w="2492"/>
          </w:tcPr>
          <w:p>
            <w:pPr>
              <w:pStyle w:val="null3"/>
            </w:pPr>
            <w:r>
              <w:rPr>
                <w:rFonts w:ascii="仿宋_GB2312" w:hAnsi="仿宋_GB2312" w:cs="仿宋_GB2312" w:eastAsia="仿宋_GB2312"/>
              </w:rPr>
              <w:t>提供驻场人员清单，包括驻场人员姓名、职责，工作经验，驻场人员≥2人的计5分，不足2人不计分。需提供供应商为驻场人员社保缴纳的相关资料（所属时间：开标前半年内任意一个月）或与驻场人员签订的劳动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8、详细评审---驻场人员情况.docx</w:t>
            </w:r>
          </w:p>
        </w:tc>
      </w:tr>
      <w:tr>
        <w:tc>
          <w:tcPr>
            <w:tcW w:type="dxa" w:w="831"/>
            <w:vMerge/>
          </w:tcPr>
          <w:p/>
        </w:tc>
        <w:tc>
          <w:tcPr>
            <w:tcW w:type="dxa" w:w="1661"/>
          </w:tcPr>
          <w:p>
            <w:pPr>
              <w:pStyle w:val="null3"/>
            </w:pPr>
            <w:r>
              <w:rPr>
                <w:rFonts w:ascii="仿宋_GB2312" w:hAnsi="仿宋_GB2312" w:cs="仿宋_GB2312" w:eastAsia="仿宋_GB2312"/>
              </w:rPr>
              <w:t>投入耗材</w:t>
            </w:r>
          </w:p>
        </w:tc>
        <w:tc>
          <w:tcPr>
            <w:tcW w:type="dxa" w:w="2492"/>
          </w:tcPr>
          <w:p>
            <w:pPr>
              <w:pStyle w:val="null3"/>
            </w:pPr>
            <w:r>
              <w:rPr>
                <w:rFonts w:ascii="仿宋_GB2312" w:hAnsi="仿宋_GB2312" w:cs="仿宋_GB2312" w:eastAsia="仿宋_GB2312"/>
              </w:rPr>
              <w:t>提供承诺为项目实施提供配套日常维护所需的耗材，提供承诺计5分，不满足或未承诺不计分。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9、详细评审---投入耗材.docx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供应商针对本项目实施提供相应增值服务承诺，承诺中每有1条经专家评审能够实质性提升项目服务质量的，计2.5分，满分5分，未提供不计分。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10、详细评审---增值服务承诺.docx</w:t>
            </w:r>
          </w:p>
        </w:tc>
      </w:tr>
      <w:tr>
        <w:tc>
          <w:tcPr>
            <w:tcW w:type="dxa" w:w="831"/>
            <w:vMerge/>
          </w:tcPr>
          <w:p/>
        </w:tc>
        <w:tc>
          <w:tcPr>
            <w:tcW w:type="dxa" w:w="1661"/>
          </w:tcPr>
          <w:p>
            <w:pPr>
              <w:pStyle w:val="null3"/>
            </w:pPr>
            <w:r>
              <w:rPr>
                <w:rFonts w:ascii="仿宋_GB2312" w:hAnsi="仿宋_GB2312" w:cs="仿宋_GB2312" w:eastAsia="仿宋_GB2312"/>
              </w:rPr>
              <w:t>拟投入车辆</w:t>
            </w:r>
          </w:p>
        </w:tc>
        <w:tc>
          <w:tcPr>
            <w:tcW w:type="dxa" w:w="2492"/>
          </w:tcPr>
          <w:p>
            <w:pPr>
              <w:pStyle w:val="null3"/>
            </w:pPr>
            <w:r>
              <w:rPr>
                <w:rFonts w:ascii="仿宋_GB2312" w:hAnsi="仿宋_GB2312" w:cs="仿宋_GB2312" w:eastAsia="仿宋_GB2312"/>
              </w:rPr>
              <w:t>供应商针对本项目提供拟投入车辆方案，包括但不限于：车辆与设备配置专业车辆配备方案（不限于配备专业吸污车、或多功能作业车等车辆），每提供一辆车辆计5分，满分10分，提供同类备用车1辆，计5分，提供车辆购置发票或租赁协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11、详细评审---拟投入车辆.docx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供应商2023年6月1日至今（以签订时间为准）承担过同类型业绩的，每项得2分，最高得10分。提供业绩合同扫描件。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分项报价表（服务）.docx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 本项目价格分分为两部分： 第一部分：清理工作综合单价： 化粪池/隔油池清理单价+管道疏通单价之和作为评审依据，价格分以低价优先法计算，此部分满分6分。 第二部分：驻场人员单价： 价格分以低价优先法计算，此部分满分4分。 价格分为第一部分价格分与第二部分价格之和。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详见附件：1、详细评审---服务方案.docx</w:t>
      </w:r>
    </w:p>
    <w:p>
      <w:pPr>
        <w:pStyle w:val="null3"/>
        <w:ind w:firstLine="960"/>
      </w:pPr>
      <w:r>
        <w:rPr>
          <w:rFonts w:ascii="仿宋_GB2312" w:hAnsi="仿宋_GB2312" w:cs="仿宋_GB2312" w:eastAsia="仿宋_GB2312"/>
        </w:rPr>
        <w:t>详见附件：2、详细评审---安全保障措施.docx</w:t>
      </w:r>
    </w:p>
    <w:p>
      <w:pPr>
        <w:pStyle w:val="null3"/>
        <w:ind w:firstLine="960"/>
      </w:pPr>
      <w:r>
        <w:rPr>
          <w:rFonts w:ascii="仿宋_GB2312" w:hAnsi="仿宋_GB2312" w:cs="仿宋_GB2312" w:eastAsia="仿宋_GB2312"/>
        </w:rPr>
        <w:t>详见附件：3、详细评审---服务质量承诺.docx</w:t>
      </w:r>
    </w:p>
    <w:p>
      <w:pPr>
        <w:pStyle w:val="null3"/>
        <w:ind w:firstLine="960"/>
      </w:pPr>
      <w:r>
        <w:rPr>
          <w:rFonts w:ascii="仿宋_GB2312" w:hAnsi="仿宋_GB2312" w:cs="仿宋_GB2312" w:eastAsia="仿宋_GB2312"/>
        </w:rPr>
        <w:t>详见附件：4、详细评审---实施进度计划.docx</w:t>
      </w:r>
    </w:p>
    <w:p>
      <w:pPr>
        <w:pStyle w:val="null3"/>
        <w:ind w:firstLine="960"/>
      </w:pPr>
      <w:r>
        <w:rPr>
          <w:rFonts w:ascii="仿宋_GB2312" w:hAnsi="仿宋_GB2312" w:cs="仿宋_GB2312" w:eastAsia="仿宋_GB2312"/>
        </w:rPr>
        <w:t>详见附件：5、详细评审---应急保障措施.docx</w:t>
      </w:r>
    </w:p>
    <w:p>
      <w:pPr>
        <w:pStyle w:val="null3"/>
        <w:ind w:firstLine="960"/>
      </w:pPr>
      <w:r>
        <w:rPr>
          <w:rFonts w:ascii="仿宋_GB2312" w:hAnsi="仿宋_GB2312" w:cs="仿宋_GB2312" w:eastAsia="仿宋_GB2312"/>
        </w:rPr>
        <w:t>详见附件：6、详细评审---管理方案.docx</w:t>
      </w:r>
    </w:p>
    <w:p>
      <w:pPr>
        <w:pStyle w:val="null3"/>
        <w:ind w:firstLine="960"/>
      </w:pPr>
      <w:r>
        <w:rPr>
          <w:rFonts w:ascii="仿宋_GB2312" w:hAnsi="仿宋_GB2312" w:cs="仿宋_GB2312" w:eastAsia="仿宋_GB2312"/>
        </w:rPr>
        <w:t>详见附件：7、详细评审---项目团队人员配备.docx</w:t>
      </w:r>
    </w:p>
    <w:p>
      <w:pPr>
        <w:pStyle w:val="null3"/>
        <w:ind w:firstLine="960"/>
      </w:pPr>
      <w:r>
        <w:rPr>
          <w:rFonts w:ascii="仿宋_GB2312" w:hAnsi="仿宋_GB2312" w:cs="仿宋_GB2312" w:eastAsia="仿宋_GB2312"/>
        </w:rPr>
        <w:t>详见附件：8、详细评审---驻场人员情况.docx</w:t>
      </w:r>
    </w:p>
    <w:p>
      <w:pPr>
        <w:pStyle w:val="null3"/>
        <w:ind w:firstLine="960"/>
      </w:pPr>
      <w:r>
        <w:rPr>
          <w:rFonts w:ascii="仿宋_GB2312" w:hAnsi="仿宋_GB2312" w:cs="仿宋_GB2312" w:eastAsia="仿宋_GB2312"/>
        </w:rPr>
        <w:t>详见附件：9、详细评审---投入耗材.docx</w:t>
      </w:r>
    </w:p>
    <w:p>
      <w:pPr>
        <w:pStyle w:val="null3"/>
        <w:ind w:firstLine="960"/>
      </w:pPr>
      <w:r>
        <w:rPr>
          <w:rFonts w:ascii="仿宋_GB2312" w:hAnsi="仿宋_GB2312" w:cs="仿宋_GB2312" w:eastAsia="仿宋_GB2312"/>
        </w:rPr>
        <w:t>详见附件：10、详细评审---增值服务承诺.docx</w:t>
      </w:r>
    </w:p>
    <w:p>
      <w:pPr>
        <w:pStyle w:val="null3"/>
        <w:ind w:firstLine="960"/>
      </w:pPr>
      <w:r>
        <w:rPr>
          <w:rFonts w:ascii="仿宋_GB2312" w:hAnsi="仿宋_GB2312" w:cs="仿宋_GB2312" w:eastAsia="仿宋_GB2312"/>
        </w:rPr>
        <w:t>详见附件：11、详细评审---拟投入车辆.docx</w:t>
      </w:r>
    </w:p>
    <w:p>
      <w:pPr>
        <w:pStyle w:val="null3"/>
        <w:ind w:firstLine="960"/>
      </w:pPr>
      <w:r>
        <w:rPr>
          <w:rFonts w:ascii="仿宋_GB2312" w:hAnsi="仿宋_GB2312" w:cs="仿宋_GB2312" w:eastAsia="仿宋_GB2312"/>
        </w:rPr>
        <w:t>详见附件：12、详细评审---业绩.docx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