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版本号：QHY-2026-ZB-02520260831001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2026-2027年电子政务网络服务项目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QHY-2026-ZB-025</w:t>
      </w:r>
      <w:r>
        <w:br/>
      </w:r>
      <w:r>
        <w:br/>
      </w:r>
      <w:r>
        <w:br/>
      </w:r>
    </w:p>
    <w:p>
      <w:pPr>
        <w:pStyle w:val="null3"/>
        <w:jc w:val="center"/>
        <w:outlineLvl w:val="5"/>
      </w:pPr>
      <w:r>
        <w:rPr>
          <w:rFonts w:ascii="仿宋_GB2312" w:hAnsi="仿宋_GB2312" w:cs="仿宋_GB2312" w:eastAsia="仿宋_GB2312"/>
          <w:sz w:val="15"/>
          <w:b/>
        </w:rPr>
        <w:t>西安市未央区人民政府办公室</w:t>
      </w:r>
    </w:p>
    <w:p>
      <w:pPr>
        <w:pStyle w:val="null3"/>
        <w:jc w:val="center"/>
        <w:outlineLvl w:val="5"/>
      </w:pPr>
      <w:r>
        <w:rPr>
          <w:rFonts w:ascii="仿宋_GB2312" w:hAnsi="仿宋_GB2312" w:cs="仿宋_GB2312" w:eastAsia="仿宋_GB2312"/>
          <w:sz w:val="15"/>
          <w:b/>
        </w:rPr>
        <w:t>陕西齐海宇工程项目管理有限公司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2026年08月31日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陕西齐海宇工程项目管理有限公司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西安市未央区人民政府办公室</w:t>
      </w:r>
      <w:r>
        <w:rPr>
          <w:rFonts w:ascii="仿宋_GB2312" w:hAnsi="仿宋_GB2312" w:cs="仿宋_GB2312" w:eastAsia="仿宋_GB2312"/>
        </w:rPr>
        <w:t>委托，拟对</w:t>
      </w:r>
      <w:r>
        <w:rPr>
          <w:rFonts w:ascii="仿宋_GB2312" w:hAnsi="仿宋_GB2312" w:cs="仿宋_GB2312" w:eastAsia="仿宋_GB2312"/>
        </w:rPr>
        <w:t>2026-2027年电子政务网络服务项目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QHY-2026-ZB-025</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2026-2027年电子政务网络服务项目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项目包含179条10M带宽电子政务内网，61条10M带宽电子政务外网，1条50M带宽电子政务外网，6条裸光纤，1条400M、1条200M互联网专线。保障全区电子政务网络平稳运行，确保数据网络衔接稳定及服务配套的兼容性、一致性。</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主要负责人）授权委托书/身份证明：法定代表人参加协商的，须提供法定代表人身份证明；法定代表人委托代理人参加协商的，须提供法定代表人授权委托书；响应文件中凡是需要法定代表人签字或盖章之处，非法人单位的负责人均参照执行。</w:t>
      </w:r>
    </w:p>
    <w:p>
      <w:pPr>
        <w:pStyle w:val="null3"/>
      </w:pPr>
      <w:r>
        <w:rPr>
          <w:rFonts w:ascii="仿宋_GB2312" w:hAnsi="仿宋_GB2312" w:cs="仿宋_GB2312" w:eastAsia="仿宋_GB2312"/>
        </w:rPr>
        <w:t>2、企业资质：供应商具有《中华人民共和国基础电信业务经营许可证》。</w:t>
      </w:r>
    </w:p>
    <w:p>
      <w:pPr>
        <w:pStyle w:val="null3"/>
      </w:pPr>
      <w:r>
        <w:rPr>
          <w:rFonts w:ascii="仿宋_GB2312" w:hAnsi="仿宋_GB2312" w:cs="仿宋_GB2312" w:eastAsia="仿宋_GB2312"/>
        </w:rPr>
        <w:t>3、信用记录：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西安市未央区人民政府办公室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西安市未央区龙首北路西段1号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孙咪儿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029-86240496</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陕西齐海宇工程项目管理有限公司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西安市未央区朱宏路8号保亿公元印12幢808室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马倩、史萌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029-89151632</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采购包1：1,618,800.00元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采购包1：1,618,800.00元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国家发展和改革委员会办公厅颁发的《关于招标代理服务收费有关问题的通知》（发改办价格〔2003〕857号）的有关规定执行。成交供应商在领取成交通知书前，须向采购代理机构一次性支付招标代理服务费。 招标代理服务费账户： 户名：陕西齐海宇工程项目管理有限公司 开户行：中国建设银行股份有限公司西安文景小区支行 账号：61050110057800000789 请成交供应商按照要求将招标代理服务费转入以上指定账户，如因自身原因发生错误，产生的不利后果均由供应商自行承担。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西安市未央区人民政府办公室</w:t>
      </w:r>
      <w:r>
        <w:rPr>
          <w:rFonts w:ascii="仿宋_GB2312" w:hAnsi="仿宋_GB2312" w:cs="仿宋_GB2312" w:eastAsia="仿宋_GB2312"/>
        </w:rPr>
        <w:t>和</w:t>
      </w:r>
      <w:r>
        <w:rPr>
          <w:rFonts w:ascii="仿宋_GB2312" w:hAnsi="仿宋_GB2312" w:cs="仿宋_GB2312" w:eastAsia="仿宋_GB2312"/>
        </w:rPr>
        <w:t>陕西齐海宇工程项目管理有限公司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陕西齐海宇工程项目管理有限公司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西安市未央区人民政府办公室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陕西齐海宇工程项目管理有限公司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保障全区电子政务网络平稳运行，确保网络衔接稳定。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联系人：马倩、史萌</w:t>
      </w:r>
    </w:p>
    <w:p>
      <w:pPr>
        <w:pStyle w:val="null3"/>
      </w:pPr>
      <w:r>
        <w:rPr>
          <w:rFonts w:ascii="仿宋_GB2312" w:hAnsi="仿宋_GB2312" w:cs="仿宋_GB2312" w:eastAsia="仿宋_GB2312"/>
        </w:rPr>
        <w:t>联系电话：029-89151632</w:t>
      </w:r>
    </w:p>
    <w:p>
      <w:pPr>
        <w:pStyle w:val="null3"/>
      </w:pPr>
      <w:r>
        <w:rPr>
          <w:rFonts w:ascii="仿宋_GB2312" w:hAnsi="仿宋_GB2312" w:cs="仿宋_GB2312" w:eastAsia="仿宋_GB2312"/>
        </w:rPr>
        <w:t>地址：西安市未央区朱宏路8号保亿公元印12幢808室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项目包含179条10M带宽电子政务内网，61条10M带宽电子政务外网，1条50M带宽电子政务外网，6条裸光纤，1条400M、1条200M互联网专线。保障全区电子政务网络平稳运行，确保数据网络衔接稳定及服务配套的兼容性、一致性。</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1,618,800.00</w:t>
      </w:r>
    </w:p>
    <w:p>
      <w:pPr>
        <w:pStyle w:val="null3"/>
      </w:pPr>
      <w:r>
        <w:rPr>
          <w:rFonts w:ascii="仿宋_GB2312" w:hAnsi="仿宋_GB2312" w:cs="仿宋_GB2312" w:eastAsia="仿宋_GB2312"/>
        </w:rPr>
        <w:t>采购包最高限价（元）: 1,618,800.00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网络租赁服务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1,618,800.00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标的名称：网络租赁服务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一、项目概况</w:t>
            </w:r>
          </w:p>
          <w:p>
            <w:pPr>
              <w:pStyle w:val="null3"/>
              <w:ind w:firstLine="480"/>
            </w:pPr>
            <w:r>
              <w:rPr>
                <w:rFonts w:ascii="仿宋_GB2312" w:hAnsi="仿宋_GB2312" w:cs="仿宋_GB2312" w:eastAsia="仿宋_GB2312"/>
                <w:sz w:val="24"/>
              </w:rPr>
              <w:t>项目包含</w:t>
            </w:r>
            <w:r>
              <w:rPr>
                <w:rFonts w:ascii="仿宋_GB2312" w:hAnsi="仿宋_GB2312" w:cs="仿宋_GB2312" w:eastAsia="仿宋_GB2312"/>
                <w:sz w:val="24"/>
              </w:rPr>
              <w:t>179条</w:t>
            </w:r>
            <w:r>
              <w:rPr>
                <w:rFonts w:ascii="仿宋_GB2312" w:hAnsi="仿宋_GB2312" w:cs="仿宋_GB2312" w:eastAsia="仿宋_GB2312"/>
                <w:sz w:val="24"/>
              </w:rPr>
              <w:t>10M带宽电子政务内网，</w:t>
            </w:r>
            <w:r>
              <w:rPr>
                <w:rFonts w:ascii="仿宋_GB2312" w:hAnsi="仿宋_GB2312" w:cs="仿宋_GB2312" w:eastAsia="仿宋_GB2312"/>
                <w:sz w:val="24"/>
              </w:rPr>
              <w:t>61</w:t>
            </w:r>
            <w:r>
              <w:rPr>
                <w:rFonts w:ascii="仿宋_GB2312" w:hAnsi="仿宋_GB2312" w:cs="仿宋_GB2312" w:eastAsia="仿宋_GB2312"/>
                <w:sz w:val="24"/>
              </w:rPr>
              <w:t>条</w:t>
            </w:r>
            <w:r>
              <w:rPr>
                <w:rFonts w:ascii="仿宋_GB2312" w:hAnsi="仿宋_GB2312" w:cs="仿宋_GB2312" w:eastAsia="仿宋_GB2312"/>
                <w:sz w:val="24"/>
              </w:rPr>
              <w:t>10M带宽电子政务外网，1条50M带宽电子政务外网，6条裸光纤，1条400M、</w:t>
            </w:r>
            <w:r>
              <w:rPr>
                <w:rFonts w:ascii="仿宋_GB2312" w:hAnsi="仿宋_GB2312" w:cs="仿宋_GB2312" w:eastAsia="仿宋_GB2312"/>
                <w:sz w:val="24"/>
              </w:rPr>
              <w:t>1条</w:t>
            </w:r>
            <w:r>
              <w:rPr>
                <w:rFonts w:ascii="仿宋_GB2312" w:hAnsi="仿宋_GB2312" w:cs="仿宋_GB2312" w:eastAsia="仿宋_GB2312"/>
                <w:sz w:val="24"/>
              </w:rPr>
              <w:t>200M互联网专线。保障全区电子政务网络平稳运行，确保数据网络衔接稳定及服务配套的兼容性、一致性。</w:t>
            </w:r>
          </w:p>
          <w:p>
            <w:pPr>
              <w:pStyle w:val="null3"/>
            </w:pPr>
            <w:r>
              <w:rPr>
                <w:rFonts w:ascii="仿宋_GB2312" w:hAnsi="仿宋_GB2312" w:cs="仿宋_GB2312" w:eastAsia="仿宋_GB2312"/>
                <w:sz w:val="24"/>
                <w:b/>
              </w:rPr>
              <w:t>二、服务要求</w:t>
            </w:r>
          </w:p>
          <w:p>
            <w:pPr>
              <w:pStyle w:val="null3"/>
              <w:ind w:firstLine="480"/>
            </w:pPr>
            <w:r>
              <w:rPr>
                <w:rFonts w:ascii="仿宋_GB2312" w:hAnsi="仿宋_GB2312" w:cs="仿宋_GB2312" w:eastAsia="仿宋_GB2312"/>
                <w:sz w:val="24"/>
              </w:rPr>
              <w:t>保障全区电子政务网络平稳运行，需确保网络衔接稳定，保障服务配套的兼容性和一致性。为了确保通信线路的稳定运行和高效服务，本次需提供线路技术服务。</w:t>
            </w:r>
          </w:p>
          <w:p>
            <w:pPr>
              <w:pStyle w:val="null3"/>
            </w:pPr>
            <w:r>
              <w:rPr>
                <w:rFonts w:ascii="仿宋_GB2312" w:hAnsi="仿宋_GB2312" w:cs="仿宋_GB2312" w:eastAsia="仿宋_GB2312"/>
                <w:sz w:val="24"/>
                <w:b/>
              </w:rPr>
              <w:t>三、技术要求</w:t>
            </w:r>
          </w:p>
          <w:p>
            <w:pPr>
              <w:pStyle w:val="null3"/>
            </w:pPr>
            <w:r>
              <w:rPr>
                <w:rFonts w:ascii="仿宋_GB2312" w:hAnsi="仿宋_GB2312" w:cs="仿宋_GB2312" w:eastAsia="仿宋_GB2312"/>
                <w:sz w:val="24"/>
                <w:b/>
              </w:rPr>
              <w:t>内网</w:t>
            </w:r>
          </w:p>
          <w:tbl>
            <w:tblPr>
              <w:tblBorders>
                <w:top w:val="none" w:color="000000" w:sz="4"/>
                <w:left w:val="none" w:color="000000" w:sz="4"/>
                <w:bottom w:val="none" w:color="000000" w:sz="4"/>
                <w:right w:val="none" w:color="000000" w:sz="4"/>
                <w:insideH w:val="none"/>
                <w:insideV w:val="none"/>
              </w:tblBorders>
            </w:tblPr>
            <w:tblGrid>
              <w:gridCol w:w="376"/>
              <w:gridCol w:w="1431"/>
              <w:gridCol w:w="412"/>
              <w:gridCol w:w="334"/>
            </w:tblGrid>
            <w:tr>
              <w:tc>
                <w:tcPr>
                  <w:tcW w:type="dxa" w:w="3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4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单位名称</w:t>
                  </w:r>
                </w:p>
              </w:tc>
              <w:tc>
                <w:tcPr>
                  <w:tcW w:type="dxa" w:w="4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带宽</w:t>
                  </w:r>
                </w:p>
              </w:tc>
              <w:tc>
                <w:tcPr>
                  <w:tcW w:type="dxa" w:w="3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条数</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西安市未央区劳动保障维权中心</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西安市未央区中心幼儿园</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西安市未央区消防大队</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西安市未央区委巡察办</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西安市公安局未央分局</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西安市未央区汉城街道办事处</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西安市未央区辛家庙街道办事处</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西安市未央区张家堡街道办事处</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西安市未央区草滩街道办事处</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西安市未央区六村堡街道办事处</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西安市未央区未央湖街道办事处</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西安市未央区未央宫街道办</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西安市未央区大明宫街道办</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西安市未央区住建局建筑企业管理中心</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西安市未央区谭家街道办事处</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西安市未央区法律援助中心</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西安市未央区新光小学</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西安市未央区楼阁台小学</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西安市未央区社区卫生服务中心</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西安市未央区城管局</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西安市未央区城管局（连心路</w:t>
                  </w:r>
                  <w:r>
                    <w:rPr>
                      <w:rFonts w:ascii="仿宋_GB2312" w:hAnsi="仿宋_GB2312" w:cs="仿宋_GB2312" w:eastAsia="仿宋_GB2312"/>
                      <w:sz w:val="24"/>
                      <w:color w:val="000000"/>
                    </w:rPr>
                    <w:t>51号）</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西安市未央区第七十六中学</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西安市未央区幼儿园</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西安市未央区讲武殿小学</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西安市未央区辛家庙社区卫生服务中心</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西安市未央区汉都新苑第一幼儿园</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西安市未央区发改委</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西安市未央区三星小学</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西安市未央区西航天鼎保育院</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西安市未央区第四幼儿园</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西安市未央区第五幼儿园</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西安市未央区城棚改中心</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西安市未央区工业园管委会</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西安市未央区汉城瀚博幼儿园</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西安市未央区汉城瀚博致远幼儿园</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西安市未央区爱多幼儿园</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西安市未央区百花家园幼儿园</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西安市未央区上林苑幼儿园</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西安市未央区金色阳光幼儿园</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西安市未央区天郎蓝湖幼儿园</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西安市未央区安吉阳光北郡幼儿园</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西安市未央区莱蒙颐和郡幼儿</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西安市未央区童得梦第三幼儿园</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西安市未央区延长开元幼儿园</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西安市未央区百花明子幼儿园</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西安市未央区丰景幼儿园</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47</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西安市未央区小天鹅幼儿园</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西安市未央区成长幼儿园</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49</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西安市未央区迪优幼儿园</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西安市未央区智能摇篮幼儿园</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西安市未央区天慈保育院</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西安市未央区英浩美育幼儿园</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西安市未央区二府庄幼儿园</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西安市未央区汉都新苑第三幼儿园</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西安市未央区玄武路小学</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西安市未央区文化馆</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57</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西安市未央区兴丰路小学</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58</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西安市未央区特殊教育学校</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59</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西安市未央区汉都新苑中学</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西安市未央区汉都新苑第一小学</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西安市未央区馨和居幼儿园</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西安市未央区汉都新苑第二小学</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西安市未央区凤凰城幼儿园</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西安市未央区先锋花园幼儿园</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西安市未央区长庆湖滨花园幼儿园</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66</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西安市未央区天和新府幼儿园</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67</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西安市未央区龙朔路幼儿园</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68</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西安市未央区第一学校</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69</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西安市未央区梨园公馆幼儿园</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西安市未央区六村堡社区卫生服务中心</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71</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西安市未央区教育局青少年活动中心</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72</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西安市未央区方新小学</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73</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西安市未央区自然规划局执法监察大队</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74</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西安市未央区社保中心</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西安市未央区范家村小学</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76</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西安市未央区团结实验学校</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77</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西安市未央区东元路学校</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78</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西安市交通运输综合执法支队未央大队</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79</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西安市未央区徐家湾社区卫生服务中心</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西安市未央区劳动人事争议仲裁院</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西安市未央区六村堡小学</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西安市未央区南康村小学</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83</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西安市未央区第十七中学</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84</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西安市未央区雷寨小学</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西安市未央区第六十六中学</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86</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西安市未央区教师进修学校</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87</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西安市未央区公证处</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88</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西安市未央区红十字会</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89</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西安市未央区就业和人才服务中心</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西安市未央区教育局校舍中心</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91</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西安市未央区第五十八中学</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92</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西安市未央区红旗小学</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93</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西安市未央区浐灞综合治理开发建设管理委员会未央管理办公室</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94</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西安市生态环境局未央分局</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95</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西安市未央区计划生育协会</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96</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西安市未央区徐寨小学</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97</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西安市未央区太元路学校</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98</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西安市未央区动物疾控中心</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99</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西安市未央区水务工作站</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西安市未央区汉城社区卫生服务中心</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101</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西安市未央区妇幼保健站</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102</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西安市未央区人武部</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103</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西安市未央区汉都第一学校</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104</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西安市未央区总工会</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105</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西安市未央区未央湖片区发展服务中心</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106</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西安市未央区西航四校</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107</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西安市未央区公路管理站</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108</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西安市未央区未央宫社区卫生服务中心</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109</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西安市未央区福彩中心</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西安市未央区徐家湾街道办事处</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111</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西安市未央区西航二校</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112</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西安市未央区东前进小学</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113</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西安市未央区中医医院</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114</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西安市未央区第四十八中学</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115</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西安市农业综合执法大队未央支队</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116</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西安市未央区张家堡社区卫生服务中心</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117</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西安市未央区学生资助管理中心（勤工俭学管理中心）</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118</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西安市未央区农业科学技术推广中心</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119</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西安市未央区三官庙小学</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西安市未央区环境卫生管理所</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121</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西安市未央区农产品质检中心</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122</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西安市未央区文化市场行政执法队</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123</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西安市未央区第十一中学</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124</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西安市未央区西航三校</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125</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西安市未央区西航二中</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126</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西安市未央区西航一中</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127</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西安市未央区职业教育中心</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128</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西安市未央区疾控中心</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129</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西安市未央区大明宫社区卫生服务中心</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西安市未央区长乐第二小学</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131</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西安市未央区杨善寨小学</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132</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西安市未央区大明宫小学</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133</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西安市未央区百花小学</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134</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西安市未央区财政局</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135</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西安市未央区谭家卫生服务中心</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136</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西安市未央区民政局婚姻登记处</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137</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西安市未央区长乐西苑幼儿园</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138</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西安市未央区大白杨小学</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139</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西安市未央区枣园小学</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140</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西安市未央区住建局</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141</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西安市未央区委党校</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142</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西安市未央区资规未央分局</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143</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西安市未央区残联</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144</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西安市未央区市场监管局</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145</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西安市未央区交通局</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146</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西安市未央区大兴管委会</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147</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西安市未央区七十五中学</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148</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西安市未央区草滩社区卫生服务中心</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149</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西安市未央区崇文路小学</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西安市未央区永泰路小学</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151</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西安市未央区永隆路小学</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152</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西安市未央区徐家湾地区综合改造办公室</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153</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西安市未央区未央湖社区卫生服务中心</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154</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西安市未央区教育局计财科</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155</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西安市未央区大明宫长安易居幼儿园</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156</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西安市未央区西安市未央区未央湖维兰德小镇幼儿园</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157</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西安市未央区应急管理局</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158</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西安市未央区税务局</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159</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西安市未央湖管委会</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西安市未央区新兴小学</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161</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西安市未央区团区委</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162</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西安市未央区财政局</w:t>
                  </w:r>
                  <w:r>
                    <w:rPr>
                      <w:rFonts w:ascii="仿宋_GB2312" w:hAnsi="仿宋_GB2312" w:cs="仿宋_GB2312" w:eastAsia="仿宋_GB2312"/>
                      <w:sz w:val="24"/>
                      <w:color w:val="000000"/>
                    </w:rPr>
                    <w:t>-政府大院内网汇聚</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163</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西安市未央区检察院</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164</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西安市未央区文体局</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165</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西安市未央区未央路小学</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166</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西安市未央区档案馆</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167</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西安市未央区草滩学府时光幼儿园</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168</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西安市未央区万科悦府幼儿园</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169</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西安市未央区阳光台</w:t>
                  </w:r>
                  <w:r>
                    <w:rPr>
                      <w:rFonts w:ascii="仿宋_GB2312" w:hAnsi="仿宋_GB2312" w:cs="仿宋_GB2312" w:eastAsia="仿宋_GB2312"/>
                      <w:sz w:val="24"/>
                      <w:color w:val="000000"/>
                    </w:rPr>
                    <w:t>365幼儿园</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170</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西安市未央区汉惠幼儿园</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171</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西安市未央区祥和居幼儿园</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172</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西安市未央区环湖南路金茂府幼儿园</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173</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西安市未央区景云幼儿园</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174</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西安市未央区玄武幼儿园</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175</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西安市未央区摩卡幼儿园</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176</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西安市未央区未央湖畔幼儿园</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177</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西安市未央区幸福臻园幼儿园</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178</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西安市未央区金叶新城幼儿园</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179</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西安市自然资源和规划局未央分局（土储中心）</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bl>
          <w:p>
            <w:pPr>
              <w:pStyle w:val="null3"/>
            </w:pPr>
            <w:r>
              <w:rPr>
                <w:rFonts w:ascii="仿宋_GB2312" w:hAnsi="仿宋_GB2312" w:cs="仿宋_GB2312" w:eastAsia="仿宋_GB2312"/>
                <w:sz w:val="24"/>
                <w:b/>
              </w:rPr>
              <w:t>外网</w:t>
            </w:r>
          </w:p>
          <w:tbl>
            <w:tblPr>
              <w:tblInd w:type="dxa" w:w="240"/>
              <w:tblBorders>
                <w:top w:val="none" w:color="000000" w:sz="4"/>
                <w:left w:val="none" w:color="000000" w:sz="4"/>
                <w:bottom w:val="none" w:color="000000" w:sz="4"/>
                <w:right w:val="none" w:color="000000" w:sz="4"/>
                <w:insideH w:val="none"/>
                <w:insideV w:val="none"/>
              </w:tblBorders>
            </w:tblPr>
            <w:tblGrid>
              <w:gridCol w:w="346"/>
              <w:gridCol w:w="1431"/>
              <w:gridCol w:w="431"/>
              <w:gridCol w:w="346"/>
            </w:tblGrid>
            <w:tr>
              <w:tc>
                <w:tcPr>
                  <w:tcW w:type="dxa" w:w="3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4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单位名称</w:t>
                  </w:r>
                </w:p>
              </w:tc>
              <w:tc>
                <w:tcPr>
                  <w:tcW w:type="dxa" w:w="4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带宽</w:t>
                  </w:r>
                </w:p>
              </w:tc>
              <w:tc>
                <w:tcPr>
                  <w:tcW w:type="dxa" w:w="3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条数</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西安市未央区教育局</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西安市未央区税务局</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西安市未央区档案局</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西安市未央区生态未央分局</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西安市未央区大明宫街道办</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西安市未央区辛家庙街道办</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西安市未央区张家堡街道办</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西安市未央区湖片区发展服务中心</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西安市未央区六村堡街道办</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西安市未央区草滩街道办</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西安市未央区湖街道办</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西安市未央区汉城街道办</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西安市未央区团区委</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西安市未央区残联</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西安市未央区直属资产管理运营公司</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西安市未央区委党校</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西安市未央区金融业服务中心</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西安市未央区大兴管委会</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西安市未央区城棚改中心</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西安市未央区总工会</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西安市未央区红十字会</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西安市未央区住建局</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西安市未央区资规未央分局</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西安市未央区城管局</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西安市未央区城管执法局（连心路</w:t>
                  </w:r>
                  <w:r>
                    <w:rPr>
                      <w:rFonts w:ascii="仿宋_GB2312" w:hAnsi="仿宋_GB2312" w:cs="仿宋_GB2312" w:eastAsia="仿宋_GB2312"/>
                      <w:sz w:val="24"/>
                      <w:color w:val="000000"/>
                    </w:rPr>
                    <w:t>51号）</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西安市未央区公安未央分局</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西安市未央区谭家街道</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西安市未央区未央宫街道</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西安市未央区数据和行政审批服务局</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西安市未央区徐家湾街办</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西安市未央区法院</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西安市未央区发改委</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西安市未央区交通局</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西安市未央区检察院</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西安市未央区城市建设集团有限公司</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西安市未央区徐家湾地区综合改造办公室</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西安市未央区湖街办（综治平台）</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西安市未央区草滩街办（综治平台）</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西安市未央区财政局</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西安市未央区消防大队</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西安市未央区委巡察办</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西安市未央区交警未央大队</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西安市未央区浐灞综合治理开发建设管理委员会未央管理办公室</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西安市未央区应急管理局地震站</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西安市未央区市场监管局</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西安市未央区张家堡街道计生科</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47</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西安市未央区徐家湾街道计生科</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西安市未央区先锋小学</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49</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西安市未央区大明宫街道计生科</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西安市未央区中小学卫生保健所</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西安市未央区草滩街道计生科</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西安市未央宫街道计生科</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西安市未央区汉城街道计生科</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西安市未央区六村堡街道计生科</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西安市未央区湖街道计生科</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西安市未央区工业园管委会</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57</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西安市未央区协调开发区办公室</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58</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西安市未央区动物疾病预防控制中心</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59</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西安市未央区应急局</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西安市未央区人武部</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西安市未央区谭家卫生服务中心</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w:t>
                  </w:r>
                </w:p>
              </w:tc>
              <w:tc>
                <w:tcPr>
                  <w:tcW w:type="dxa" w:w="1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西安市未央区公证处</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bl>
          <w:p>
            <w:pPr>
              <w:pStyle w:val="null3"/>
            </w:pPr>
            <w:r>
              <w:rPr>
                <w:rFonts w:ascii="仿宋_GB2312" w:hAnsi="仿宋_GB2312" w:cs="仿宋_GB2312" w:eastAsia="仿宋_GB2312"/>
                <w:sz w:val="24"/>
                <w:b/>
              </w:rPr>
              <w:t>裸光纤</w:t>
            </w:r>
          </w:p>
          <w:tbl>
            <w:tblPr>
              <w:tblInd w:type="dxa" w:w="195"/>
              <w:tblBorders>
                <w:top w:val="none" w:color="000000" w:sz="4"/>
                <w:left w:val="none" w:color="000000" w:sz="4"/>
                <w:bottom w:val="none" w:color="000000" w:sz="4"/>
                <w:right w:val="none" w:color="000000" w:sz="4"/>
                <w:insideH w:val="none"/>
                <w:insideV w:val="none"/>
              </w:tblBorders>
            </w:tblPr>
            <w:tblGrid>
              <w:gridCol w:w="384"/>
              <w:gridCol w:w="1159"/>
              <w:gridCol w:w="625"/>
              <w:gridCol w:w="384"/>
            </w:tblGrid>
            <w:tr>
              <w:tc>
                <w:tcPr>
                  <w:tcW w:type="dxa" w:w="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1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A端</w:t>
                  </w:r>
                </w:p>
              </w:tc>
              <w:tc>
                <w:tcPr>
                  <w:tcW w:type="dxa" w:w="6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Z端</w:t>
                  </w:r>
                </w:p>
              </w:tc>
              <w:tc>
                <w:tcPr>
                  <w:tcW w:type="dxa" w:w="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条数</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西安市未央区人民政府院内</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未央大厦</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西安市未央区人民政府院内</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政务中心</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西安市未央区人民政府院内</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未央区财政局</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西安市未央区人民政府院内</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团结四社</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bl>
          <w:p>
            <w:pPr>
              <w:pStyle w:val="null3"/>
            </w:pPr>
            <w:r>
              <w:rPr>
                <w:rFonts w:ascii="仿宋_GB2312" w:hAnsi="仿宋_GB2312" w:cs="仿宋_GB2312" w:eastAsia="仿宋_GB2312"/>
                <w:sz w:val="24"/>
                <w:b/>
              </w:rPr>
              <w:t>互联网专线</w:t>
            </w:r>
          </w:p>
          <w:tbl>
            <w:tblPr>
              <w:tblInd w:type="dxa" w:w="195"/>
              <w:tblBorders>
                <w:top w:val="none" w:color="000000" w:sz="4"/>
                <w:left w:val="none" w:color="000000" w:sz="4"/>
                <w:bottom w:val="none" w:color="000000" w:sz="4"/>
                <w:right w:val="none" w:color="000000" w:sz="4"/>
                <w:insideH w:val="none"/>
                <w:insideV w:val="none"/>
              </w:tblBorders>
            </w:tblPr>
            <w:tblGrid>
              <w:gridCol w:w="368"/>
              <w:gridCol w:w="1177"/>
              <w:gridCol w:w="549"/>
              <w:gridCol w:w="459"/>
            </w:tblGrid>
            <w:tr>
              <w:tc>
                <w:tcPr>
                  <w:tcW w:type="dxa" w:w="3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1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地址</w:t>
                  </w:r>
                </w:p>
              </w:tc>
              <w:tc>
                <w:tcPr>
                  <w:tcW w:type="dxa" w:w="5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带宽</w:t>
                  </w:r>
                </w:p>
              </w:tc>
              <w:tc>
                <w:tcPr>
                  <w:tcW w:type="dxa" w:w="4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条数</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西安市未央区人民政府院内</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400M</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西安市未央区人民政府院内</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200M</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bl>
          <w:p>
            <w:pPr>
              <w:pStyle w:val="null3"/>
            </w:pPr>
            <w:r>
              <w:rPr>
                <w:rFonts w:ascii="仿宋_GB2312" w:hAnsi="仿宋_GB2312" w:cs="仿宋_GB2312" w:eastAsia="仿宋_GB2312"/>
                <w:sz w:val="24"/>
              </w:rPr>
              <w:t>四、服务内容</w:t>
            </w:r>
          </w:p>
          <w:p>
            <w:pPr>
              <w:pStyle w:val="null3"/>
              <w:ind w:firstLine="480"/>
            </w:pPr>
            <w:r>
              <w:rPr>
                <w:rFonts w:ascii="仿宋_GB2312" w:hAnsi="仿宋_GB2312" w:cs="仿宋_GB2312" w:eastAsia="仿宋_GB2312"/>
                <w:sz w:val="24"/>
              </w:rPr>
              <w:t>1.线路进行全面巡查，检查线路的外观是否有损伤、变形、腐蚀等情况。</w:t>
            </w:r>
          </w:p>
          <w:p>
            <w:pPr>
              <w:pStyle w:val="null3"/>
              <w:ind w:firstLine="480"/>
            </w:pPr>
            <w:r>
              <w:rPr>
                <w:rFonts w:ascii="仿宋_GB2312" w:hAnsi="仿宋_GB2312" w:cs="仿宋_GB2312" w:eastAsia="仿宋_GB2312"/>
                <w:sz w:val="24"/>
              </w:rPr>
              <w:t>观察线路的支撑结构、杆塔等是否稳固，有无倾斜、裂缝等异常。</w:t>
            </w:r>
          </w:p>
          <w:p>
            <w:pPr>
              <w:pStyle w:val="null3"/>
            </w:pPr>
            <w:r>
              <w:rPr>
                <w:rFonts w:ascii="仿宋_GB2312" w:hAnsi="仿宋_GB2312" w:cs="仿宋_GB2312" w:eastAsia="仿宋_GB2312"/>
                <w:sz w:val="24"/>
              </w:rPr>
              <w:t xml:space="preserve">  2.清洁与除污</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清理线路上的灰尘、污垢、杂物等，防止其影响线路的正常运行。</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特别注意绝缘子表面的清洁，以保持良好的绝缘性能。</w:t>
            </w:r>
          </w:p>
          <w:p>
            <w:pPr>
              <w:pStyle w:val="null3"/>
            </w:pPr>
            <w:r>
              <w:rPr>
                <w:rFonts w:ascii="仿宋_GB2312" w:hAnsi="仿宋_GB2312" w:cs="仿宋_GB2312" w:eastAsia="仿宋_GB2312"/>
                <w:sz w:val="24"/>
              </w:rPr>
              <w:t xml:space="preserve">  3.连接点检查与紧固</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检查线路中各个连接点，如导线与绝缘子的连接、导线的接头等，确保连接牢固，无松动、过热等现象。</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对松动的连接点进行紧固处理。</w:t>
            </w:r>
          </w:p>
          <w:p>
            <w:pPr>
              <w:pStyle w:val="null3"/>
            </w:pPr>
            <w:r>
              <w:rPr>
                <w:rFonts w:ascii="仿宋_GB2312" w:hAnsi="仿宋_GB2312" w:cs="仿宋_GB2312" w:eastAsia="仿宋_GB2312"/>
                <w:sz w:val="24"/>
              </w:rPr>
              <w:t xml:space="preserve">  4.线路绝缘检测</w:t>
            </w:r>
          </w:p>
          <w:p>
            <w:pPr>
              <w:pStyle w:val="null3"/>
              <w:ind w:firstLine="480"/>
            </w:pPr>
            <w:r>
              <w:rPr>
                <w:rFonts w:ascii="仿宋_GB2312" w:hAnsi="仿宋_GB2312" w:cs="仿宋_GB2312" w:eastAsia="仿宋_GB2312"/>
                <w:sz w:val="24"/>
              </w:rPr>
              <w:t>使用专业设备检测线路的绝缘性能，及时发现绝缘老化、破损等问题。</w:t>
            </w:r>
          </w:p>
          <w:p>
            <w:pPr>
              <w:pStyle w:val="null3"/>
            </w:pPr>
            <w:r>
              <w:rPr>
                <w:rFonts w:ascii="仿宋_GB2312" w:hAnsi="仿宋_GB2312" w:cs="仿宋_GB2312" w:eastAsia="仿宋_GB2312"/>
                <w:sz w:val="24"/>
              </w:rPr>
              <w:t xml:space="preserve">  5.避雷装置维护</w:t>
            </w:r>
          </w:p>
          <w:p>
            <w:pPr>
              <w:pStyle w:val="null3"/>
              <w:ind w:firstLine="480"/>
            </w:pPr>
            <w:r>
              <w:rPr>
                <w:rFonts w:ascii="仿宋_GB2312" w:hAnsi="仿宋_GB2312" w:cs="仿宋_GB2312" w:eastAsia="仿宋_GB2312"/>
                <w:sz w:val="24"/>
              </w:rPr>
              <w:t>检查避雷线、避雷器等避雷装置的工作状态，确保其能有效防护雷电对线路的损害。</w:t>
            </w:r>
          </w:p>
          <w:p>
            <w:pPr>
              <w:pStyle w:val="null3"/>
            </w:pPr>
            <w:r>
              <w:rPr>
                <w:rFonts w:ascii="仿宋_GB2312" w:hAnsi="仿宋_GB2312" w:cs="仿宋_GB2312" w:eastAsia="仿宋_GB2312"/>
                <w:sz w:val="24"/>
              </w:rPr>
              <w:t xml:space="preserve">  6.线路标识与警示维护</w:t>
            </w:r>
          </w:p>
          <w:p>
            <w:pPr>
              <w:pStyle w:val="null3"/>
              <w:ind w:firstLine="480"/>
            </w:pPr>
            <w:r>
              <w:rPr>
                <w:rFonts w:ascii="仿宋_GB2312" w:hAnsi="仿宋_GB2312" w:cs="仿宋_GB2312" w:eastAsia="仿宋_GB2312"/>
                <w:sz w:val="24"/>
              </w:rPr>
              <w:t>保证线路的标识清晰可见，如线路名称、编号、警示标志等，以便识别和提醒相关人员。</w:t>
            </w:r>
          </w:p>
          <w:p>
            <w:pPr>
              <w:pStyle w:val="null3"/>
            </w:pPr>
            <w:r>
              <w:rPr>
                <w:rFonts w:ascii="仿宋_GB2312" w:hAnsi="仿宋_GB2312" w:cs="仿宋_GB2312" w:eastAsia="仿宋_GB2312"/>
                <w:sz w:val="24"/>
              </w:rPr>
              <w:t xml:space="preserve">  7.故障排除与修复</w:t>
            </w:r>
          </w:p>
          <w:p>
            <w:pPr>
              <w:pStyle w:val="null3"/>
              <w:ind w:firstLine="480"/>
            </w:pPr>
            <w:r>
              <w:rPr>
                <w:rFonts w:ascii="仿宋_GB2312" w:hAnsi="仿宋_GB2312" w:cs="仿宋_GB2312" w:eastAsia="仿宋_GB2312"/>
                <w:sz w:val="24"/>
              </w:rPr>
              <w:t>及时处理线路中出现的故障，如短路、断路、接地等，采取有效的修复措施，恢复线路正常运行。</w:t>
            </w:r>
          </w:p>
          <w:p>
            <w:pPr>
              <w:pStyle w:val="null3"/>
            </w:pPr>
            <w:r>
              <w:rPr>
                <w:rFonts w:ascii="仿宋_GB2312" w:hAnsi="仿宋_GB2312" w:cs="仿宋_GB2312" w:eastAsia="仿宋_GB2312"/>
                <w:sz w:val="24"/>
                <w:b/>
              </w:rPr>
              <w:t>五、商务要求</w:t>
            </w:r>
          </w:p>
          <w:p>
            <w:pPr>
              <w:pStyle w:val="null3"/>
              <w:ind w:firstLine="480"/>
            </w:pPr>
            <w:r>
              <w:rPr>
                <w:rFonts w:ascii="仿宋_GB2312" w:hAnsi="仿宋_GB2312" w:cs="仿宋_GB2312" w:eastAsia="仿宋_GB2312"/>
                <w:sz w:val="24"/>
              </w:rPr>
              <w:t>1、服务期限：自合同签订之日起一年。</w:t>
            </w:r>
          </w:p>
          <w:p>
            <w:pPr>
              <w:pStyle w:val="null3"/>
              <w:ind w:firstLine="480"/>
            </w:pPr>
            <w:r>
              <w:rPr>
                <w:rFonts w:ascii="仿宋_GB2312" w:hAnsi="仿宋_GB2312" w:cs="仿宋_GB2312" w:eastAsia="仿宋_GB2312"/>
                <w:sz w:val="24"/>
              </w:rPr>
              <w:t>2、服务地点：西安市未央区。</w:t>
            </w:r>
          </w:p>
          <w:p>
            <w:pPr>
              <w:pStyle w:val="null3"/>
              <w:ind w:firstLine="480"/>
            </w:pPr>
            <w:r>
              <w:rPr>
                <w:rFonts w:ascii="仿宋_GB2312" w:hAnsi="仿宋_GB2312" w:cs="仿宋_GB2312" w:eastAsia="仿宋_GB2312"/>
                <w:sz w:val="24"/>
              </w:rPr>
              <w:t>3、服务质量要求：保障全区电子政务网络平稳运行，确保网络衔接稳定。</w:t>
            </w:r>
          </w:p>
          <w:p>
            <w:pPr>
              <w:pStyle w:val="null3"/>
              <w:ind w:firstLine="480"/>
            </w:pPr>
            <w:r>
              <w:rPr>
                <w:rFonts w:ascii="仿宋_GB2312" w:hAnsi="仿宋_GB2312" w:cs="仿宋_GB2312" w:eastAsia="仿宋_GB2312"/>
                <w:sz w:val="24"/>
              </w:rPr>
              <w:t>4、付款方式：</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1）合同签</w:t>
            </w:r>
            <w:r>
              <w:rPr>
                <w:rFonts w:ascii="仿宋_GB2312" w:hAnsi="仿宋_GB2312" w:cs="仿宋_GB2312" w:eastAsia="仿宋_GB2312"/>
                <w:sz w:val="24"/>
              </w:rPr>
              <w:t>订</w:t>
            </w:r>
            <w:r>
              <w:rPr>
                <w:rFonts w:ascii="仿宋_GB2312" w:hAnsi="仿宋_GB2312" w:cs="仿宋_GB2312" w:eastAsia="仿宋_GB2312"/>
                <w:sz w:val="24"/>
              </w:rPr>
              <w:t>后，达到付款条件起</w:t>
            </w:r>
            <w:r>
              <w:rPr>
                <w:rFonts w:ascii="仿宋_GB2312" w:hAnsi="仿宋_GB2312" w:cs="仿宋_GB2312" w:eastAsia="仿宋_GB2312"/>
                <w:sz w:val="24"/>
              </w:rPr>
              <w:t>30个工作日</w:t>
            </w:r>
            <w:r>
              <w:rPr>
                <w:rFonts w:ascii="仿宋_GB2312" w:hAnsi="仿宋_GB2312" w:cs="仿宋_GB2312" w:eastAsia="仿宋_GB2312"/>
                <w:sz w:val="24"/>
              </w:rPr>
              <w:t>内，支付合同</w:t>
            </w:r>
            <w:r>
              <w:rPr>
                <w:rFonts w:ascii="仿宋_GB2312" w:hAnsi="仿宋_GB2312" w:cs="仿宋_GB2312" w:eastAsia="仿宋_GB2312"/>
                <w:sz w:val="24"/>
              </w:rPr>
              <w:t>总</w:t>
            </w:r>
            <w:r>
              <w:rPr>
                <w:rFonts w:ascii="仿宋_GB2312" w:hAnsi="仿宋_GB2312" w:cs="仿宋_GB2312" w:eastAsia="仿宋_GB2312"/>
                <w:sz w:val="24"/>
              </w:rPr>
              <w:t>金额的</w:t>
            </w:r>
            <w:r>
              <w:rPr>
                <w:rFonts w:ascii="仿宋_GB2312" w:hAnsi="仿宋_GB2312" w:cs="仿宋_GB2312" w:eastAsia="仿宋_GB2312"/>
                <w:sz w:val="24"/>
              </w:rPr>
              <w:t>30%；</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2）项目验收合格后，达到付款条件起</w:t>
            </w:r>
            <w:r>
              <w:rPr>
                <w:rFonts w:ascii="仿宋_GB2312" w:hAnsi="仿宋_GB2312" w:cs="仿宋_GB2312" w:eastAsia="仿宋_GB2312"/>
                <w:sz w:val="24"/>
              </w:rPr>
              <w:t>30个工作日</w:t>
            </w:r>
            <w:r>
              <w:rPr>
                <w:rFonts w:ascii="仿宋_GB2312" w:hAnsi="仿宋_GB2312" w:cs="仿宋_GB2312" w:eastAsia="仿宋_GB2312"/>
                <w:sz w:val="24"/>
              </w:rPr>
              <w:t>内，支付合同</w:t>
            </w:r>
            <w:r>
              <w:rPr>
                <w:rFonts w:ascii="仿宋_GB2312" w:hAnsi="仿宋_GB2312" w:cs="仿宋_GB2312" w:eastAsia="仿宋_GB2312"/>
                <w:sz w:val="24"/>
              </w:rPr>
              <w:t>总</w:t>
            </w:r>
            <w:r>
              <w:rPr>
                <w:rFonts w:ascii="仿宋_GB2312" w:hAnsi="仿宋_GB2312" w:cs="仿宋_GB2312" w:eastAsia="仿宋_GB2312"/>
                <w:sz w:val="24"/>
              </w:rPr>
              <w:t>金额的</w:t>
            </w:r>
            <w:r>
              <w:rPr>
                <w:rFonts w:ascii="仿宋_GB2312" w:hAnsi="仿宋_GB2312" w:cs="仿宋_GB2312" w:eastAsia="仿宋_GB2312"/>
                <w:sz w:val="24"/>
              </w:rPr>
              <w:t>30%；</w:t>
            </w:r>
          </w:p>
          <w:p>
            <w:pPr>
              <w:pStyle w:val="null3"/>
            </w:pPr>
            <w:r>
              <w:rPr>
                <w:rFonts w:ascii="仿宋_GB2312" w:hAnsi="仿宋_GB2312" w:cs="仿宋_GB2312" w:eastAsia="仿宋_GB2312"/>
                <w:sz w:val="24"/>
              </w:rPr>
              <w:t xml:space="preserve">  （</w:t>
            </w:r>
            <w:r>
              <w:rPr>
                <w:rFonts w:ascii="仿宋_GB2312" w:hAnsi="仿宋_GB2312" w:cs="仿宋_GB2312" w:eastAsia="仿宋_GB2312"/>
                <w:sz w:val="24"/>
              </w:rPr>
              <w:t>3）合同到期前3个月，达到付款条件起</w:t>
            </w:r>
            <w:r>
              <w:rPr>
                <w:rFonts w:ascii="仿宋_GB2312" w:hAnsi="仿宋_GB2312" w:cs="仿宋_GB2312" w:eastAsia="仿宋_GB2312"/>
                <w:sz w:val="24"/>
              </w:rPr>
              <w:t>30个工作日</w:t>
            </w:r>
            <w:r>
              <w:rPr>
                <w:rFonts w:ascii="仿宋_GB2312" w:hAnsi="仿宋_GB2312" w:cs="仿宋_GB2312" w:eastAsia="仿宋_GB2312"/>
                <w:sz w:val="24"/>
              </w:rPr>
              <w:t>内，支付合同</w:t>
            </w:r>
            <w:r>
              <w:rPr>
                <w:rFonts w:ascii="仿宋_GB2312" w:hAnsi="仿宋_GB2312" w:cs="仿宋_GB2312" w:eastAsia="仿宋_GB2312"/>
                <w:sz w:val="24"/>
              </w:rPr>
              <w:t>总</w:t>
            </w:r>
            <w:r>
              <w:rPr>
                <w:rFonts w:ascii="仿宋_GB2312" w:hAnsi="仿宋_GB2312" w:cs="仿宋_GB2312" w:eastAsia="仿宋_GB2312"/>
                <w:sz w:val="24"/>
              </w:rPr>
              <w:t>金额的</w:t>
            </w:r>
            <w:r>
              <w:rPr>
                <w:rFonts w:ascii="仿宋_GB2312" w:hAnsi="仿宋_GB2312" w:cs="仿宋_GB2312" w:eastAsia="仿宋_GB2312"/>
                <w:sz w:val="24"/>
              </w:rPr>
              <w:t>40%。</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提供人员团队满足采购人服务需求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提供设施设备满足采购人服务需求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西安市未央区</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进度款，项目验收合格后，达到付款条件起30个工作日内，支付合同总金额的30.0%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进度款，合同到期前3个月，达到付款条件起30个工作日内，支付合同总金额的40.0%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保障全区电子政务网络平稳运行，确保网络衔接稳定。</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合同执行过程中如发生争议，双方应及时协商解决，协商不成，双方均可向采购人所在地人民法院提起诉讼。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供应商需在项目电子化交易系统中按要求填写《投标函》完成承诺，同时提供以下资料并进行电子签章： 1.有效的主体资格证明：具有独立承担民事责任能力的法人、其他组织或自然人并出具合法有效的营业执照或事业单位法人证书等国家规定的相关证明，自然人参与的提供其身份证明。 2.基本资格条件：提供《基本资格条件承诺函》，供应商应对承诺内容的真实性、合法性、有效性负责。若虚假承诺的，视同为“提供虚假材料谋取中标、成交”的违法行为，根据《中华人民共和国政府采购法》等法律法规追究相应责任。 备注：不提供《基本资格条件承诺函》的供应商需提交如下证明材料： a.财务状况证明：提供2025年度经审计的财务报告（成立时间至提交响应文件截止时间不足一年的可提供成立后任意时段的资产负债表），或其基本存款账户开户银行出具的资信证明及基本存款账户开户许可证（基本账户信息表）。 b.社会保障资金缴纳证明：提供响应文件递交截止时间前一年内已缴存的至少一个月的社会保障资金缴存单据或社保机构开具的社会保险参保缴费情况证明，依法不需要缴纳社会保障资金的单位应提供相关证明材料。 c.税收缴纳证明：提供响应文件递交截止时间前一年内已缴纳的至少一个月的纳税证明或完税证明，依法免税的单位应提供相关证明材料。 d.参加政府采购活动前三年内，在经营活动中没有重大违法记录的书面声明。 e.提供具有履行合同所必需的设备和专业技术能力的承诺。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财务状况证明或《基本资格条件承诺函》。供应商需在项目电子化交易系统中按要求上传相应证明文件并进行电子签章。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法定代表人（主要负责人）授权委托书/身份证明</w:t>
            </w:r>
          </w:p>
        </w:tc>
        <w:tc>
          <w:tcPr>
            <w:tcW w:type="dxa" w:w="3322"/>
          </w:tcPr>
          <w:p>
            <w:pPr>
              <w:pStyle w:val="null3"/>
            </w:pPr>
            <w:r>
              <w:rPr>
                <w:rFonts w:ascii="仿宋_GB2312" w:hAnsi="仿宋_GB2312" w:cs="仿宋_GB2312" w:eastAsia="仿宋_GB2312"/>
              </w:rPr>
              <w:t>法定代表人参加协商的，须提供法定代表人身份证明；法定代表人委托代理人参加协商的，须提供法定代表人授权委托书；响应文件中凡是需要法定代表人签字或盖章之处，非法人单位的负责人均参照执行。</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供应商具有《中华人民共和国基础电信业务经营许可证》。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法定代表人（主要负责人）或被授权人的签字齐全并加盖公章。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符合“响应文件格式”的规定。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对单一来源采购文件响应程度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服务方案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应满足单一来源采购文件中要求的合同履行期限。</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应满足单一来源采购文件中的规定。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残疾人福利性单位声明函 中小企业声明函 服务内容及服务要求应答表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