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版本号：SXZY-26000820260626001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陕西省农产品质量安全监管（仪器维保服务）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SXZY-260008</w:t>
      </w:r>
      <w:r>
        <w:br/>
      </w:r>
      <w:r>
        <w:br/>
      </w:r>
      <w:r>
        <w:br/>
      </w:r>
    </w:p>
    <w:p>
      <w:pPr>
        <w:pStyle w:val="null3"/>
        <w:jc w:val="center"/>
        <w:outlineLvl w:val="2"/>
      </w:pPr>
      <w:r>
        <w:rPr>
          <w:rFonts w:ascii="仿宋_GB2312" w:hAnsi="仿宋_GB2312" w:cs="仿宋_GB2312" w:eastAsia="仿宋_GB2312"/>
          <w:sz w:val="28"/>
          <w:b/>
        </w:rPr>
        <w:t>陕西省农业检验检测中心</w:t>
      </w:r>
    </w:p>
    <w:p>
      <w:pPr>
        <w:pStyle w:val="null3"/>
        <w:jc w:val="center"/>
        <w:outlineLvl w:val="2"/>
      </w:pPr>
      <w:r>
        <w:rPr>
          <w:rFonts w:ascii="仿宋_GB2312" w:hAnsi="仿宋_GB2312" w:cs="仿宋_GB2312" w:eastAsia="仿宋_GB2312"/>
          <w:sz w:val="28"/>
          <w:b/>
        </w:rPr>
        <w:t>陕西卓越工程项目管理有限公司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陕西卓越工程项目管理有限公司</w:t>
      </w:r>
      <w:r>
        <w:rPr>
          <w:rFonts w:ascii="仿宋_GB2312" w:hAnsi="仿宋_GB2312" w:cs="仿宋_GB2312" w:eastAsia="仿宋_GB2312"/>
        </w:rPr>
        <w:t>（以下简称“代理机构”）受</w:t>
      </w:r>
      <w:r>
        <w:rPr>
          <w:rFonts w:ascii="仿宋_GB2312" w:hAnsi="仿宋_GB2312" w:cs="仿宋_GB2312" w:eastAsia="仿宋_GB2312"/>
        </w:rPr>
        <w:t>陕西省农业检验检测中心</w:t>
      </w:r>
      <w:r>
        <w:rPr>
          <w:rFonts w:ascii="仿宋_GB2312" w:hAnsi="仿宋_GB2312" w:cs="仿宋_GB2312" w:eastAsia="仿宋_GB2312"/>
        </w:rPr>
        <w:t>委托，拟对</w:t>
      </w:r>
      <w:r>
        <w:rPr>
          <w:rFonts w:ascii="仿宋_GB2312" w:hAnsi="仿宋_GB2312" w:cs="仿宋_GB2312" w:eastAsia="仿宋_GB2312"/>
        </w:rPr>
        <w:t>陕西省农产品质量安全监管（仪器维保服务）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SXZY-260008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陕西省农产品质量安全监管（仪器维保服务）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 xml:space="preserve"> 为保障农产品质量安全监管工作的顺利开展，确保实验室仪器设备的正常运行，对实验室小型仪器设备及液质仪器进行定期保养和维护，保证仪器设备处于良好状态，提升实验室检测设备的准确性、有效性，降低故障率，延长设备使用寿命。本项目分为两个采购包：小型仪器维保和液质仪器维保。</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采购包1（小型仪器维保）：属于专门面向中小企业采购。</w:t>
      </w:r>
    </w:p>
    <w:p>
      <w:pPr>
        <w:pStyle w:val="null3"/>
      </w:pPr>
      <w:r>
        <w:rPr>
          <w:rFonts w:ascii="仿宋_GB2312" w:hAnsi="仿宋_GB2312" w:cs="仿宋_GB2312" w:eastAsia="仿宋_GB2312"/>
        </w:rPr>
        <w:t>采购包2（液质仪器维保）：属于专门面向中小企业采购。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1、有效的主体资格证明：供应商应为具有独立承担民事责任能力的法人、其他组织或自然人。法人或者其他组织提供营业执照等证明文件，自然人提供身份证件。提供扫描件或复印件并加盖公章。</w:t>
      </w:r>
    </w:p>
    <w:p>
      <w:pPr>
        <w:pStyle w:val="null3"/>
      </w:pPr>
      <w:r>
        <w:rPr>
          <w:rFonts w:ascii="仿宋_GB2312" w:hAnsi="仿宋_GB2312" w:cs="仿宋_GB2312" w:eastAsia="仿宋_GB2312"/>
        </w:rPr>
        <w:t>2、财务状况证明：提供2024年或2025年度经审计的财务报告（至少包括审计报告、资产负债表和利润表）；或其响应文件递交截止前三个月内基本存款账户开户银行出具的资信证明及基本存款账户开户许可证（或基本存款账户信息相关证明文件）；或信用担保机构出具的投标担保函。提供扫描件或复印件并加盖公章。</w:t>
      </w:r>
    </w:p>
    <w:p>
      <w:pPr>
        <w:pStyle w:val="null3"/>
      </w:pPr>
      <w:r>
        <w:rPr>
          <w:rFonts w:ascii="仿宋_GB2312" w:hAnsi="仿宋_GB2312" w:cs="仿宋_GB2312" w:eastAsia="仿宋_GB2312"/>
        </w:rPr>
        <w:t>3、税收缴纳证明：提供2025年6月至今任意一个月的纳税证明或税务机关开具的完税证明，纳税证明或完税证明上应有代收机构或税务机关的公章或业务专用章。依法免税的供应商应提供相关文件证明。提供扫描件或复印件并加盖公章。</w:t>
      </w:r>
    </w:p>
    <w:p>
      <w:pPr>
        <w:pStyle w:val="null3"/>
      </w:pPr>
      <w:r>
        <w:rPr>
          <w:rFonts w:ascii="仿宋_GB2312" w:hAnsi="仿宋_GB2312" w:cs="仿宋_GB2312" w:eastAsia="仿宋_GB2312"/>
        </w:rPr>
        <w:t>4、社会保障资金缴纳证明：提供2025年6月至今任意一个月已缴存的社会保障资金缴存单据或社保机构开具的社会保险参保缴费证明），单据或证明上应有社保机构或代收机构的公章或业务专用章。依法不需要缴纳社会保障资金的单位应提供相关证明材料。提供扫描件或复印件并加盖公章。</w:t>
      </w:r>
    </w:p>
    <w:p>
      <w:pPr>
        <w:pStyle w:val="null3"/>
      </w:pPr>
      <w:r>
        <w:rPr>
          <w:rFonts w:ascii="仿宋_GB2312" w:hAnsi="仿宋_GB2312" w:cs="仿宋_GB2312" w:eastAsia="仿宋_GB2312"/>
        </w:rPr>
        <w:t>5、履职能力承诺函：具有履行合同所必需的设备和专业技术能力的承诺函并加盖公章。</w:t>
      </w:r>
    </w:p>
    <w:p>
      <w:pPr>
        <w:pStyle w:val="null3"/>
      </w:pPr>
      <w:r>
        <w:rPr>
          <w:rFonts w:ascii="仿宋_GB2312" w:hAnsi="仿宋_GB2312" w:cs="仿宋_GB2312" w:eastAsia="仿宋_GB2312"/>
        </w:rPr>
        <w:t>6、无违法记录声明：提供参加本次政府采购活动前3年内在经营活动中没有重大违法记录的书面声明并加盖公章。</w:t>
      </w:r>
    </w:p>
    <w:p>
      <w:pPr>
        <w:pStyle w:val="null3"/>
      </w:pPr>
      <w:r>
        <w:rPr>
          <w:rFonts w:ascii="仿宋_GB2312" w:hAnsi="仿宋_GB2312" w:cs="仿宋_GB2312" w:eastAsia="仿宋_GB2312"/>
        </w:rPr>
        <w:t>7、信用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信用承诺并加盖公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1、有效的主体资格证明：供应商应为具有独立承担民事责任能力的法人、其他组织或自然人。法人或者其他组织提供营业执照等证明文件，自然人提供身份证件。提供扫描件或复印件并加盖公章。</w:t>
      </w:r>
    </w:p>
    <w:p>
      <w:pPr>
        <w:pStyle w:val="null3"/>
      </w:pPr>
      <w:r>
        <w:rPr>
          <w:rFonts w:ascii="仿宋_GB2312" w:hAnsi="仿宋_GB2312" w:cs="仿宋_GB2312" w:eastAsia="仿宋_GB2312"/>
        </w:rPr>
        <w:t>2、财务状况证明：提供2024年或2025年度经审计的财务报告（至少包括审计报告、资产负债表和利润表）；或其响应文件递交截止前三个月内基本存款账户开户银行出具的资信证明及基本存款账户开户许可证（或基本存款账户信息相关证明文件）；或信用担保机构出具的投标担保函。提供扫描件或复印件并加盖公章。</w:t>
      </w:r>
    </w:p>
    <w:p>
      <w:pPr>
        <w:pStyle w:val="null3"/>
      </w:pPr>
      <w:r>
        <w:rPr>
          <w:rFonts w:ascii="仿宋_GB2312" w:hAnsi="仿宋_GB2312" w:cs="仿宋_GB2312" w:eastAsia="仿宋_GB2312"/>
        </w:rPr>
        <w:t>3、税收缴纳证明：提供2025年6月至今任意一个月的纳税证明或税务机关开具的完税证明，纳税证明或完税证明上应有代收机构或税务机关的公章或业务专用章。依法免税的供应商应提供相关文件证明。提供扫描件或复印件并加盖公章。</w:t>
      </w:r>
    </w:p>
    <w:p>
      <w:pPr>
        <w:pStyle w:val="null3"/>
      </w:pPr>
      <w:r>
        <w:rPr>
          <w:rFonts w:ascii="仿宋_GB2312" w:hAnsi="仿宋_GB2312" w:cs="仿宋_GB2312" w:eastAsia="仿宋_GB2312"/>
        </w:rPr>
        <w:t>4、社会保障资金缴纳证明：提供2025年6月至今任意一个月已缴存的社会保障资金缴存单据或社保机构开具的社会保险参保缴费证明），单据或证明上应有社保机构或代收机构的公章或业务专用章。依法不需要缴纳社会保障资金的单位应提供相关证明材料。提供扫描件或复印件并加盖公章。</w:t>
      </w:r>
    </w:p>
    <w:p>
      <w:pPr>
        <w:pStyle w:val="null3"/>
      </w:pPr>
      <w:r>
        <w:rPr>
          <w:rFonts w:ascii="仿宋_GB2312" w:hAnsi="仿宋_GB2312" w:cs="仿宋_GB2312" w:eastAsia="仿宋_GB2312"/>
        </w:rPr>
        <w:t>5、履职能力承诺函：具有履行合同所必需的设备和专业技术能力的承诺函并加盖公章。</w:t>
      </w:r>
    </w:p>
    <w:p>
      <w:pPr>
        <w:pStyle w:val="null3"/>
      </w:pPr>
      <w:r>
        <w:rPr>
          <w:rFonts w:ascii="仿宋_GB2312" w:hAnsi="仿宋_GB2312" w:cs="仿宋_GB2312" w:eastAsia="仿宋_GB2312"/>
        </w:rPr>
        <w:t>6、无违法记录声明：提供参加本次政府采购活动前3年内在经营活动中没有重大违法记录的书面声明并加盖公章。</w:t>
      </w:r>
    </w:p>
    <w:p>
      <w:pPr>
        <w:pStyle w:val="null3"/>
      </w:pPr>
      <w:r>
        <w:rPr>
          <w:rFonts w:ascii="仿宋_GB2312" w:hAnsi="仿宋_GB2312" w:cs="仿宋_GB2312" w:eastAsia="仿宋_GB2312"/>
        </w:rPr>
        <w:t>7、信用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信用承诺并加盖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陕西省农业检验检测中心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西安市未央区凤城七路118号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陕西省农业检验检测中心经办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029-87366531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陕西卓越工程项目管理有限公司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陕西省西安市雁塔区西安市高新区丈八街办高新路88号尚品国际A幢21704室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18909232629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采购包2：200,000.00元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不涉及</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不涉及</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不涉及</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关于印发&lt;招标代理服务收费管理暂行办法&gt;的通知》（计价格〔2002〕1980号）及《关于招标代理服务费有关问题的通知》（发改办价格〔2003〕857号）规定标准收取。服务费不足5000元，按5000元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陕西省农业检验检测中心</w:t>
      </w:r>
      <w:r>
        <w:rPr>
          <w:rFonts w:ascii="仿宋_GB2312" w:hAnsi="仿宋_GB2312" w:cs="仿宋_GB2312" w:eastAsia="仿宋_GB2312"/>
        </w:rPr>
        <w:t>和</w:t>
      </w:r>
      <w:r>
        <w:rPr>
          <w:rFonts w:ascii="仿宋_GB2312" w:hAnsi="仿宋_GB2312" w:cs="仿宋_GB2312" w:eastAsia="仿宋_GB2312"/>
        </w:rPr>
        <w:t>陕西卓越工程项目管理有限公司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陕西省农业检验检测中心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陕西卓越工程项目管理有限公司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陕西省农业检验检测中心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陕西卓越工程项目管理有限公司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2、如采用供应商所不拥有的知识产权，则在报价中必须包括合法使用该知识产权的相关费用。</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满足采购文件中对技术和商务的要求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满足采购文件中对技术和商务的要求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陕西卓越工程项目管理有限公司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陕西卓越工程项目管理有限公司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陕西卓越工程项目管理有限公司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联系人：杨爱莉</w:t>
      </w:r>
    </w:p>
    <w:p>
      <w:pPr>
        <w:pStyle w:val="null3"/>
      </w:pPr>
      <w:r>
        <w:rPr>
          <w:rFonts w:ascii="仿宋_GB2312" w:hAnsi="仿宋_GB2312" w:cs="仿宋_GB2312" w:eastAsia="仿宋_GB2312"/>
        </w:rPr>
        <w:t>联系电话：18309218666</w:t>
      </w:r>
    </w:p>
    <w:p>
      <w:pPr>
        <w:pStyle w:val="null3"/>
      </w:pPr>
      <w:r>
        <w:rPr>
          <w:rFonts w:ascii="仿宋_GB2312" w:hAnsi="仿宋_GB2312" w:cs="仿宋_GB2312" w:eastAsia="仿宋_GB2312"/>
        </w:rPr>
        <w:t>地址：西安市高新区高新路88号尚品国际</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农产品质量安全监管工作的顺利开展，确保实验室仪器设备的正常运行，对实验室小型仪器设备及液质仪器进行定期保养和维护，保证仪器设备处于良好状态，提升实验室检测设备的准确性、有效性，降低故障率，延长设备使用寿命。本项目分为两个采购包：小型仪器维保和液质仪器维保。</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小型仪器维保</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液质仪器维保</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标的名称：小型仪器维保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131"/>
              <w:gridCol w:w="637"/>
              <w:gridCol w:w="254"/>
              <w:gridCol w:w="618"/>
              <w:gridCol w:w="539"/>
              <w:gridCol w:w="371"/>
            </w:tblGrid>
            <w:tr>
              <w:tc>
                <w:tcPr>
                  <w:tcW w:type="dxa" w:w="255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7"/>
                      <w:b/>
                      <w:color w:val="000000"/>
                    </w:rPr>
                    <w:t>实验室小型仪器维保设备清单</w:t>
                  </w:r>
                </w:p>
              </w:tc>
            </w:tr>
            <w:tr>
              <w:tc>
                <w:tcPr>
                  <w:tcW w:type="dxa" w:w="1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序号</w:t>
                  </w:r>
                </w:p>
              </w:tc>
              <w:tc>
                <w:tcPr>
                  <w:tcW w:type="dxa" w:w="637"/>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b/>
                      <w:color w:val="000000"/>
                    </w:rPr>
                    <w:t>设备名称</w:t>
                  </w:r>
                </w:p>
              </w:tc>
              <w:tc>
                <w:tcPr>
                  <w:tcW w:type="dxa" w:w="254"/>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国产/进口</w:t>
                  </w:r>
                </w:p>
              </w:tc>
              <w:tc>
                <w:tcPr>
                  <w:tcW w:type="dxa" w:w="618"/>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规格型号</w:t>
                  </w:r>
                </w:p>
              </w:tc>
              <w:tc>
                <w:tcPr>
                  <w:tcW w:type="dxa" w:w="53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品牌</w:t>
                  </w:r>
                </w:p>
              </w:tc>
              <w:tc>
                <w:tcPr>
                  <w:tcW w:type="dxa" w:w="371"/>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设备分类</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1</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紫外可见近红外分光光度计</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国产设备</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T6</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PERSEE 普析</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光谱分析类设备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2</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紫外可见分光光度计</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UV-2600</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日本岛津</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光谱分析类设备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3</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紫外可见分光光度计</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Specord 210plus</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Analytik Jena（德国耶拿）</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光谱分析类设备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4</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原子吸收分光光度计</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澳大利亚GBCSavantAA</w:t>
                  </w:r>
                  <w:r>
                    <w:br/>
                  </w:r>
                  <w:r>
                    <w:rPr>
                      <w:rFonts w:ascii="仿宋_GB2312" w:hAnsi="仿宋_GB2312" w:cs="仿宋_GB2312" w:eastAsia="仿宋_GB2312"/>
                      <w:sz w:val="24"/>
                      <w:color w:val="333333"/>
                    </w:rPr>
                    <w:t xml:space="preserve"> (火焰+石墨炉套装）</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GBC（澳大利亚）</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光谱分析类设备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5</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原子吸收分光光度计</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岛津AA-6300C</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日本岛津</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光谱分析类设备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6</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原子吸收分光光度计</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国产设备</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TAS-990F</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PERSEE 普析</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光谱分析类设备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7</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原子吸收光谱仪</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ZEEnit700P</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Analytik Jena（德国耶拿）</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光谱分析类设备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8</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原子吸收光谱仪</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contrAA 700</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德国耶拿</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光谱分析类设备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9</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原子吸收光谱仪</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国产设备</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PF5 - 2</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PERSEE 普析</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光谱分析类设备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10</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原子荧光光谱仪</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SK-2002型博析</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北京金索坤</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光谱分析类设备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11</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傅里叶红外分光光度计</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IRAffinity-1S</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日本岛津</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光谱分析类设备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12</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傅里叶变换红外光谱仪</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IRSpirit - T</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日本岛津</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光谱分析类设备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13</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火焰光度计</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Sherwood M410</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英国Sherwood</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光谱分析类设备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14</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高效液相色谱仪</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Perkinemer</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铂金埃尔默</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色谱分析类设备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15</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高效液相色谱仪</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 xml:space="preserve">Waters </w:t>
                  </w:r>
                  <w:r>
                    <w:rPr>
                      <w:rFonts w:ascii="仿宋_GB2312" w:hAnsi="仿宋_GB2312" w:cs="仿宋_GB2312" w:eastAsia="仿宋_GB2312"/>
                      <w:sz w:val="24"/>
                      <w:color w:val="333333"/>
                    </w:rPr>
                    <w:t xml:space="preserve"> </w:t>
                  </w:r>
                  <w:r>
                    <w:rPr>
                      <w:rFonts w:ascii="仿宋_GB2312" w:hAnsi="仿宋_GB2312" w:cs="仿宋_GB2312" w:eastAsia="仿宋_GB2312"/>
                      <w:sz w:val="24"/>
                      <w:color w:val="333333"/>
                    </w:rPr>
                    <w:t>ACQUITY UPLC H-Class</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美国Waters</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色谱分析类设备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16</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高效液相色谱仪</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 xml:space="preserve">Waters </w:t>
                  </w:r>
                  <w:r>
                    <w:rPr>
                      <w:rFonts w:ascii="仿宋_GB2312" w:hAnsi="仿宋_GB2312" w:cs="仿宋_GB2312" w:eastAsia="仿宋_GB2312"/>
                      <w:sz w:val="24"/>
                      <w:color w:val="333333"/>
                    </w:rPr>
                    <w:t xml:space="preserve"> </w:t>
                  </w:r>
                  <w:r>
                    <w:rPr>
                      <w:rFonts w:ascii="仿宋_GB2312" w:hAnsi="仿宋_GB2312" w:cs="仿宋_GB2312" w:eastAsia="仿宋_GB2312"/>
                      <w:sz w:val="24"/>
                      <w:color w:val="333333"/>
                    </w:rPr>
                    <w:t>ACQUITY UPLC H-Class</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美国Waters</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色谱分析类设备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17</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高效液相色谱仪</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安捷伦1260Infin ittll</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德国.安捷伦</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色谱分析类设备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18</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高效液相色谱仪</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安捷伦1260Infin ittll</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德国.安捷伦</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色谱分析类设备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19</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高效液相色谱仪</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UtiMate 3000</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赛默飞世尔</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色谱分析类设备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20</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高效液相色谱仪</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安捷伦1290Infin ittll</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德国.安捷伦</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色谱分析类设备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21</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超高效液相色谱仪</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安捷伦 1290 Infinity II</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德国.安捷伦</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色谱分析类设备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22</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超高效液相色谱仪</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安捷伦 1290 Infinity II</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德国.安捷伦</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色谱分析类设备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23</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液相色谱仪( UV)</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Agilent 1260</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美国Agilent公司</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色谱分析类设备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24</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超高压液相色谱仪</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LC-40D XS</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日本岛津</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色谱分析类设备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25</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气相色谱仪（FPD）</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Agilent 8890</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美国Agilent公司</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色谱分析类设备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26</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气相色谱仪（ECD）</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Agilent 8891</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美国Agilent公司</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色谱分析类设备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27</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气相色谱仪（</w:t>
                  </w:r>
                  <w:r>
                    <w:rPr>
                      <w:rFonts w:ascii="仿宋_GB2312" w:hAnsi="仿宋_GB2312" w:cs="仿宋_GB2312" w:eastAsia="仿宋_GB2312"/>
                      <w:sz w:val="24"/>
                      <w:color w:val="333333"/>
                    </w:rPr>
                    <w:t>FID</w:t>
                  </w:r>
                  <w:r>
                    <w:rPr>
                      <w:rFonts w:ascii="仿宋_GB2312" w:hAnsi="仿宋_GB2312" w:cs="仿宋_GB2312" w:eastAsia="仿宋_GB2312"/>
                      <w:sz w:val="24"/>
                      <w:color w:val="333333"/>
                    </w:rPr>
                    <w:t>）</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GC-2010 Plus</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日本岛津</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色谱分析类设备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28</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气相色谱仪（ECD+FPD+顶空进样器）</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Agilent 8890</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美国Agilent公司</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色谱分析类设备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29</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全自动薄层色谱展开仪</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ADC2</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瑞士 CAMAG</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色谱分析类设备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30</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离子色谱仪</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 xml:space="preserve">Metrohm 930 Compact IC </w:t>
                  </w:r>
                  <w:r>
                    <w:rPr>
                      <w:rFonts w:ascii="仿宋_GB2312" w:hAnsi="仿宋_GB2312" w:cs="仿宋_GB2312" w:eastAsia="仿宋_GB2312"/>
                      <w:sz w:val="24"/>
                      <w:color w:val="333333"/>
                    </w:rPr>
                    <w:t xml:space="preserve"> </w:t>
                  </w:r>
                  <w:r>
                    <w:rPr>
                      <w:rFonts w:ascii="仿宋_GB2312" w:hAnsi="仿宋_GB2312" w:cs="仿宋_GB2312" w:eastAsia="仿宋_GB2312"/>
                      <w:sz w:val="24"/>
                      <w:color w:val="333333"/>
                    </w:rPr>
                    <w:t>Flex</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Metrohm（瑞士万通）</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色谱分析类设备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31</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薄层色谱仪成像系统</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 xml:space="preserve">Linomt5-Visualizer2 </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瑞士</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色谱分析类设备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32</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全自动凯氏定氮仪</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KT8400</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德国福斯</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电化学分析类设备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33</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自动电位滴定仪</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国产设备</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ZDJ-4B</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上海雷磁</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电化学分析类设备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34</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全自动电位滴定仪</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梅特勒T5</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瑞士.梅特勒</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电化学分析类设备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35</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全自动水分滴定仪</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梅特勒-托利多 T5</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瑞士.梅特勒</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电化学分析类设备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36</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永停滴定仪</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国产设备</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ZDJ - 400YX</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先驱威锋</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电化学分析类设备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37</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全自动水分滴定仪</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国产设备</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T5</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梅特勒</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电化学分析类设备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38</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卡尔费休水分仪</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梅特勒V20</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梅特勒-托利多</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电化学分析类设备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39</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全自动氮吹仪</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国产设备</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睿科 AutoEVA 80</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睿科 RayKol</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样品前处理类设备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40</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氮吹仪</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国产设备</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TTL - DCII</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北京同泰联科技</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样品前处理类设备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41</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氮吹仪</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国产设备</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TTL-DCII</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北京同泰联科技</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样品前处理类设备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42</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全自动氮吹浓缩仪</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AutoEVA20Pus</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睿科 RayKol</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样品前处理类设备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43</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全自动氮吹浓缩仪</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 xml:space="preserve"> AutoEVA 80</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睿科 RayKol</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样品前处理类设备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44</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落地高速冷冻离心机</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LYNX6000</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赛默飞</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样品前处理类设备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45</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高速冷冻离心机</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SIGMA3-18</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SIGMA 西格玛</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样品前处理类设备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46</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高速冷冻离心机</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SIGMA3-18</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SIGMA 西格玛</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样品前处理类设备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47</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高速冷冻离心机</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曦玛 3 - 18KS</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德国</w:t>
                  </w:r>
                  <w:r>
                    <w:rPr>
                      <w:rFonts w:ascii="仿宋_GB2312" w:hAnsi="仿宋_GB2312" w:cs="仿宋_GB2312" w:eastAsia="仿宋_GB2312"/>
                      <w:sz w:val="24"/>
                      <w:color w:val="000000"/>
                    </w:rPr>
                    <w:t xml:space="preserve"> Sigma</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样品前处理类设备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48</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高速台式离心机</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国产设备</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TGL-16G</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上海安亭</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样品前处理类设备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49</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商用破壁料理机</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柏兰德/S885</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Blendtec（柏兰德）</w:t>
                  </w:r>
                </w:p>
              </w:tc>
              <w:tc>
                <w:tcPr>
                  <w:tcW w:type="dxa" w:w="3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样品前处理类设备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50</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商用破壁料理机</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柏兰德/S885</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Blendtec（柏兰德）</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样品前处理类设备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51</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食物搅拌机（料理机）</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国产设备</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艾美特CBS2066E</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艾美特</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样品前处理类设备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52</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食物搅拌机（料理机）</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国产设备</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艾美特CBS2066E</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艾美特</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样品前处理类设备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53</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食物搅拌机Pro500</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VM0174</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Vita-Mix Corporation</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样品前处理类设备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54</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组织匀浆机</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IKA T25</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IKA 艾卡（德国）</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样品前处理类设备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55</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超声波清洗机</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国产设备</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昆山舒美/KQ-500DE</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昆山舒美</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样品前处理类设备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56</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超声波清洗机</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国产设备</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SB-1800DT</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宁波新芝</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样品前处理类设备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57</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超声波清洗机</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国产设备</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KQ - 500DE</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昆山舒美</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样品前处理类设备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58</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超声波清洗机</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国产设备</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KQ - 600DB</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昆山舒美</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样品前处理类设备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59</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微波消解炉</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ethos one</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Milestone 莱伯泰科</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样品前处理类设备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60</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电子天平</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MS105</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梅特勒-托利多</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称量与计量类设备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61</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电子天平</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BP211D（双量程）</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赛多利斯 Sartorius</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称量与计量类设备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62</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电子天平</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BT423S</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赛多利斯 Sartorius</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称量与计量类设备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63</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电子天平</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梅特勒 BP221S</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梅特勒-托利多</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称量与计量类设备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64</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电子天平</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BS2202S</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赛多利斯 Sartorius</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称量与计量类设备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65</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电子天平</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AUW220</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日本岛津</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称量与计量类设备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66</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酸度计</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FE28</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梅特勒托利多</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称量与计量类设备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67</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渗透压摩尔浓度测定仪</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国产设备</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SMC - 30D</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天津天河</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称量与计量类设备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68</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冰柜（三洋冷冻）</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SRF1881ES</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日本三洋公司</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通用实验室设备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69</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冰柜（三洋冷冻）</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SRF1881ES</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日本三洋公司</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通用实验室设备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70</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冰柜（三洋冷冻）</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SRF1881ES</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日本三洋公司</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通用实验室设备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71</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冰柜（三洋冷冻）</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SRF1881ES</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日本三洋公司</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通用实验室设备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72</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冰柜（欧雪冷藏）</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国产设备</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SG1012FA</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深圳欧雪（Oxue）</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通用实验室设备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73</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冰柜（欧雪冷藏）</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国产设备</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SG1012FA</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深圳欧雪（Oxue）</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通用实验室设备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74</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海尔冰柜</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国产设备</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DB518A</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海尔 Haier</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通用实验室设备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75</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旋涡混合器</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Vortex 2</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IKA 艾卡（德国）</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通用实验室设备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76</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旋涡混合器</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Vortex 3</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IKA 艾卡（德国）</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通用实验室设备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77</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旋涡混合器</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Vortex 4</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IKA 艾卡（德国）</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通用实验室设备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78</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自动振荡器</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国产设备</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WYC - 110X50</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上海喆图</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通用实验室设备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79</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超纯水机</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IQ-7000</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密理博</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通用实验室设备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80</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超纯水机</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DIRECT - Q</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默克</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通用实验室设备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81</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超纯水处理系统</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millpore</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Millipore（密理博）</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通用实验室设备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82</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纯水设备</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国产设备</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RO - MB - 10T</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辉科环保</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通用实验室设备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83</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气体压缩机</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QL-50</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赛克赛斯</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通用实验室设备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84</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无油空气压缩机</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国产设备</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WM-H</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 xml:space="preserve">上海越磁 </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通用实验室设备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85</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空气压缩机</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国产设备</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HF - 6100D</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豪福机电</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通用实验室设备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86</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防腐蚀隔膜真空泵</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ChemVak C600</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维根斯</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通用实验室设备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87</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真空泵</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VACSTAR digital</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IKA 艾卡（德国）</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通用实验室设备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88</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固相萃取装置</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国产设备</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ASE-24固相萃取仪</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天津奥特赛恩斯</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通用实验室设备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89</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全自动固相萃取系统</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国产设备</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SPE1000 - 2</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莱伯泰科</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通用实验室设备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90</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旋转蒸发仪</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国产设备</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RV10</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广州（IKA)</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通用实验室设备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91</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电热恒温鼓风干燥箱</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国产设备</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DGG-9076AD 容积721L</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上海齐欣</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通用实验室设备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92</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电热鼓风干燥箱</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国产设备</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DHG-9140A</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上海一恒</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通用实验室设备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93</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真空干燥箱</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国产设备</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DZF-6020D</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上海齐欣</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通用实验室设备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94</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电热恒温干燥箱</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国产设备</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2020-OASB 42L</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北京科伟</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通用实验室设备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95</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超微粒粉碎机</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国产设备</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JY92-IIN</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新芝生物</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通用实验室设备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96</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行星式球磨机</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P6</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德国飞驰</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通用实验室设备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97</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全自动均质器</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Raykol AH-30</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睿科</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通用实验室设备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98</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磁力加热搅拌器</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国产设备</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HJ - 4</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常州国华</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通用实验室设备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99</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电热板</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C - MAG HP 10</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德国IKA（艾卡）</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通用实验室设备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100</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电热板</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C - MAG HP 10</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德国IKA（艾卡）</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通用实验室设备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101</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隔水式电热恒温培养箱（不锈钢胆）</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国产设备</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PYX - DHS.500 - B</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上海跃进</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通用实验室设备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102</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恒温恒湿箱</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国产设备</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ZHS100SC</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上海喆图</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通用实验室设备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103</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高压灭菌器</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HV - 85</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日本Hirayama</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通用实验室设备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104</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进样瓶清洗机</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国产设备</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TTL - 100</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北京同泰联科技</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通用实验室设备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105</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全自动洗瓶机</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GW300</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岛津</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通用实验室设备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106</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乳品成分分析仪</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Milkoscan Mars</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FOSS福斯（丹麦）</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专用分析与检测设备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107</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全自动氨基酸分析仪</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Scion赛里安Artemis6000</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上海天美</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专用分析与检测设备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108</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智能式马弗炉（纤维陶瓷）</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国产设备</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SX3 - 4 - 10</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北京科伟</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其他设备</w:t>
                  </w:r>
                </w:p>
              </w:tc>
            </w:tr>
            <w:tr>
              <w:tc>
                <w:tcPr>
                  <w:tcW w:type="dxa" w:w="13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109</w:t>
                  </w:r>
                </w:p>
              </w:tc>
              <w:tc>
                <w:tcPr>
                  <w:tcW w:type="dxa" w:w="63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333333"/>
                    </w:rPr>
                    <w:t>显微镜摄像系统</w:t>
                  </w:r>
                </w:p>
              </w:tc>
              <w:tc>
                <w:tcPr>
                  <w:tcW w:type="dxa" w:w="254"/>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进口</w:t>
                  </w:r>
                </w:p>
              </w:tc>
              <w:tc>
                <w:tcPr>
                  <w:tcW w:type="dxa" w:w="618"/>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BX43</w:t>
                  </w:r>
                </w:p>
              </w:tc>
              <w:tc>
                <w:tcPr>
                  <w:tcW w:type="dxa" w:w="539"/>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日本奥林巴斯</w:t>
                  </w:r>
                </w:p>
              </w:tc>
              <w:tc>
                <w:tcPr>
                  <w:tcW w:type="dxa" w:w="37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333333"/>
                    </w:rPr>
                    <w:t>其他设备</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通用技术要求 （维保服务基本要求）</w:t>
            </w:r>
          </w:p>
          <w:p>
            <w:pPr>
              <w:pStyle w:val="null3"/>
            </w:pPr>
            <w:r>
              <w:rPr>
                <w:rFonts w:ascii="仿宋_GB2312" w:hAnsi="仿宋_GB2312" w:cs="仿宋_GB2312" w:eastAsia="仿宋_GB2312"/>
                <w:sz w:val="24"/>
              </w:rPr>
              <w:t>（1）合规性要求：所有维保服务、更换的配件、使用的耗材必须符合国家相关法律法规、行业标准及设备原厂技术规范，不得使用假冒伪劣、过期、不合格的配件及耗材。</w:t>
            </w:r>
          </w:p>
          <w:p>
            <w:pPr>
              <w:pStyle w:val="null3"/>
            </w:pPr>
            <w:r>
              <w:rPr>
                <w:rFonts w:ascii="仿宋_GB2312" w:hAnsi="仿宋_GB2312" w:cs="仿宋_GB2312" w:eastAsia="仿宋_GB2312"/>
                <w:sz w:val="24"/>
              </w:rPr>
              <w:t>（2）安全性要求：维保服务过程中必须严格遵守实验室安全管理规定，落实安全防护措施，确保维保人员、实验室人员、设备及周边环境的安全，杜绝安全事故发生。</w:t>
            </w:r>
          </w:p>
          <w:p>
            <w:pPr>
              <w:pStyle w:val="null3"/>
            </w:pPr>
            <w:r>
              <w:rPr>
                <w:rFonts w:ascii="仿宋_GB2312" w:hAnsi="仿宋_GB2312" w:cs="仿宋_GB2312" w:eastAsia="仿宋_GB2312"/>
                <w:sz w:val="24"/>
              </w:rPr>
              <w:t>（3）专业性要求：维保人员必须具备3年以上同类型设备维保经验，熟悉设备的结构、原理、操作及故障排查，具备独立完成设备维修、保养、校准的能力。</w:t>
            </w:r>
          </w:p>
          <w:p>
            <w:pPr>
              <w:pStyle w:val="null3"/>
            </w:pPr>
            <w:r>
              <w:rPr>
                <w:rFonts w:ascii="仿宋_GB2312" w:hAnsi="仿宋_GB2312" w:cs="仿宋_GB2312" w:eastAsia="仿宋_GB2312"/>
                <w:sz w:val="24"/>
              </w:rPr>
              <w:t>（4）故障响应要求：提供7×24小时故障响应服务，接到设备故障报修后，2小时内响应，4小时内给出远程故障排查方案；远程无法解决的，24小时内到达现场，72小时内完成故障修复（特殊重大故障需原厂配件的，需给出明确的修复时限并经采购方确认）。</w:t>
            </w:r>
          </w:p>
          <w:p>
            <w:pPr>
              <w:pStyle w:val="null3"/>
            </w:pPr>
            <w:r>
              <w:rPr>
                <w:rFonts w:ascii="仿宋_GB2312" w:hAnsi="仿宋_GB2312" w:cs="仿宋_GB2312" w:eastAsia="仿宋_GB2312"/>
                <w:sz w:val="24"/>
              </w:rPr>
              <w:t>（5）故障修复要求：故障修复必须彻底，杜绝同一故障短期内重复发生；维修过程中如需更换核心配件，必须提前向采购方说明故障原因、配件型号、价格、更换方案，经采购方确认后方可更换；维修完成后，需对设备进行全面调试、性能验证，出具维修报告，确保设备各项技术指标达到原厂标准。</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服务要求：</w:t>
            </w:r>
          </w:p>
          <w:p>
            <w:pPr>
              <w:pStyle w:val="null3"/>
            </w:pPr>
            <w:r>
              <w:rPr>
                <w:rFonts w:ascii="仿宋_GB2312" w:hAnsi="仿宋_GB2312" w:cs="仿宋_GB2312" w:eastAsia="仿宋_GB2312"/>
                <w:sz w:val="24"/>
              </w:rPr>
              <w:t>（1）维修服务:合同期内，除正常的维护保养外，如仪器出现故障，维修次数不受限制。</w:t>
            </w:r>
            <w:r>
              <w:br/>
            </w:r>
            <w:r>
              <w:rPr>
                <w:rFonts w:ascii="仿宋_GB2312" w:hAnsi="仿宋_GB2312" w:cs="仿宋_GB2312" w:eastAsia="仿宋_GB2312"/>
                <w:sz w:val="24"/>
              </w:rPr>
              <w:t xml:space="preserve"> （2）维修过程中使用的零配件（耗材除外），以及维修期间发生的工时、差旅等相关费用不再收费。每次维修结束后应保证仪器达到良好的工作状态，并提供完整的维修工作报告，维修报告内容中应详细记录维修过程、更换配件情况及最终结论，并经由实验室该仪器负责人签字确认。</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4"/>
              </w:rPr>
              <w:t>光谱分析类设备维保技术要求（设备清单1-13项）</w:t>
            </w:r>
          </w:p>
          <w:p>
            <w:pPr>
              <w:pStyle w:val="null3"/>
              <w:jc w:val="both"/>
            </w:pPr>
            <w:r>
              <w:rPr>
                <w:rFonts w:ascii="仿宋_GB2312" w:hAnsi="仿宋_GB2312" w:cs="仿宋_GB2312" w:eastAsia="仿宋_GB2312"/>
                <w:sz w:val="24"/>
              </w:rPr>
              <w:t>（1）光学系统维保要求：对设备的光源、单色器、比色皿架、检测器等核心光学部件进行清洁、测试、校准，确保光学系统的光路准直、无偏移，波长准确度、波长重复性达到技术标准。针对原子吸收分光光度计的火焰原子化系统、石墨炉原子化系统，完成燃烧头、石墨锥、进样针的清洁、测试，确保原子化效率稳定，检出限、精密度符合要求。</w:t>
            </w:r>
          </w:p>
          <w:p>
            <w:pPr>
              <w:pStyle w:val="null3"/>
              <w:jc w:val="both"/>
            </w:pPr>
            <w:r>
              <w:rPr>
                <w:rFonts w:ascii="仿宋_GB2312" w:hAnsi="仿宋_GB2312" w:cs="仿宋_GB2312" w:eastAsia="仿宋_GB2312"/>
                <w:sz w:val="24"/>
              </w:rPr>
              <w:t>（2） 电路与控制系统维保要求：对设备的主板、电源模块、信号放大模块、温控模块等电路系统进行全面检测，排查虚焊、老化、短路等潜在故障，确保电路系统运行稳定。针对石墨炉的温控系统，完成温度校准，确保石墨管升温速率、温度准确度、温度重复性达到标准，避免因温度异常导致检测数据偏差。</w:t>
            </w:r>
          </w:p>
          <w:p>
            <w:pPr>
              <w:pStyle w:val="null3"/>
              <w:jc w:val="both"/>
            </w:pPr>
            <w:r>
              <w:rPr>
                <w:rFonts w:ascii="仿宋_GB2312" w:hAnsi="仿宋_GB2312" w:cs="仿宋_GB2312" w:eastAsia="仿宋_GB2312"/>
                <w:sz w:val="24"/>
              </w:rPr>
              <w:t>（3）气路与液路系统维保要求：针对原子吸收分光光度计的乙炔气路、保护气路，完成气密性检测、减压阀测试、管路清洁，确保气路无泄漏、气体压力稳定，符合设备安全运行要求。对设备的进样系统、雾化系统进行清洁、测试，确保进样量准确、雾化效率稳定，无堵塞、无泄漏，进样重复性符合技术要求。</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4"/>
              </w:rPr>
              <w:t>色谱分析类设备维保技术要求（设备清单14-31项）</w:t>
            </w:r>
          </w:p>
          <w:p>
            <w:pPr>
              <w:pStyle w:val="null3"/>
              <w:jc w:val="both"/>
            </w:pPr>
            <w:r>
              <w:rPr>
                <w:rFonts w:ascii="仿宋_GB2312" w:hAnsi="仿宋_GB2312" w:cs="仿宋_GB2312" w:eastAsia="仿宋_GB2312"/>
                <w:sz w:val="24"/>
              </w:rPr>
              <w:t>（1）液相色谱类设备专项要求：液路系统维保：对高压输液泵、进样器、检测器、管路、密封件等进行全面清洁、测试、确保液路系统无泄漏、无堵塞，输液压力稳定、无脉冲。进样系统维保：对进样针、进样阀、针座、进行清洁、确保进样量准确、无残留，进样重复性符合技术要求；自动进样器需完成定位校准、润滑测试，确保进样动作精准、无故障。检测器维保：针对检测器，完成光源、波长校准、信号测试，确保检测器的基线稳定、噪声低、漂移小，检出限、线性范围符合技术标准。色谱柱维护：对色谱柱进行冲洗、按照检测方法要求及时色谱柱，确保色谱柱的柱效、分离度、保留时间重复性符合检测要求，避免因色谱柱问题导致检测数据异常。</w:t>
            </w:r>
          </w:p>
          <w:p>
            <w:pPr>
              <w:pStyle w:val="null3"/>
              <w:jc w:val="both"/>
            </w:pPr>
            <w:r>
              <w:rPr>
                <w:rFonts w:ascii="仿宋_GB2312" w:hAnsi="仿宋_GB2312" w:cs="仿宋_GB2312" w:eastAsia="仿宋_GB2312"/>
                <w:sz w:val="24"/>
              </w:rPr>
              <w:t>（2）气相色谱类设备专项要求：气路系统维保：对载气、氢气、空气、尾吹气等气路系统进行气密性检测、减压阀测试、管路清洁、捕集阱，确保气路无泄漏、气体纯度符合要求、压力流量稳定，符合设备安全运行及检测要求。进样口与色谱柱维保：对进样口衬管、密封垫、隔垫、分流平板进行清洁，确保进样口无残留、无泄漏，分流比准确；毛细管色谱柱需测试，确保色谱柱的柱效、分离度、保留时间稳定，符合检测要求。检测器维保：针对检测器完成清洁、测试、校准，确保检测器的基线稳定、噪声低、漂移小，检出限、精密度符合技术标准；检测器需完成喷嘴清洁、点火丝，确保点火正常、响应稳定。</w:t>
            </w:r>
          </w:p>
          <w:p>
            <w:pPr>
              <w:pStyle w:val="null3"/>
              <w:jc w:val="both"/>
            </w:pPr>
            <w:r>
              <w:rPr>
                <w:rFonts w:ascii="仿宋_GB2312" w:hAnsi="仿宋_GB2312" w:cs="仿宋_GB2312" w:eastAsia="仿宋_GB2312"/>
                <w:sz w:val="24"/>
              </w:rPr>
              <w:t>（3）离子色谱仪专项要求：淋洗液系统维保：对淋洗液发生器、泵、管路、抑制器进行清洁、测试，确保淋洗液的浓度、流量稳定，抑制器的抑制效率正常，基线稳定、无噪声、无漂移。色谱柱与进样系统维保：对离子色谱柱进行冲洗、再生，确保柱效、分离度符合要求；进样系统需完成清洁、校准，确保进样量准确、无残留，进样重复性符合技术要求。检测器维保：针对电导检测器、安培检测器等，完成清洁、测试、校准，确保检测器的响应稳定、检出限符合要求，基线平稳，无异常波动。</w:t>
            </w:r>
          </w:p>
          <w:p>
            <w:pPr>
              <w:pStyle w:val="null3"/>
              <w:jc w:val="both"/>
            </w:pPr>
            <w:r>
              <w:rPr>
                <w:rFonts w:ascii="仿宋_GB2312" w:hAnsi="仿宋_GB2312" w:cs="仿宋_GB2312" w:eastAsia="仿宋_GB2312"/>
                <w:sz w:val="24"/>
              </w:rPr>
              <w:t>（4）全自动薄层色谱展开仪专项要求：维保需全面清洁润滑升降电机、薄层板夹具、导轨并校准传动间隙，保证设备运行无卡顿；清洁校准温湿度传感器、展开槽并检测缸体密封性，稳定控温控湿，避免漏液、结露影响实验；清洗溶剂管路、电磁阀、过滤器，检测密封并更换老化密封件，保证溶剂流量与梯度配比精准，无堵塞渗漏；清洁校准CCD、溶剂前沿及位置传感器，确保展距识别精准、信号稳定；全面检测主板、电源、运动及信号采集模块，消除线路故障，保障活化、预平衡、展开、干燥等自动化程序稳定运行；同步维护调试配套工作站与操作软件，确保通讯、数据记录、报告输出合规。</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4"/>
              </w:rPr>
              <w:t>电化学分析类设备维保技术要求（设备清单32-38项）</w:t>
            </w:r>
          </w:p>
          <w:p>
            <w:pPr>
              <w:pStyle w:val="null3"/>
              <w:jc w:val="both"/>
            </w:pPr>
            <w:r>
              <w:rPr>
                <w:rFonts w:ascii="仿宋_GB2312" w:hAnsi="仿宋_GB2312" w:cs="仿宋_GB2312" w:eastAsia="仿宋_GB2312"/>
                <w:sz w:val="24"/>
              </w:rPr>
              <w:t>（1）电极系统维保要求：对pH电极、非水相滴定电极、卡尔费休水分测定电极、伏安极谱电极、工作电极、参比电极、辅助电极等进行全面清洁、活化、校准，确保电极的响应灵敏、稳定，无老化、无损坏，电极电位符合技术要求。电极填充液、活化液需按照设备规定，确保电极的正常活化、响应，避免因填充液变质、干涸导致电极损坏、检测数据异常。每次使用完成后，需对电极进行规范的清洁、保存，避免电极堵塞、污染、损坏，延长电极使用寿命。</w:t>
            </w:r>
          </w:p>
          <w:p>
            <w:pPr>
              <w:pStyle w:val="null3"/>
              <w:jc w:val="both"/>
            </w:pPr>
            <w:r>
              <w:rPr>
                <w:rFonts w:ascii="仿宋_GB2312" w:hAnsi="仿宋_GB2312" w:cs="仿宋_GB2312" w:eastAsia="仿宋_GB2312"/>
                <w:sz w:val="24"/>
              </w:rPr>
              <w:t>（2）滴定与检测系统维保要求：针对电位滴定仪、卡尔费休水分测定仪的滴定管、进样针、管路、密封件，完成清洁、测试，确保滴定管的体积准确度、滴定重复性达到标准，无泄漏、无堵塞，进样量准确。滴定杯、反应池需完成清洁，避免残留样品污染、影响检测结果，确保反应过程稳定、无干扰。</w:t>
            </w:r>
          </w:p>
          <w:p>
            <w:pPr>
              <w:pStyle w:val="null3"/>
              <w:jc w:val="both"/>
            </w:pPr>
            <w:r>
              <w:rPr>
                <w:rFonts w:ascii="仿宋_GB2312" w:hAnsi="仿宋_GB2312" w:cs="仿宋_GB2312" w:eastAsia="仿宋_GB2312"/>
                <w:sz w:val="24"/>
              </w:rPr>
              <w:t>（3）电路与控制系统维保要求：对设备的主板、电源模块、信号放大模块、温控模块、滴定控制模块等电路系统进行全面检测，排查虚焊、老化、短路等潜在故障，确保电路系统运行稳定，信号采集、处理准确。针对设备的温控系统，完成温度校准，确保反应池、滴定杯的温度准确度、温度稳定性达到技术标准，避免因温度异常导致检测数据偏差。</w:t>
            </w:r>
          </w:p>
          <w:p>
            <w:pPr>
              <w:pStyle w:val="null3"/>
              <w:jc w:val="both"/>
            </w:pPr>
            <w:r>
              <w:rPr>
                <w:rFonts w:ascii="仿宋_GB2312" w:hAnsi="仿宋_GB2312" w:cs="仿宋_GB2312" w:eastAsia="仿宋_GB2312"/>
                <w:sz w:val="24"/>
              </w:rPr>
              <w:t>（4）实验室基础设备：对设备进行除尘、开机运行测试、电路检测、实验效果测试等。</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4"/>
              </w:rPr>
              <w:t>样品前处理类设备维保技术要求（设备清单39-59项）</w:t>
            </w:r>
          </w:p>
          <w:p>
            <w:pPr>
              <w:pStyle w:val="null3"/>
              <w:jc w:val="both"/>
            </w:pPr>
            <w:r>
              <w:rPr>
                <w:rFonts w:ascii="仿宋_GB2312" w:hAnsi="仿宋_GB2312" w:cs="仿宋_GB2312" w:eastAsia="仿宋_GB2312"/>
                <w:sz w:val="24"/>
              </w:rPr>
              <w:t>（1）氮吹仪专项要求：气路系统维保：对氮气管路、减压阀、流量计、气针、密封件进行清洁、测试，确保气路无泄漏，氮气压力稳定、流量准确，气针无堵塞、无变形，吹扫均匀，符合样品浓缩要求。加热与温控系统维保：对加热模块、温度传感器、样品架进行清洁、测试、校准，确保加热均匀，温度准确度、温度稳定性符合技术要求，无过热、无温度失控等故障，样品架安装牢固、位置准确。控制系统维保：对设备的控制模块、显示模块、定时器进行全面检测，排查潜在故障，确保控制系统运行稳定，温度、时间、流量可正常设置、控制，无死机、无控制错乱等故障。</w:t>
            </w:r>
          </w:p>
          <w:p>
            <w:pPr>
              <w:pStyle w:val="null3"/>
              <w:jc w:val="both"/>
            </w:pPr>
            <w:r>
              <w:rPr>
                <w:rFonts w:ascii="仿宋_GB2312" w:hAnsi="仿宋_GB2312" w:cs="仿宋_GB2312" w:eastAsia="仿宋_GB2312"/>
                <w:sz w:val="24"/>
              </w:rPr>
              <w:t>（2）离心机专项要求：旋转与传动系统维保：对离心机的电机、传动机构、轴承、密封圈、转头、离心管架进行全面清洁、润滑、测试，确保旋转速度稳定、无噪声、无抖动，转速准确度、离心力准确度达到技术标准，转头、离心管架无变形、无裂纹，安装牢固。温控系统维保：针对冷冻离心机，对制冷系统、温度传感器、风道系统进行清洁、测试、校准，确保制冷效果正常，温度准确度、温度稳定性符合技术要求，无过热、无温度失控等故障，风道系统无堵塞、通风良好。安全系统维保：对离心机的门锁保护、不平衡保护、过温保护、过流保护、超速保护等安全功能进行全面检测，确保所有安全功能全部正常有效，无失效、无故障，确保设备运行安全。</w:t>
            </w:r>
          </w:p>
          <w:p>
            <w:pPr>
              <w:pStyle w:val="null3"/>
              <w:jc w:val="both"/>
            </w:pPr>
            <w:r>
              <w:rPr>
                <w:rFonts w:ascii="仿宋_GB2312" w:hAnsi="仿宋_GB2312" w:cs="仿宋_GB2312" w:eastAsia="仿宋_GB2312"/>
                <w:sz w:val="24"/>
              </w:rPr>
              <w:t>（3）商用破壁料理机专项要求：全流程专业维保服务，所有维保操作、替换配件均符合原厂规范及农检实验室防交叉污染管控要求；全面检查刀组、密封胶圈、传动耦合件、电机轴承、散热风道、电源线及温控过载保护组件，对传动部位加注专用润滑脂，及时更换磨损、老化刀片与密封耗材；整机电气绝缘、接地安全检测与转速性能校验，深度清洗杯体、刀轴、机身内部样品残留，区分果蔬、畜禽等不同基质样品配套器具开展专项除污消杀，杜绝样品交叉污染。</w:t>
            </w:r>
          </w:p>
          <w:p>
            <w:pPr>
              <w:pStyle w:val="null3"/>
              <w:jc w:val="both"/>
            </w:pPr>
            <w:r>
              <w:rPr>
                <w:rFonts w:ascii="仿宋_GB2312" w:hAnsi="仿宋_GB2312" w:cs="仿宋_GB2312" w:eastAsia="仿宋_GB2312"/>
                <w:sz w:val="24"/>
              </w:rPr>
              <w:t>（4）超声波清洗机专项要求：超声波系统维保：对加热模块、温度传感器、清洗槽进行清洁、测试、确保加热均匀，温度准确度、温度稳定性符合技术要求，无过热、无温度失控等故障，清洗槽无泄漏、无腐蚀、无堵塞。控制系统维保：对设备的控制模块、显示模块、定时器、功率调节模块进行全面检测，排查潜在故障，确保控制系统运行稳定，温度、时间、功率可正常设置、控制，无死机、无控制错乱等故障。</w:t>
            </w:r>
          </w:p>
          <w:p>
            <w:pPr>
              <w:pStyle w:val="null3"/>
              <w:jc w:val="both"/>
            </w:pPr>
            <w:r>
              <w:rPr>
                <w:rFonts w:ascii="仿宋_GB2312" w:hAnsi="仿宋_GB2312" w:cs="仿宋_GB2312" w:eastAsia="仿宋_GB2312"/>
                <w:sz w:val="24"/>
              </w:rPr>
              <w:t>（5）旋涡混合器专项要求：所用配件、耗材符合原厂技术标准与农检实验室防交叉污染管控要求。震荡头、减震组件、驱动电机、传动结构、控制电路板、电源线、过载保护装置，对传动运动部位加注专用润滑介质，老化破损减震垫、密封件、驱动配件统一更换；对仪器台面、震荡托架、样品接触区域深度清洁消杀，清除各类农检样品残留，避免样品交叉干扰。</w:t>
            </w:r>
          </w:p>
          <w:p>
            <w:pPr>
              <w:pStyle w:val="null3"/>
              <w:jc w:val="both"/>
            </w:pPr>
            <w:r>
              <w:rPr>
                <w:rFonts w:ascii="仿宋_GB2312" w:hAnsi="仿宋_GB2312" w:cs="仿宋_GB2312" w:eastAsia="仿宋_GB2312"/>
                <w:sz w:val="24"/>
              </w:rPr>
              <w:t>（6）固相萃取仪专项要求：液路与气路系统维保：对泵、管路、进样针、密封件、气路控制阀、流量计进行清洁、测试，确保液路、气路无泄漏、无堵塞，流量、压力稳定，进样量准确，符合固相萃取要求。萃取柱与样品架维保：对萃取柱架、样品架、收集管架进行清洁、测试，确保安装牢固、位置准确，无变形、无损坏，萃取柱安装密封良好，无漏液、无交叉污染。控制系统维保：对设备的控制模块、显示模块、电磁阀组进行全面检测，排查潜在故障，确保控制系统运行稳定，萃取程序可正常编辑、运行，无死机、无阀组控制错乱等故障。</w:t>
            </w:r>
          </w:p>
          <w:p>
            <w:pPr>
              <w:pStyle w:val="null3"/>
              <w:jc w:val="both"/>
            </w:pPr>
            <w:r>
              <w:rPr>
                <w:rFonts w:ascii="仿宋_GB2312" w:hAnsi="仿宋_GB2312" w:cs="仿宋_GB2312" w:eastAsia="仿宋_GB2312"/>
                <w:sz w:val="24"/>
              </w:rPr>
              <w:t>（7）旋转蒸发仪专项要求：旋转与传动系统维保：对旋转电机、传动机构、轴承、密封圈进行清洁、润滑、测试，确保旋转速度稳定、无噪声、无抖动，转速准确度达到技术标准，无泄漏、无故障。加热与温控系统维保：对加热锅、加热模块、温度传感器进行清洁、测试、校准，确保加热均匀，温度准确度、温度稳定性符合技术要求，无过热、无温度失控等故障。真空与冷凝系统维保：对真空泵、真空管路、密封件、冷凝管、循环液管路进行清洁、测试，确保真空系统无泄漏，真空度稳定、达到标准，冷凝系统制冷效果正常，无堵塞、无泄漏，确保溶剂回收效率符合要求。</w:t>
            </w:r>
          </w:p>
          <w:p>
            <w:pPr>
              <w:pStyle w:val="null3"/>
              <w:jc w:val="both"/>
            </w:pPr>
            <w:r>
              <w:rPr>
                <w:rFonts w:ascii="仿宋_GB2312" w:hAnsi="仿宋_GB2312" w:cs="仿宋_GB2312" w:eastAsia="仿宋_GB2312"/>
                <w:sz w:val="24"/>
              </w:rPr>
              <w:t>（8）电热板专项要求：维保全面检查加热面板、温控传感元件、主板电路、电源线、隔热防护、过热保护等核心部件，清理板面腐蚀残留与设备内部积尘，更换老化加热组件、损坏隔热垫；校验温度精准度与恒温稳定性，检测整机绝缘、接地安全，排查线路老化、虚焊隐患；针对农检酸碱样品腐蚀痕迹做专业清洁防护，消除交叉污染风险。</w:t>
            </w:r>
          </w:p>
          <w:p>
            <w:pPr>
              <w:pStyle w:val="null3"/>
              <w:jc w:val="both"/>
            </w:pPr>
            <w:r>
              <w:rPr>
                <w:rFonts w:ascii="仿宋_GB2312" w:hAnsi="仿宋_GB2312" w:cs="仿宋_GB2312" w:eastAsia="仿宋_GB2312"/>
                <w:sz w:val="24"/>
              </w:rPr>
              <w:t>（9）微波消解专项要求：腔体与加热系统维保：对微波腔体、加热模块、温度传感器、压力传感器进行全面清洁、测试、校准，确保腔体无泄漏、无腐蚀，加热均匀，温度准确度、压力准确度达到技术标准，避免因温度、压力异常导致消解不完全、安全事故发生。消解罐与密封系统维保：对消解罐、罐盖、密封垫、防爆膜进行检查、清洁，确保消解罐无裂纹、无变形，密封系统无泄漏，防爆膜完好，符合设备安全运行要求。控制系统维保：对设备的主板、控制模块、显示模块进行全面检测，排查潜在故障，确保控制系统运行稳定，消解程序可正常编辑、运行，无死机、无程序错乱等故障。安全性能要求：设备的过温保护、过压保护、开门保护、防爆保护等安全功能必须全部正常有效，无失效、无故障，确保设备运行安全。</w:t>
            </w:r>
          </w:p>
          <w:p>
            <w:pPr>
              <w:pStyle w:val="null3"/>
              <w:jc w:val="both"/>
            </w:pPr>
            <w:r>
              <w:rPr>
                <w:rFonts w:ascii="仿宋_GB2312" w:hAnsi="仿宋_GB2312" w:cs="仿宋_GB2312" w:eastAsia="仿宋_GB2312"/>
                <w:sz w:val="24"/>
              </w:rPr>
              <w:t>（10）实验室基础设备：对设备进行除尘、开机运行测试、电路检测、实验效果测试等。</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4"/>
              </w:rPr>
              <w:t>称量与计量类设备维保技术要求（设备清单60-67项）</w:t>
            </w:r>
          </w:p>
          <w:p>
            <w:pPr>
              <w:pStyle w:val="null3"/>
              <w:jc w:val="both"/>
            </w:pPr>
            <w:r>
              <w:rPr>
                <w:rFonts w:ascii="仿宋_GB2312" w:hAnsi="仿宋_GB2312" w:cs="仿宋_GB2312" w:eastAsia="仿宋_GB2312"/>
                <w:sz w:val="24"/>
              </w:rPr>
              <w:t>电子天平专项要求：称量系统维保：对天平的称量传感器、秤盘、防风罩、水平仪进行全面清洁、测试、校准，确保称量传感器无老化、无损坏，秤盘水平、无变形，防风罩密封良好，水平仪准确，天平处于水平状态。环境与使用要求：天平的放置环境必须符合要求，无震动、无气流、无温度剧烈变化，对天平的使用环境进行检查，确保符合天平运行要求，延长天平使用寿命，保证称量数据准确。</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4"/>
              </w:rPr>
              <w:t>通用实验室设备维保技术要求（设备清单68-105项）</w:t>
            </w:r>
          </w:p>
          <w:p>
            <w:pPr>
              <w:pStyle w:val="null3"/>
              <w:jc w:val="both"/>
            </w:pPr>
            <w:r>
              <w:rPr>
                <w:rFonts w:ascii="仿宋_GB2312" w:hAnsi="仿宋_GB2312" w:cs="仿宋_GB2312" w:eastAsia="仿宋_GB2312"/>
                <w:sz w:val="24"/>
              </w:rPr>
              <w:t>（1）冰箱/冰柜专项要求：制冷系统维保：对冰箱/冰柜的压缩机、冷凝器、蒸发器、门封条进行全面清洁、测试、检测，确保制冷系统运行正常，制冷效果符合要求，无泄漏、无堵塞、无过热，门封条密封良好，无冷气泄漏。温控系统维保：对温度传感器、温控模块、显示模块进行清洁、测试、校准，确保温度监测准确，温控系统运行稳定，无温度失控、无显示异常等故障，箱内温度符合设备技术标准及样品保存要求。其他系统维保：对冰箱/冰柜的风机、风道系统、排水系统、门锁系统进行清洁、测试，确保风机运行正常、无噪声，风道系统无堵塞，排水系统无堵塞、无泄漏，门锁系统正常有效，无故障。</w:t>
            </w:r>
          </w:p>
          <w:p>
            <w:pPr>
              <w:pStyle w:val="null3"/>
              <w:jc w:val="both"/>
            </w:pPr>
            <w:r>
              <w:rPr>
                <w:rFonts w:ascii="仿宋_GB2312" w:hAnsi="仿宋_GB2312" w:cs="仿宋_GB2312" w:eastAsia="仿宋_GB2312"/>
                <w:sz w:val="24"/>
              </w:rPr>
              <w:t>（2）超纯水机专项要求：水处理系统维保：对超纯水机的预处理滤芯、反渗透膜、超纯化柱、终端过滤器、紫外杀菌灯进行清洁、测试，确保水处理系统运行正常，滤芯、膜元件无堵塞、无老化，超纯化柱的离子交换容量符合要求，紫外杀菌灯的杀菌效果正常。水质监测与校准要求：对超纯水机的电导率/电阻率检测仪、TOC检测仪进行校准，确保监测数据准确；控制系统与管路维保：对设备的主板、控制模块、显示模块、电磁阀、水泵、管路、密封件进行全面检测、清洁、测试，确保控制系统运行稳定，无死机、无控制错乱，水泵、电磁阀无故障，管路无泄漏、无堵塞。</w:t>
            </w:r>
          </w:p>
          <w:p>
            <w:pPr>
              <w:pStyle w:val="null3"/>
              <w:jc w:val="both"/>
            </w:pPr>
            <w:r>
              <w:rPr>
                <w:rFonts w:ascii="仿宋_GB2312" w:hAnsi="仿宋_GB2312" w:cs="仿宋_GB2312" w:eastAsia="仿宋_GB2312"/>
                <w:sz w:val="24"/>
              </w:rPr>
              <w:t>（3）干燥箱、培养箱、恒温水浴锅专项要求：对设备进行全面检测，排查潜在故障，确保控制系统运行稳定，温度、时间可正常设置、控制，无死机、无控制错乱等故障。安全系统维保：对设备的过温保护、过流保护、短路保护、漏电保护等安全功能进行全面检测，确保所有安全功能全部正常有效，无失效、无故障，确保设备运行安全。</w:t>
            </w:r>
          </w:p>
          <w:p>
            <w:pPr>
              <w:pStyle w:val="null3"/>
              <w:jc w:val="both"/>
            </w:pPr>
            <w:r>
              <w:rPr>
                <w:rFonts w:ascii="仿宋_GB2312" w:hAnsi="仿宋_GB2312" w:cs="仿宋_GB2312" w:eastAsia="仿宋_GB2312"/>
                <w:sz w:val="24"/>
              </w:rPr>
              <w:t>（4）实验室基础设备：对设备进行除尘、开机运行测试、电路检测、实验效果测试等。</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4"/>
              </w:rPr>
              <w:t>专用分析与检测设备维保技术要求（设备清单106-107项）</w:t>
            </w:r>
          </w:p>
          <w:p>
            <w:pPr>
              <w:pStyle w:val="null3"/>
              <w:jc w:val="both"/>
            </w:pPr>
            <w:r>
              <w:rPr>
                <w:rFonts w:ascii="仿宋_GB2312" w:hAnsi="仿宋_GB2312" w:cs="仿宋_GB2312" w:eastAsia="仿宋_GB2312"/>
                <w:sz w:val="24"/>
              </w:rPr>
              <w:t>（1）乳品成分分析仪专项要求：光学与检测系统维保：对设备进行全面清洁、测试、校准，确保光学系统的光路准直、无偏移，波长准确度、波长重复性达到技术标准，检测器的响应稳定、灵敏，基线稳定、无噪声、无漂移。进样与搅拌系统维保：对进样针、进样阀、搅拌器、搅拌杯、管路、密封件进行清洁、测试，确保进样量准确、无残留，搅拌速度稳定、无噪声，样品混合均匀，无堵塞、无泄漏，进样重复性符合技术要求。</w:t>
            </w:r>
          </w:p>
          <w:p>
            <w:pPr>
              <w:pStyle w:val="null3"/>
              <w:jc w:val="both"/>
            </w:pPr>
            <w:r>
              <w:rPr>
                <w:rFonts w:ascii="仿宋_GB2312" w:hAnsi="仿宋_GB2312" w:cs="仿宋_GB2312" w:eastAsia="仿宋_GB2312"/>
                <w:sz w:val="24"/>
              </w:rPr>
              <w:t>（2）全自动氨基酸分析仪专项要求：液路与进样系统维保：对高压输液泵、进样器、反应柱、管路、密封件、进样针、针座进行全面清洁、测试，确保液路系统无泄漏、无堵塞，输液压力稳定、无脉冲，流量准确度、流量重复性达到标准，进样量准确、无残留，进样重复性符合技术要求。检测与反应系统维保：对检测器、反应池、加热模块、温度传感器、管路进行清洁、测试、校准，确保反应池的温度准确度、温度稳定性符合技术要求，衍生反应完全、稳定，检测器的响应灵敏、稳定，基线稳定、无噪声、无漂移，检出限、精密度符合技术标准。</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4"/>
              </w:rPr>
              <w:t>其他设备（设备清单108-109项）</w:t>
            </w:r>
          </w:p>
          <w:p>
            <w:pPr>
              <w:pStyle w:val="null3"/>
            </w:pPr>
            <w:r>
              <w:rPr>
                <w:rFonts w:ascii="仿宋_GB2312" w:hAnsi="仿宋_GB2312" w:cs="仿宋_GB2312" w:eastAsia="仿宋_GB2312"/>
                <w:sz w:val="24"/>
              </w:rPr>
              <w:t>对设备进行除尘、开机运行测试、电路检测、实验效果测试等。</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标的名称：液质仪器维保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315"/>
            </w:pPr>
            <w:r>
              <w:rPr>
                <w:rFonts w:ascii="仿宋_GB2312" w:hAnsi="仿宋_GB2312" w:cs="仿宋_GB2312" w:eastAsia="仿宋_GB2312"/>
                <w:sz w:val="21"/>
                <w:b/>
                <w:color w:val="000000"/>
              </w:rPr>
              <w:t>液质联用仪维修</w:t>
            </w:r>
            <w:r>
              <w:rPr>
                <w:rFonts w:ascii="仿宋_GB2312" w:hAnsi="仿宋_GB2312" w:cs="仿宋_GB2312" w:eastAsia="仿宋_GB2312"/>
                <w:sz w:val="21"/>
                <w:b/>
                <w:color w:val="000000"/>
              </w:rPr>
              <w:t>清单</w:t>
            </w:r>
          </w:p>
          <w:tbl>
            <w:tblPr>
              <w:tblBorders>
                <w:top w:val="none" w:color="000000" w:sz="4"/>
                <w:left w:val="none" w:color="000000" w:sz="4"/>
                <w:bottom w:val="none" w:color="000000" w:sz="4"/>
                <w:right w:val="none" w:color="000000" w:sz="4"/>
                <w:insideH w:val="none"/>
                <w:insideV w:val="none"/>
              </w:tblBorders>
            </w:tblPr>
            <w:tblGrid>
              <w:gridCol w:w="305"/>
              <w:gridCol w:w="487"/>
              <w:gridCol w:w="1035"/>
              <w:gridCol w:w="726"/>
            </w:tblGrid>
            <w:tr>
              <w:tc>
                <w:tcPr>
                  <w:tcW w:type="dxa" w:w="3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4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设备名称</w:t>
                  </w:r>
                </w:p>
              </w:tc>
              <w:tc>
                <w:tcPr>
                  <w:tcW w:type="dxa" w:w="10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规格型号</w:t>
                  </w:r>
                </w:p>
              </w:tc>
              <w:tc>
                <w:tcPr>
                  <w:tcW w:type="dxa" w:w="7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美国waters</w:t>
                  </w: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液质联用仪UPLC-Xevo ＴＱ－S</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美国waters</w:t>
                  </w: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液质联用仪UPLC-Xevo TQ XS</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color w:val="000000"/>
              </w:rPr>
              <w:t>服务范围</w:t>
            </w:r>
            <w:r>
              <w:rPr>
                <w:rFonts w:ascii="仿宋_GB2312" w:hAnsi="仿宋_GB2312" w:cs="仿宋_GB2312" w:eastAsia="仿宋_GB2312"/>
                <w:sz w:val="21"/>
                <w:color w:val="000000"/>
              </w:rPr>
              <w:t>：</w:t>
            </w:r>
          </w:p>
          <w:p>
            <w:pPr>
              <w:pStyle w:val="null3"/>
              <w:numPr>
                <w:ilvl w:val="0"/>
                <w:numId w:val="1"/>
              </w:numPr>
              <w:jc w:val="both"/>
            </w:pPr>
            <w:r>
              <w:rPr>
                <w:rFonts w:ascii="仿宋_GB2312" w:hAnsi="仿宋_GB2312" w:cs="仿宋_GB2312" w:eastAsia="仿宋_GB2312"/>
                <w:sz w:val="21"/>
                <w:color w:val="000000"/>
              </w:rPr>
              <w:t>定期保</w:t>
            </w:r>
            <w:r>
              <w:rPr>
                <w:rFonts w:ascii="仿宋_GB2312" w:hAnsi="仿宋_GB2312" w:cs="仿宋_GB2312" w:eastAsia="仿宋_GB2312"/>
                <w:sz w:val="21"/>
                <w:color w:val="000000"/>
              </w:rPr>
              <w:t>养：为了减少仪器故障和延长仪器使用寿命，为质谱</w:t>
            </w:r>
            <w:r>
              <w:rPr>
                <w:rFonts w:ascii="仿宋_GB2312" w:hAnsi="仿宋_GB2312" w:cs="仿宋_GB2312" w:eastAsia="仿宋_GB2312"/>
                <w:sz w:val="21"/>
                <w:color w:val="000000"/>
              </w:rPr>
              <w:t>美国</w:t>
            </w:r>
            <w:r>
              <w:rPr>
                <w:rFonts w:ascii="仿宋_GB2312" w:hAnsi="仿宋_GB2312" w:cs="仿宋_GB2312" w:eastAsia="仿宋_GB2312"/>
                <w:sz w:val="21"/>
                <w:color w:val="000000"/>
              </w:rPr>
              <w:t xml:space="preserve">waters UPLC-Xevo </w:t>
            </w:r>
            <w:r>
              <w:rPr>
                <w:rFonts w:ascii="仿宋_GB2312" w:hAnsi="仿宋_GB2312" w:cs="仿宋_GB2312" w:eastAsia="仿宋_GB2312"/>
                <w:sz w:val="21"/>
                <w:color w:val="000000"/>
              </w:rPr>
              <w:t>ＴＱ－</w:t>
            </w:r>
            <w:r>
              <w:rPr>
                <w:rFonts w:ascii="仿宋_GB2312" w:hAnsi="仿宋_GB2312" w:cs="仿宋_GB2312" w:eastAsia="仿宋_GB2312"/>
                <w:sz w:val="21"/>
                <w:color w:val="000000"/>
              </w:rPr>
              <w:t>S</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全面维护（</w:t>
            </w:r>
            <w:r>
              <w:rPr>
                <w:rFonts w:ascii="仿宋_GB2312" w:hAnsi="仿宋_GB2312" w:cs="仿宋_GB2312" w:eastAsia="仿宋_GB2312"/>
                <w:sz w:val="21"/>
                <w:color w:val="000000"/>
              </w:rPr>
              <w:t>PM</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次</w:t>
            </w:r>
            <w:r>
              <w:rPr>
                <w:rFonts w:ascii="仿宋_GB2312" w:hAnsi="仿宋_GB2312" w:cs="仿宋_GB2312" w:eastAsia="仿宋_GB2312"/>
                <w:sz w:val="21"/>
                <w:b/>
                <w:color w:val="000000"/>
              </w:rPr>
              <w:t>；</w:t>
            </w:r>
            <w:r>
              <w:rPr>
                <w:rFonts w:ascii="仿宋_GB2312" w:hAnsi="仿宋_GB2312" w:cs="仿宋_GB2312" w:eastAsia="仿宋_GB2312"/>
                <w:sz w:val="21"/>
                <w:color w:val="000000"/>
              </w:rPr>
              <w:t>每次维护结束后应提供完整的维护报告，报告中应详细描述维护内容和维护过程，最终由用户实验室相关负责人员签字确认，每次上门维护时间由双方工作人员协商决定。</w:t>
            </w:r>
          </w:p>
          <w:p>
            <w:pPr>
              <w:pStyle w:val="null3"/>
              <w:numPr>
                <w:ilvl w:val="0"/>
                <w:numId w:val="1"/>
              </w:numPr>
              <w:jc w:val="both"/>
            </w:pPr>
            <w:r>
              <w:rPr>
                <w:rFonts w:ascii="仿宋_GB2312" w:hAnsi="仿宋_GB2312" w:cs="仿宋_GB2312" w:eastAsia="仿宋_GB2312"/>
                <w:sz w:val="21"/>
                <w:color w:val="000000"/>
              </w:rPr>
              <w:t>不定期报修：合同期内，除正常的维护保养外，如仪器出现故障，维修保修次数不受限制。</w:t>
            </w:r>
          </w:p>
          <w:p>
            <w:pPr>
              <w:pStyle w:val="null3"/>
              <w:numPr>
                <w:ilvl w:val="0"/>
                <w:numId w:val="1"/>
              </w:numPr>
              <w:jc w:val="both"/>
            </w:pPr>
            <w:r>
              <w:rPr>
                <w:rFonts w:ascii="仿宋_GB2312" w:hAnsi="仿宋_GB2312" w:cs="仿宋_GB2312" w:eastAsia="仿宋_GB2312"/>
                <w:sz w:val="21"/>
                <w:color w:val="000000"/>
              </w:rPr>
              <w:t>维修过程中使用的零配件，以及维修期间发生的工时、差旅等相关费用不再收费。每次维修结束后应保证仪器达到良好的工作状态，并提供完整的维修工作报告，维修报告内容中应详细记录维修过程、更换配件情况及最终结论，并经由实验室该仪器负责人签字确认。</w:t>
            </w:r>
          </w:p>
          <w:p>
            <w:pPr>
              <w:pStyle w:val="null3"/>
              <w:numPr>
                <w:ilvl w:val="0"/>
                <w:numId w:val="1"/>
              </w:numPr>
              <w:jc w:val="both"/>
            </w:pPr>
            <w:r>
              <w:rPr>
                <w:rFonts w:ascii="仿宋_GB2312" w:hAnsi="仿宋_GB2312" w:cs="仿宋_GB2312" w:eastAsia="仿宋_GB2312"/>
                <w:sz w:val="21"/>
                <w:color w:val="000000"/>
              </w:rPr>
              <w:t>维修更换零配件包括仪器上使用的所有电路板，检测器，离子源加热器，分子涡轮泵，分子涡轮泵控制器，机械泵，气体控制器等不在另行收费。</w:t>
            </w:r>
          </w:p>
          <w:p>
            <w:pPr>
              <w:pStyle w:val="null3"/>
              <w:numPr>
                <w:ilvl w:val="0"/>
                <w:numId w:val="1"/>
              </w:numPr>
              <w:ind w:left="240"/>
              <w:jc w:val="both"/>
            </w:pPr>
            <w:r>
              <w:rPr>
                <w:rFonts w:ascii="仿宋_GB2312" w:hAnsi="仿宋_GB2312" w:cs="仿宋_GB2312" w:eastAsia="仿宋_GB2312"/>
                <w:sz w:val="21"/>
                <w:color w:val="000000"/>
              </w:rPr>
              <w:t>赠送调谐液一套（国产），按实验室需要容量提供。</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color w:val="000000"/>
              </w:rPr>
              <w:t>服务时限：</w:t>
            </w:r>
          </w:p>
          <w:p>
            <w:pPr>
              <w:pStyle w:val="null3"/>
              <w:jc w:val="both"/>
            </w:pPr>
            <w:r>
              <w:rPr>
                <w:rFonts w:ascii="仿宋_GB2312" w:hAnsi="仿宋_GB2312" w:cs="仿宋_GB2312" w:eastAsia="仿宋_GB2312"/>
                <w:sz w:val="21"/>
                <w:color w:val="000000"/>
              </w:rPr>
              <w:t>当实验室仪器操作人员报修后，经工程师电话判断后认为需到现场维修的，应于</w:t>
            </w:r>
            <w:r>
              <w:rPr>
                <w:rFonts w:ascii="仿宋_GB2312" w:hAnsi="仿宋_GB2312" w:cs="仿宋_GB2312" w:eastAsia="仿宋_GB2312"/>
                <w:sz w:val="21"/>
                <w:color w:val="000000"/>
              </w:rPr>
              <w:t>48小时内到达现场维修。当分析任务紧急，实验室人员提出周末和节假日加班时，应给予配合，保证周末和节假日上门服务。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具备相关专业资质，数量充足，满足项目要求。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具备相关专业资质，数量充足，满足项目要求。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承诺全面负责仪器设备的正常运行，接到保修通知后24小时响应，零部件包换等。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承诺全面负责仪器设备的正常运行，接到保修通知后24小时响应，零部件包换等。</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自合同签订之日1年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省农检中心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省农检中心</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现场检测，仪器设备运行良好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现场检测，仪器设备运行良好</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进度款，根据维保任务进度，达到付款条件起30个工作日内，支付合同总金额的40.0%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进度款，根据维保任务进度，达到付款条件起30个工作日内，支付合同总金额的40.0%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甲乙双方由于不可抗力的原因，无法履行本合同约定义务，应在该事由发生后立即通知对方，双方协商根据成交供应商实际工作进程结算费用。 2.双方非上述原因而不履行合同约定义务，应向对方赔偿由此造成的任何经济损失。但累计赔偿额不超过本合同约定的费用，守约方还可据此单方解除本合同。 3.因本合同或本合同的履行发生争议的，双方应协商解决；协商不成的，任何一方均有权向采购人所在地人民法院提起诉讼。 4.因成交供应商原因，除不可抗力原因外，未在合同约定期限内维保服务，应当按照合同金额的20%向采购人支付违约金。逾期20日仍未完成的，采购人有权解除合同，所产生的一切损失由成交供应商自行承担，采购人有权拒付全部费用，并要求成交供应商退还采购人已支付的款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甲乙双方由于不可抗力的原因，无法履行本合同约定义务，应在该事由发生后立即通知对方，双方协商根据成交供应商实际工作进程结算费用。 2.双方非上述原因而不履行合同约定义务，应向对方赔偿由此造成的任何经济损失。但累计赔偿额不超过本合同约定的费用，守约方还可据此单方解除本合同。 3.因本合同或本合同的履行发生争议的，双方应协商解决；协商不成的，任何一方均有权向采购人所在地人民法院提起诉讼。 4.因成交供应商原因，除不可抗力原因外，未在合同约定期限内维保服务，应当按照合同金额的20%向采购人支付违约金。逾期20日仍未完成的，采购人有权解除合同，所产生的一切损失由成交供应商自行承担，采购人有权拒付全部费用，并要求成交供应商退还采购人已支付的款项。</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供应商应为具有独立承担民事责任能力的法人、其他组织或自然人。法人或者其他组织提供营业执照等证明文件，自然人提供身份证件。提供扫描件或复印件并加盖公章。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或2025年度经审计的财务报告（至少包括审计报告、资产负债表和利润表）；或其响应文件递交截止前三个月内基本存款账户开户银行出具的资信证明及基本存款账户开户许可证（或基本存款账户信息相关证明文件）；或信用担保机构出具的投标担保函。提供扫描件或复印件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任意一个月的纳税证明或税务机关开具的完税证明，纳税证明或完税证明上应有代收机构或税务机关的公章或业务专用章。依法免税的供应商应提供相关文件证明。提供扫描件或复印件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任意一个月已缴存的社会保障资金缴存单据或社保机构开具的社会保险参保缴费证明），单据或证明上应有社保机构或代收机构的公章或业务专用章。依法不需要缴纳社会保障资金的单位应提供相关证明材料。提供扫描件或复印件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履职能力承诺函</w:t>
            </w:r>
          </w:p>
        </w:tc>
        <w:tc>
          <w:tcPr>
            <w:tcW w:type="dxa" w:w="3322"/>
          </w:tcPr>
          <w:p>
            <w:pPr>
              <w:pStyle w:val="null3"/>
            </w:pPr>
            <w:r>
              <w:rPr>
                <w:rFonts w:ascii="仿宋_GB2312" w:hAnsi="仿宋_GB2312" w:cs="仿宋_GB2312" w:eastAsia="仿宋_GB2312"/>
              </w:rPr>
              <w:t>具有履行合同所必需的设备和专业技术能力的承诺函并加盖公章。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无违法记录声明</w:t>
            </w:r>
          </w:p>
        </w:tc>
        <w:tc>
          <w:tcPr>
            <w:tcW w:type="dxa" w:w="3322"/>
          </w:tcPr>
          <w:p>
            <w:pPr>
              <w:pStyle w:val="null3"/>
            </w:pPr>
            <w:r>
              <w:rPr>
                <w:rFonts w:ascii="仿宋_GB2312" w:hAnsi="仿宋_GB2312" w:cs="仿宋_GB2312" w:eastAsia="仿宋_GB2312"/>
              </w:rPr>
              <w:t>提供参加本次政府采购活动前3年内在经营活动中没有重大违法记录的书面声明并加盖公章。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信用承诺并加盖公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供应商应为具有独立承担民事责任能力的法人、其他组织或自然人。法人或者其他组织提供营业执照等证明文件，自然人提供身份证件。提供扫描件或复印件并加盖公章。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或2025年度经审计的财务报告（至少包括审计报告、资产负债表和利润表）；或其响应文件递交截止前三个月内基本存款账户开户银行出具的资信证明及基本存款账户开户许可证（或基本存款账户信息相关证明文件）；或信用担保机构出具的投标担保函。提供扫描件或复印件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任意一个月的纳税证明或税务机关开具的完税证明，纳税证明或完税证明上应有代收机构或税务机关的公章或业务专用章。依法免税的供应商应提供相关文件证明。提供扫描件或复印件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任意一个月已缴存的社会保障资金缴存单据或社保机构开具的社会保险参保缴费证明），单据或证明上应有社保机构或代收机构的公章或业务专用章。依法不需要缴纳社会保障资金的单位应提供相关证明材料。提供扫描件或复印件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履职能力承诺函</w:t>
            </w:r>
          </w:p>
        </w:tc>
        <w:tc>
          <w:tcPr>
            <w:tcW w:type="dxa" w:w="3322"/>
          </w:tcPr>
          <w:p>
            <w:pPr>
              <w:pStyle w:val="null3"/>
            </w:pPr>
            <w:r>
              <w:rPr>
                <w:rFonts w:ascii="仿宋_GB2312" w:hAnsi="仿宋_GB2312" w:cs="仿宋_GB2312" w:eastAsia="仿宋_GB2312"/>
              </w:rPr>
              <w:t>具有履行合同所必需的设备和专业技术能力的承诺函并加盖公章。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无违法记录声明</w:t>
            </w:r>
          </w:p>
        </w:tc>
        <w:tc>
          <w:tcPr>
            <w:tcW w:type="dxa" w:w="3322"/>
          </w:tcPr>
          <w:p>
            <w:pPr>
              <w:pStyle w:val="null3"/>
            </w:pPr>
            <w:r>
              <w:rPr>
                <w:rFonts w:ascii="仿宋_GB2312" w:hAnsi="仿宋_GB2312" w:cs="仿宋_GB2312" w:eastAsia="仿宋_GB2312"/>
              </w:rPr>
              <w:t>提供参加本次政府采购活动前3年内在经营活动中没有重大违法记录的书面声明并加盖公章。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信用承诺并加盖公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供应商是否按照采购文件要求签字、盖章</w:t>
            </w:r>
          </w:p>
        </w:tc>
        <w:tc>
          <w:tcPr>
            <w:tcW w:type="dxa" w:w="1661"/>
          </w:tcPr>
          <w:p>
            <w:pPr>
              <w:pStyle w:val="null3"/>
            </w:pPr>
            <w:r>
              <w:rPr>
                <w:rFonts w:ascii="仿宋_GB2312" w:hAnsi="仿宋_GB2312" w:cs="仿宋_GB2312" w:eastAsia="仿宋_GB2312"/>
              </w:rPr>
              <w:t>中小企业声明函 报价表 法定代表人身份证明及授权书.docx 服务内容响应情况.docx 响应文件封面 供应商应提交的相关资格证明材料.docx 残疾人福利性单位声明函 关于符合本国产品标准的声明函 标的清单 其他资料.docx 响应函 商务条款偏离表.docx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报价有效性</w:t>
            </w:r>
          </w:p>
        </w:tc>
        <w:tc>
          <w:tcPr>
            <w:tcW w:type="dxa" w:w="3322"/>
          </w:tcPr>
          <w:p>
            <w:pPr>
              <w:pStyle w:val="null3"/>
            </w:pPr>
            <w:r>
              <w:rPr>
                <w:rFonts w:ascii="仿宋_GB2312" w:hAnsi="仿宋_GB2312" w:cs="仿宋_GB2312" w:eastAsia="仿宋_GB2312"/>
              </w:rPr>
              <w:t>报价是否满足满足以下条款： （1）货币单位符合采购文件要求 （2）报价符合唯一性要求 （3）未超出包采购预算及最高限价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服务内容响应情况</w:t>
            </w:r>
          </w:p>
        </w:tc>
        <w:tc>
          <w:tcPr>
            <w:tcW w:type="dxa" w:w="3322"/>
          </w:tcPr>
          <w:p>
            <w:pPr>
              <w:pStyle w:val="null3"/>
            </w:pPr>
            <w:r>
              <w:rPr>
                <w:rFonts w:ascii="仿宋_GB2312" w:hAnsi="仿宋_GB2312" w:cs="仿宋_GB2312" w:eastAsia="仿宋_GB2312"/>
              </w:rPr>
              <w:t>响应采购文件要求的各项技术（服务）实质性条，且未含有采购人不能接受的附加条件的</w:t>
            </w:r>
          </w:p>
        </w:tc>
        <w:tc>
          <w:tcPr>
            <w:tcW w:type="dxa" w:w="1661"/>
          </w:tcPr>
          <w:p>
            <w:pPr>
              <w:pStyle w:val="null3"/>
            </w:pPr>
            <w:r>
              <w:rPr>
                <w:rFonts w:ascii="仿宋_GB2312" w:hAnsi="仿宋_GB2312" w:cs="仿宋_GB2312" w:eastAsia="仿宋_GB2312"/>
              </w:rPr>
              <w:t>服务内容响应情况.docx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商务合同条款响应情况</w:t>
            </w:r>
          </w:p>
        </w:tc>
        <w:tc>
          <w:tcPr>
            <w:tcW w:type="dxa" w:w="3322"/>
          </w:tcPr>
          <w:p>
            <w:pPr>
              <w:pStyle w:val="null3"/>
            </w:pPr>
            <w:r>
              <w:rPr>
                <w:rFonts w:ascii="仿宋_GB2312" w:hAnsi="仿宋_GB2312" w:cs="仿宋_GB2312" w:eastAsia="仿宋_GB2312"/>
              </w:rPr>
              <w:t>理解并响应采购文件商务要求及合同条款的要求，且未含有采购人不能接受的附加条件的。</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理解并接受法律法规和采购文件对供应商合法经营的各类规约和责任义务要求，没有出现法律法规或采购文件规定的其他无效情形。</w:t>
            </w:r>
          </w:p>
        </w:tc>
        <w:tc>
          <w:tcPr>
            <w:tcW w:type="dxa" w:w="1661"/>
          </w:tcPr>
          <w:p>
            <w:pPr>
              <w:pStyle w:val="null3"/>
            </w:pPr>
            <w:r>
              <w:rPr>
                <w:rFonts w:ascii="仿宋_GB2312" w:hAnsi="仿宋_GB2312" w:cs="仿宋_GB2312" w:eastAsia="仿宋_GB2312"/>
              </w:rPr>
              <w:t>其他资料.docx 关于符合本国产品标准的声明函 法定代表人身份证明及授权书.docx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供应商是否按照采购文件要求签字、盖章</w:t>
            </w:r>
          </w:p>
        </w:tc>
        <w:tc>
          <w:tcPr>
            <w:tcW w:type="dxa" w:w="1661"/>
          </w:tcPr>
          <w:p>
            <w:pPr>
              <w:pStyle w:val="null3"/>
            </w:pPr>
            <w:r>
              <w:rPr>
                <w:rFonts w:ascii="仿宋_GB2312" w:hAnsi="仿宋_GB2312" w:cs="仿宋_GB2312" w:eastAsia="仿宋_GB2312"/>
              </w:rPr>
              <w:t>中小企业声明函 报价表 法定代表人身份证明及授权书.docx 服务内容响应情况.docx 响应文件封面 供应商应提交的相关资格证明材料.docx 残疾人福利性单位声明函 标的清单 关于符合本国产品标准的声明函 其他资料.docx 响应函 商务条款偏离表.docx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报价有效性</w:t>
            </w:r>
          </w:p>
        </w:tc>
        <w:tc>
          <w:tcPr>
            <w:tcW w:type="dxa" w:w="3322"/>
          </w:tcPr>
          <w:p>
            <w:pPr>
              <w:pStyle w:val="null3"/>
            </w:pPr>
            <w:r>
              <w:rPr>
                <w:rFonts w:ascii="仿宋_GB2312" w:hAnsi="仿宋_GB2312" w:cs="仿宋_GB2312" w:eastAsia="仿宋_GB2312"/>
              </w:rPr>
              <w:t>报价是否满足满足以下条款： （1）货币单位符合采购文件要求 （2）报价符合唯一性要求 （3）未超出包采购预算及最高限价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服务内容响应情况</w:t>
            </w:r>
          </w:p>
        </w:tc>
        <w:tc>
          <w:tcPr>
            <w:tcW w:type="dxa" w:w="3322"/>
          </w:tcPr>
          <w:p>
            <w:pPr>
              <w:pStyle w:val="null3"/>
            </w:pPr>
            <w:r>
              <w:rPr>
                <w:rFonts w:ascii="仿宋_GB2312" w:hAnsi="仿宋_GB2312" w:cs="仿宋_GB2312" w:eastAsia="仿宋_GB2312"/>
              </w:rPr>
              <w:t>响应采购文件要求的各项技术（服务）实质性条，且未含有采购人不能接受的附加条件的</w:t>
            </w:r>
          </w:p>
        </w:tc>
        <w:tc>
          <w:tcPr>
            <w:tcW w:type="dxa" w:w="1661"/>
          </w:tcPr>
          <w:p>
            <w:pPr>
              <w:pStyle w:val="null3"/>
            </w:pPr>
            <w:r>
              <w:rPr>
                <w:rFonts w:ascii="仿宋_GB2312" w:hAnsi="仿宋_GB2312" w:cs="仿宋_GB2312" w:eastAsia="仿宋_GB2312"/>
              </w:rPr>
              <w:t>服务内容响应情况.docx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商务合同条款响应情况</w:t>
            </w:r>
          </w:p>
        </w:tc>
        <w:tc>
          <w:tcPr>
            <w:tcW w:type="dxa" w:w="3322"/>
          </w:tcPr>
          <w:p>
            <w:pPr>
              <w:pStyle w:val="null3"/>
            </w:pPr>
            <w:r>
              <w:rPr>
                <w:rFonts w:ascii="仿宋_GB2312" w:hAnsi="仿宋_GB2312" w:cs="仿宋_GB2312" w:eastAsia="仿宋_GB2312"/>
              </w:rPr>
              <w:t>理解并响应采购文件商务要求及合同条款的要求，且未含有采购人不能接受的附加条件的。</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理解并接受法律法规和采购文件对供应商合法经营的各类规约和责任义务要求，没有出现法律法规或采购文件规定的其他无效情形。</w:t>
            </w:r>
          </w:p>
        </w:tc>
        <w:tc>
          <w:tcPr>
            <w:tcW w:type="dxa" w:w="1661"/>
          </w:tcPr>
          <w:p>
            <w:pPr>
              <w:pStyle w:val="null3"/>
            </w:pPr>
            <w:r>
              <w:rPr>
                <w:rFonts w:ascii="仿宋_GB2312" w:hAnsi="仿宋_GB2312" w:cs="仿宋_GB2312" w:eastAsia="仿宋_GB2312"/>
              </w:rPr>
              <w:t>其他资料.docx 关于符合本国产品标准的声明函 法定代表人身份证明及授权书.docx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pPr>
      <w:r>
        <w:rPr>
          <w:rFonts w:ascii="仿宋_GB2312" w:hAnsi="仿宋_GB2312" w:cs="仿宋_GB2312" w:eastAsia="仿宋_GB2312"/>
        </w:rPr>
        <w:t>采购包2：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整体维保服务方案</w:t>
            </w:r>
          </w:p>
        </w:tc>
        <w:tc>
          <w:tcPr>
            <w:tcW w:type="dxa" w:w="2492"/>
          </w:tcPr>
          <w:p>
            <w:pPr>
              <w:pStyle w:val="null3"/>
            </w:pPr>
            <w:r>
              <w:rPr>
                <w:rFonts w:ascii="仿宋_GB2312" w:hAnsi="仿宋_GB2312" w:cs="仿宋_GB2312" w:eastAsia="仿宋_GB2312"/>
              </w:rPr>
              <w:t>针对本项目需求，制定规范化的整体维保服务方案，服务方案包含：①日常服务计划（含服务频次、内容、标准）；②定期服务计划（含周期、项目、验收标准）；③服务流程图；④人员组织架构图；⑤服务质量控制措施。（1）方案内容完整，规范性和可操作性强，完全满足采购人要求得10分。（2）服务方案包含上述①-⑤项中的4项，内容较完整，规范性虽有欠缺，但基本能达到采购人要求，得7分。（3）服务方案包含上述①-⑤项中的3项及以下，内容简单，缺乏针对性和实操性，得4分。（4）未提供或提供无关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服务响应和保障措施</w:t>
            </w:r>
          </w:p>
        </w:tc>
        <w:tc>
          <w:tcPr>
            <w:tcW w:type="dxa" w:w="2492"/>
          </w:tcPr>
          <w:p>
            <w:pPr>
              <w:pStyle w:val="null3"/>
            </w:pPr>
            <w:r>
              <w:rPr>
                <w:rFonts w:ascii="仿宋_GB2312" w:hAnsi="仿宋_GB2312" w:cs="仿宋_GB2312" w:eastAsia="仿宋_GB2312"/>
              </w:rPr>
              <w:t>提供服务响应承诺函，（1）明确承诺：①紧急故障响应时间≤2小时，到场时间≤4小时；②常规维护响应时间≤24小时；③提供7×24小时服务热线；④保障措施包含备用设备、应急人员、备件库支持，得6分。（2）明确承诺响应时间，但紧急故障到场时间＞4小时；或保障措施内容有欠缺，但基本能达到采购人要求，得4分。（3）响应时间不明确，或保障措施内容简单，不具备操作性，得1分。（4）未提供或提供无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定期保养承诺</w:t>
            </w:r>
          </w:p>
        </w:tc>
        <w:tc>
          <w:tcPr>
            <w:tcW w:type="dxa" w:w="2492"/>
          </w:tcPr>
          <w:p>
            <w:pPr>
              <w:pStyle w:val="null3"/>
            </w:pPr>
            <w:r>
              <w:rPr>
                <w:rFonts w:ascii="仿宋_GB2312" w:hAnsi="仿宋_GB2312" w:cs="仿宋_GB2312" w:eastAsia="仿宋_GB2312"/>
              </w:rPr>
              <w:t>供应商承诺每年提供≥5次定期保养服务（含设备安全检查、运行状态检查、除尘保养等），得4分；承诺提供≥2次但＜5次定期保养服务，得2分；无相关承诺，得0分。保养承诺函须加盖单位公章。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保养细则</w:t>
            </w:r>
          </w:p>
        </w:tc>
        <w:tc>
          <w:tcPr>
            <w:tcW w:type="dxa" w:w="2492"/>
          </w:tcPr>
          <w:p>
            <w:pPr>
              <w:pStyle w:val="null3"/>
            </w:pPr>
            <w:r>
              <w:rPr>
                <w:rFonts w:ascii="仿宋_GB2312" w:hAnsi="仿宋_GB2312" w:cs="仿宋_GB2312" w:eastAsia="仿宋_GB2312"/>
              </w:rPr>
              <w:t>针对本项目提供维护保养细则，包含保养范围、保养标准、机器清洁、软件更新（如有）、安全检查等。（1）保养范围：明确列出具体保养设备清单、部位、系统边界，得2分；未明确，得0分。（2）保养标准：引用国家/行业/地方标准，量化保养指标（如清洁度、温度、电压范围等），得2分；标准不明确，得0分。（3）机器清洁：制定清洁流程、周期、验收标准，得2分；未制定，得0分。（4）软件更新：制定更新策略、测试流程、回滚方案（如涉及软件），得2分；未制定或不涉及，得0分。（5）安全检查：列出安全检查项目、周期、整改流程，得2分；未列出，得0分。（6）细则完整性：保养细则内容完整、格式规范、可操作性强，得2分；内容缺失或格式混乱，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服务内容响应情况.docx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应充分预计项目实施过程中可能出现的突发事件、紧急故障等，并制定相应的应急方案。应急方案包含：①突发事件分类清单（≥3类）；②应急响应流程图；③技术难点与风险分析；④应急状况处置措施（含业务连续性保障）；⑤应急管理办法；⑥应急演练计划。（1）方案完整详细可行，针对性强得5分。（2）应急方案包含上述①-⑥项中的4-5项，内容相对完整，具有一定针对性，得3分。（3）应急方案包含上述①-⑥项中的2-3项，内容简单粗略，无法完全保障使用，得2分。（4）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服务内容响应情况.docx</w:t>
            </w:r>
          </w:p>
        </w:tc>
      </w:tr>
      <w:tr>
        <w:tc>
          <w:tcPr>
            <w:tcW w:type="dxa" w:w="831"/>
            <w:vMerge/>
          </w:tcPr>
          <w:p/>
        </w:tc>
        <w:tc>
          <w:tcPr>
            <w:tcW w:type="dxa" w:w="1661"/>
          </w:tcPr>
          <w:p>
            <w:pPr>
              <w:pStyle w:val="null3"/>
            </w:pPr>
            <w:r>
              <w:rPr>
                <w:rFonts w:ascii="仿宋_GB2312" w:hAnsi="仿宋_GB2312" w:cs="仿宋_GB2312" w:eastAsia="仿宋_GB2312"/>
              </w:rPr>
              <w:t>档案管理制度</w:t>
            </w:r>
          </w:p>
        </w:tc>
        <w:tc>
          <w:tcPr>
            <w:tcW w:type="dxa" w:w="2492"/>
          </w:tcPr>
          <w:p>
            <w:pPr>
              <w:pStyle w:val="null3"/>
            </w:pPr>
            <w:r>
              <w:rPr>
                <w:rFonts w:ascii="仿宋_GB2312" w:hAnsi="仿宋_GB2312" w:cs="仿宋_GB2312" w:eastAsia="仿宋_GB2312"/>
              </w:rPr>
              <w:t>针对本项目采购需求，制定规范的维保档案管理制度。档案管理制度覆盖：①档案建立标准；②归档流程；③保管期限；④借阅制度；⑤销毁程序；⑥电子档案管理。（1）制度完善，要求明确，操作性强，得5分。（2）制度包含上述①-⑥项中的4-5项，基本能满足项目需求，得3分。（3）制度包含上述①-⑥项中的2-3项，内容含混，不能完全满足需求，得2分。（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设备工具配备</w:t>
            </w:r>
          </w:p>
        </w:tc>
        <w:tc>
          <w:tcPr>
            <w:tcW w:type="dxa" w:w="2492"/>
          </w:tcPr>
          <w:p>
            <w:pPr>
              <w:pStyle w:val="null3"/>
            </w:pPr>
            <w:r>
              <w:rPr>
                <w:rFonts w:ascii="仿宋_GB2312" w:hAnsi="仿宋_GB2312" w:cs="仿宋_GB2312" w:eastAsia="仿宋_GB2312"/>
              </w:rPr>
              <w:t>提供针对本项目维保服务所配备的设备清单（含工具、消耗材料、装备、备品备件等）：①清单完整，包含所有必要项目，得2分；②配置合理，符合项目需求，得2分；③提供产品合格证、质量证明或合法来源证明，得2分；④备品备件储备充足，渠道正当，得2分。每缺少一项证明或配备不齐全，对应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提供项目组成员名单、职责分工及相关培训证明或专业证书：①团队专业搭配合理、人员数量充分，得2分；②人员职责分工明确，得2分；③每提供一个有效培训证明或专业证书得0.5分，最高得2分。须提供相应证明资料，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特点，提供合理化建议。提供≥2条合理化建议，建议科学可行，内容具体，量化预期效果（如延长设备寿命比例、降低故障率等），有利于延长设备使用寿命，得4分。提供1-2条建议，内容较简单，但有利于延长设备使用寿命，得2分。建议不够合理，效果不明确，内容简单粗略，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来（以合同签订时间或中标通知书时间为准）类似业绩：每提供一项有效业绩证明材料（合同或中标通知书复印件加盖公章）得2分，最高得10分。注：类似业绩指与本项目采购内容相同或相近的维保服务项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经初审合格的响应文件，其报价为有效报价。 价格分统一采用低价优先法计算，即满足采购文件要求且报价最低的报价为评标基准价，其价格分为满分。其他供应商的价格分统一按照下列公式计算： 报价得分＝（评标基准价/响应报价）×价格权值×100。计算分数时四舍五入取小数点后两位。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整体维保服务方案</w:t>
            </w:r>
          </w:p>
        </w:tc>
        <w:tc>
          <w:tcPr>
            <w:tcW w:type="dxa" w:w="2492"/>
          </w:tcPr>
          <w:p>
            <w:pPr>
              <w:pStyle w:val="null3"/>
            </w:pPr>
            <w:r>
              <w:rPr>
                <w:rFonts w:ascii="仿宋_GB2312" w:hAnsi="仿宋_GB2312" w:cs="仿宋_GB2312" w:eastAsia="仿宋_GB2312"/>
              </w:rPr>
              <w:t>针对本项目需求，制定规范化的整体维保服务方案，服务方案包含：①日常服务计划（含服务频次、内容、标准）；②定期服务计划（含周期、项目、验收标准）；③服务流程图；④人员组织架构图；⑤服务质量控制措施。（1）方案内容完整，规范性和可操作性强，完全满足采购人要求得10分。（2）服务方案包含上述①-⑤项中的4项，内容较完整，规范性虽有欠缺，但基本能达到采购人要求，得7分。（3）服务方案包含上述①-⑤项中的3项及以下，内容简单，缺乏针对性和实操性，得4分。（4）未提供或提供无关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服务响应和保障措施</w:t>
            </w:r>
          </w:p>
        </w:tc>
        <w:tc>
          <w:tcPr>
            <w:tcW w:type="dxa" w:w="2492"/>
          </w:tcPr>
          <w:p>
            <w:pPr>
              <w:pStyle w:val="null3"/>
            </w:pPr>
            <w:r>
              <w:rPr>
                <w:rFonts w:ascii="仿宋_GB2312" w:hAnsi="仿宋_GB2312" w:cs="仿宋_GB2312" w:eastAsia="仿宋_GB2312"/>
              </w:rPr>
              <w:t>提供服务响应承诺函，（1）明确承诺：①紧急故障响应时间≤2小时，到场时间≤4小时；②常规维护响应时间≤24小时；③提供7×24小时服务热线；④保障措施包含备用设备、应急人员、备件库支持，得6分。（2）明确承诺响应时间，但紧急故障到场时间＞4小时；或保障措施内容有欠缺，但基本能达到采购人要求，得4分。（3）响应时间不明确，或保障措施内容简单，不具备操作性，得1分。（4）未提供或提供无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定期保养承诺</w:t>
            </w:r>
          </w:p>
        </w:tc>
        <w:tc>
          <w:tcPr>
            <w:tcW w:type="dxa" w:w="2492"/>
          </w:tcPr>
          <w:p>
            <w:pPr>
              <w:pStyle w:val="null3"/>
            </w:pPr>
            <w:r>
              <w:rPr>
                <w:rFonts w:ascii="仿宋_GB2312" w:hAnsi="仿宋_GB2312" w:cs="仿宋_GB2312" w:eastAsia="仿宋_GB2312"/>
              </w:rPr>
              <w:t>供应商承诺每年提供≥5次定期保养服务（含设备安全检查、运行状态检查、除尘保养等），得4分；承诺提供≥2次但＜5次定期保养服务，得2分；无相关承诺，得0分。保养承诺函须加盖单位公章。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保养细则</w:t>
            </w:r>
          </w:p>
        </w:tc>
        <w:tc>
          <w:tcPr>
            <w:tcW w:type="dxa" w:w="2492"/>
          </w:tcPr>
          <w:p>
            <w:pPr>
              <w:pStyle w:val="null3"/>
            </w:pPr>
            <w:r>
              <w:rPr>
                <w:rFonts w:ascii="仿宋_GB2312" w:hAnsi="仿宋_GB2312" w:cs="仿宋_GB2312" w:eastAsia="仿宋_GB2312"/>
              </w:rPr>
              <w:t>针对本项目提供维护保养细则，包含保养范围、保养标准、机器清洁、软件更新（如有）、安全检查等。（1）保养范围：明确列出具体保养设备清单、部位、系统边界，得2分；未明确，得0分。（2）保养标准：引用国家/行业/地方标准，量化保养指标（如清洁度、温度、电压范围等），得2分；标准不明确，得0分。（3）机器清洁：制定清洁流程、周期、验收标准，得2分；未制定，得0分。（4）软件更新：制定更新策略、测试流程、回滚方案（如涉及软件），得2分；未制定或不涉及，得0分。（5）安全检查：列出安全检查项目、周期、整改流程，得2分；未列出，得0分。（6）细则完整性：保养细则内容完整、格式规范、可操作性强，得2分；内容缺失或格式混乱，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应充分预计项目实施过程中可能出现的突发事件、紧急故障等，并制定相应的应急方案。应急方案包含：①突发事件分类清单（≥3类）；②应急响应流程图；③技术难点与风险分析；④应急状况处置措施（含业务连续性保障）；⑤应急管理办法；⑥应急演练计划。（1）方案完整详细可行，针对性强得5分。（2）应急方案包含上述①-⑥项中的4-5项，内容相对完整，具有一定针对性，得3分。（3）应急方案包含上述①-⑥项中的2-3项，内容简单粗略，无法完全保障使用，得2分。（4）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档案管理制度</w:t>
            </w:r>
          </w:p>
        </w:tc>
        <w:tc>
          <w:tcPr>
            <w:tcW w:type="dxa" w:w="2492"/>
          </w:tcPr>
          <w:p>
            <w:pPr>
              <w:pStyle w:val="null3"/>
            </w:pPr>
            <w:r>
              <w:rPr>
                <w:rFonts w:ascii="仿宋_GB2312" w:hAnsi="仿宋_GB2312" w:cs="仿宋_GB2312" w:eastAsia="仿宋_GB2312"/>
              </w:rPr>
              <w:t>针对本项目采购需求，制定规范的维保档案管理制度。档案管理制度覆盖：①档案建立标准；②归档流程；③保管期限；④借阅制度；⑤销毁程序；⑥电子档案管理。（1）制度完善，要求明确，操作性强，得5分。（2）制度包含上述①-⑥项中的4-5项，基本能满足项目需求，得3分。（3）制度包含上述①-⑥项中的2-3项，内容含混，不能完全满足需求，得2分。（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设备工具配备</w:t>
            </w:r>
          </w:p>
        </w:tc>
        <w:tc>
          <w:tcPr>
            <w:tcW w:type="dxa" w:w="2492"/>
          </w:tcPr>
          <w:p>
            <w:pPr>
              <w:pStyle w:val="null3"/>
            </w:pPr>
            <w:r>
              <w:rPr>
                <w:rFonts w:ascii="仿宋_GB2312" w:hAnsi="仿宋_GB2312" w:cs="仿宋_GB2312" w:eastAsia="仿宋_GB2312"/>
              </w:rPr>
              <w:t>提供针对本项目维保服务所配备的设备清单（含工具、消耗材料、装备、备品备件等）：①清单完整，包含所有必要项目，得2分；②配置合理，符合项目需求，得2分；③提供产品合格证、质量证明或合法来源证明，得2分；④备品备件储备充足，渠道正当，得2分。每缺少一项证明或配备不齐全，对应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提供项目组成员名单、职责分工及相关培训证明或专业证书：①团队专业搭配合理、人员数量充分，得2分；②人员职责分工明确，得2分；③每提供一个有效培训证明或专业证书得0.5分，最高得2分。须提供相应证明资料，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特点，提供合理化建议。提供≥2条合理化建议，建议科学可行，内容具体，量化预期效果（如延长设备寿命比例、降低故障率等），有利于延长设备使用寿命，得4分。提供1-2条建议，内容较简单，但有利于延长设备使用寿命，得2分。建议不够合理，效果不明确，内容简单粗略，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来（以合同签订时间或中标通知书时间为准）类似业绩：每提供一项有效业绩证明材料（合同或中标通知书复印件加盖公章）得2分，最高得10分。注：类似业绩指与本项目采购内容相同或相近的维保服务项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经初审合格的响应文件，其报价为有效报价。 价格分统一采用低价优先法计算，即满足采购文件要求且报价最低的报价为评标基准价，其价格分为满分。其他供应商的价格分统一按照下列公式计算： 报价得分＝（评标基准价/响应报价）×价格权值×100。计算分数时四舍五入取小数点后两位。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详见附件：服务内容响应情况.docx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详见附件：法定代表人身份证明及授权书.docx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详见附件：服务内容响应情况.docx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详见附件：法定代表人身份证明及授权书.docx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详见附件：政府采购合同（服务类）.docx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